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7B" w:rsidRDefault="00991504">
      <w:r w:rsidRPr="00937718">
        <w:rPr>
          <w:noProof/>
          <w:lang w:eastAsia="en-GB"/>
        </w:rPr>
        <w:drawing>
          <wp:inline distT="0" distB="0" distL="0" distR="0">
            <wp:extent cx="3738245" cy="1060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4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504" w:rsidRDefault="00991504"/>
    <w:p w:rsidR="00991504" w:rsidRPr="000365E2" w:rsidRDefault="00991504" w:rsidP="00991504">
      <w:pPr>
        <w:pStyle w:val="3Bulletedcopyblue"/>
        <w:numPr>
          <w:ilvl w:val="0"/>
          <w:numId w:val="0"/>
        </w:numPr>
        <w:rPr>
          <w:i/>
          <w:sz w:val="32"/>
          <w:szCs w:val="32"/>
        </w:rPr>
      </w:pPr>
      <w:r w:rsidRPr="000365E2">
        <w:rPr>
          <w:noProof/>
          <w:sz w:val="32"/>
          <w:szCs w:val="32"/>
        </w:rPr>
        <w:t>COVID-19 catch-up premium spendi</w:t>
      </w:r>
      <w:r>
        <w:rPr>
          <w:noProof/>
          <w:sz w:val="32"/>
          <w:szCs w:val="32"/>
        </w:rPr>
        <w:t>ng: S</w:t>
      </w:r>
      <w:r w:rsidRPr="000365E2">
        <w:rPr>
          <w:noProof/>
          <w:sz w:val="32"/>
          <w:szCs w:val="32"/>
        </w:rPr>
        <w:t>ummary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4153"/>
        <w:gridCol w:w="2733"/>
        <w:gridCol w:w="4820"/>
        <w:gridCol w:w="2134"/>
      </w:tblGrid>
      <w:tr w:rsidR="00991504" w:rsidTr="00B829F6">
        <w:trPr>
          <w:cantSplit/>
          <w:tblHeader/>
        </w:trPr>
        <w:tc>
          <w:tcPr>
            <w:tcW w:w="14459" w:type="dxa"/>
            <w:gridSpan w:val="4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991504" w:rsidRPr="00133219" w:rsidRDefault="00991504" w:rsidP="00B829F6">
            <w:pPr>
              <w:pStyle w:val="1bodycopy"/>
              <w:spacing w:after="0"/>
              <w:rPr>
                <w:caps/>
                <w:color w:val="F8F8F8"/>
              </w:rPr>
            </w:pPr>
            <w:r>
              <w:rPr>
                <w:caps/>
                <w:color w:val="F8F8F8"/>
              </w:rPr>
              <w:t>summary information</w:t>
            </w:r>
          </w:p>
        </w:tc>
      </w:tr>
      <w:tr w:rsidR="00991504" w:rsidTr="00B829F6">
        <w:trPr>
          <w:cantSplit/>
        </w:trPr>
        <w:tc>
          <w:tcPr>
            <w:tcW w:w="4348" w:type="dxa"/>
            <w:shd w:val="clear" w:color="auto" w:fill="auto"/>
            <w:tcMar>
              <w:top w:w="113" w:type="dxa"/>
              <w:bottom w:w="113" w:type="dxa"/>
            </w:tcMar>
          </w:tcPr>
          <w:p w:rsidR="00991504" w:rsidRDefault="00991504" w:rsidP="00B829F6">
            <w:pPr>
              <w:pStyle w:val="7Tablebodycopy"/>
            </w:pPr>
            <w:r>
              <w:t>Total number of pupils:</w:t>
            </w:r>
          </w:p>
        </w:tc>
        <w:tc>
          <w:tcPr>
            <w:tcW w:w="2832" w:type="dxa"/>
            <w:shd w:val="clear" w:color="auto" w:fill="auto"/>
            <w:tcMar>
              <w:top w:w="113" w:type="dxa"/>
              <w:bottom w:w="113" w:type="dxa"/>
            </w:tcMar>
          </w:tcPr>
          <w:p w:rsidR="00991504" w:rsidRDefault="00991504" w:rsidP="00B829F6">
            <w:pPr>
              <w:pStyle w:val="7Tablebodycopy"/>
            </w:pPr>
            <w:r>
              <w:t xml:space="preserve">20 (number on roll when catch-Up was calculated by the </w:t>
            </w:r>
            <w:proofErr w:type="spellStart"/>
            <w:r>
              <w:t>DfE</w:t>
            </w:r>
            <w:proofErr w:type="spellEnd"/>
          </w:p>
        </w:tc>
        <w:tc>
          <w:tcPr>
            <w:tcW w:w="5055" w:type="dxa"/>
          </w:tcPr>
          <w:p w:rsidR="00991504" w:rsidRDefault="00991504" w:rsidP="00B829F6">
            <w:pPr>
              <w:pStyle w:val="7Tablebodycopy"/>
            </w:pPr>
            <w:r>
              <w:t>Amount of catch-up premium received per pupil:</w:t>
            </w:r>
          </w:p>
        </w:tc>
        <w:tc>
          <w:tcPr>
            <w:tcW w:w="2224" w:type="dxa"/>
            <w:shd w:val="clear" w:color="auto" w:fill="auto"/>
            <w:tcMar>
              <w:top w:w="113" w:type="dxa"/>
              <w:bottom w:w="113" w:type="dxa"/>
            </w:tcMar>
          </w:tcPr>
          <w:p w:rsidR="00991504" w:rsidRDefault="00991504" w:rsidP="00B829F6">
            <w:pPr>
              <w:pStyle w:val="7Tablebodycopy"/>
            </w:pPr>
            <w:r>
              <w:t>£240</w:t>
            </w:r>
          </w:p>
        </w:tc>
      </w:tr>
      <w:tr w:rsidR="00991504" w:rsidTr="00B829F6">
        <w:trPr>
          <w:cantSplit/>
        </w:trPr>
        <w:tc>
          <w:tcPr>
            <w:tcW w:w="4348" w:type="dxa"/>
            <w:shd w:val="clear" w:color="auto" w:fill="auto"/>
            <w:tcMar>
              <w:top w:w="113" w:type="dxa"/>
              <w:bottom w:w="113" w:type="dxa"/>
            </w:tcMar>
          </w:tcPr>
          <w:p w:rsidR="00991504" w:rsidRDefault="00991504" w:rsidP="00B829F6">
            <w:pPr>
              <w:pStyle w:val="7Tablebodycopy"/>
            </w:pPr>
            <w:r w:rsidRPr="006128D4">
              <w:t xml:space="preserve">Total </w:t>
            </w:r>
            <w:r>
              <w:t>catch-up</w:t>
            </w:r>
            <w:r w:rsidRPr="006128D4">
              <w:t xml:space="preserve"> premium budget:</w:t>
            </w:r>
          </w:p>
        </w:tc>
        <w:tc>
          <w:tcPr>
            <w:tcW w:w="2832" w:type="dxa"/>
            <w:shd w:val="clear" w:color="auto" w:fill="auto"/>
            <w:tcMar>
              <w:top w:w="113" w:type="dxa"/>
              <w:bottom w:w="113" w:type="dxa"/>
            </w:tcMar>
          </w:tcPr>
          <w:p w:rsidR="00991504" w:rsidRDefault="00991504" w:rsidP="00B829F6">
            <w:pPr>
              <w:pStyle w:val="7Tablebodycopy"/>
            </w:pPr>
            <w:r>
              <w:t>£12,000</w:t>
            </w:r>
          </w:p>
        </w:tc>
        <w:tc>
          <w:tcPr>
            <w:tcW w:w="5055" w:type="dxa"/>
          </w:tcPr>
          <w:p w:rsidR="00991504" w:rsidRDefault="00991504" w:rsidP="00B829F6">
            <w:pPr>
              <w:pStyle w:val="7Tablebodycopy"/>
            </w:pPr>
          </w:p>
        </w:tc>
        <w:tc>
          <w:tcPr>
            <w:tcW w:w="2224" w:type="dxa"/>
            <w:shd w:val="clear" w:color="auto" w:fill="auto"/>
            <w:tcMar>
              <w:top w:w="113" w:type="dxa"/>
              <w:bottom w:w="113" w:type="dxa"/>
            </w:tcMar>
          </w:tcPr>
          <w:p w:rsidR="00991504" w:rsidRDefault="00991504" w:rsidP="00B829F6">
            <w:pPr>
              <w:pStyle w:val="7Tablebodycopy"/>
            </w:pPr>
          </w:p>
        </w:tc>
      </w:tr>
    </w:tbl>
    <w:p w:rsidR="00991504" w:rsidRDefault="00991504" w:rsidP="00991504">
      <w:pPr>
        <w:pStyle w:val="3Bulletedcopyblue"/>
        <w:numPr>
          <w:ilvl w:val="0"/>
          <w:numId w:val="0"/>
        </w:numPr>
        <w:ind w:left="340" w:hanging="170"/>
        <w:rPr>
          <w:highlight w:val="yellow"/>
          <w:lang w:val="en-GB" w:eastAsia="en-GB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13840"/>
      </w:tblGrid>
      <w:tr w:rsidR="00991504" w:rsidRPr="00133219" w:rsidTr="00B829F6">
        <w:trPr>
          <w:cantSplit/>
          <w:tblHeader/>
        </w:trPr>
        <w:tc>
          <w:tcPr>
            <w:tcW w:w="14601" w:type="dxa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991504" w:rsidRPr="00133219" w:rsidRDefault="00991504" w:rsidP="00B829F6">
            <w:pPr>
              <w:pStyle w:val="1bodycopy"/>
              <w:spacing w:after="0"/>
              <w:rPr>
                <w:caps/>
                <w:color w:val="F8F8F8"/>
              </w:rPr>
            </w:pPr>
            <w:r>
              <w:rPr>
                <w:caps/>
                <w:color w:val="F8F8F8"/>
              </w:rPr>
              <w:t>strategy statement</w:t>
            </w:r>
          </w:p>
        </w:tc>
      </w:tr>
      <w:tr w:rsidR="00991504" w:rsidRPr="0014434B" w:rsidTr="00B829F6">
        <w:trPr>
          <w:cantSplit/>
        </w:trPr>
        <w:tc>
          <w:tcPr>
            <w:tcW w:w="14601" w:type="dxa"/>
            <w:shd w:val="clear" w:color="auto" w:fill="FFFFFF"/>
            <w:tcMar>
              <w:top w:w="113" w:type="dxa"/>
              <w:bottom w:w="113" w:type="dxa"/>
            </w:tcMar>
          </w:tcPr>
          <w:p w:rsidR="00991504" w:rsidRDefault="00991504" w:rsidP="00B829F6">
            <w:pPr>
              <w:pStyle w:val="7Tablecopybulleted"/>
              <w:numPr>
                <w:ilvl w:val="0"/>
                <w:numId w:val="0"/>
              </w:numPr>
              <w:ind w:left="340" w:hanging="170"/>
            </w:pPr>
            <w:r w:rsidRPr="00195BC9">
              <w:t>Our priorities</w:t>
            </w:r>
            <w:r>
              <w:t>:</w:t>
            </w:r>
          </w:p>
          <w:p w:rsidR="00991504" w:rsidRPr="00195BC9" w:rsidRDefault="00991504" w:rsidP="00991504">
            <w:pPr>
              <w:pStyle w:val="7Tablecopybulleted"/>
              <w:numPr>
                <w:ilvl w:val="0"/>
                <w:numId w:val="3"/>
              </w:numPr>
              <w:rPr>
                <w:highlight w:val="yellow"/>
              </w:rPr>
            </w:pPr>
            <w:r>
              <w:t xml:space="preserve">To </w:t>
            </w:r>
            <w:r w:rsidRPr="00195BC9">
              <w:t xml:space="preserve">focus upon </w:t>
            </w:r>
            <w:r>
              <w:t xml:space="preserve">the </w:t>
            </w:r>
            <w:r w:rsidRPr="00195BC9">
              <w:t xml:space="preserve">areas of reading and </w:t>
            </w:r>
            <w:proofErr w:type="gramStart"/>
            <w:r w:rsidRPr="00195BC9">
              <w:t>spelling ,</w:t>
            </w:r>
            <w:proofErr w:type="gramEnd"/>
            <w:r w:rsidRPr="00195BC9">
              <w:t xml:space="preserve"> as these are the main deficits for our pupils. </w:t>
            </w:r>
            <w:r>
              <w:t xml:space="preserve">We believe that targeting these areas will close gaps and also enable pupils to feel more confident about learning –thus raising levels of engagement –this is particularly important for Y6 pupils. </w:t>
            </w:r>
          </w:p>
          <w:p w:rsidR="00991504" w:rsidRPr="00B14138" w:rsidRDefault="00991504" w:rsidP="00991504">
            <w:pPr>
              <w:pStyle w:val="7Tablecopybulleted"/>
              <w:numPr>
                <w:ilvl w:val="0"/>
                <w:numId w:val="3"/>
              </w:numPr>
              <w:rPr>
                <w:highlight w:val="yellow"/>
              </w:rPr>
            </w:pPr>
            <w:r>
              <w:t>To promote regular exercise thus supporting physical health after a period of being indoors- also supporting areas of mental health and individual ADHD needs-thereby also impacting upon confidence and emotional regulation.</w:t>
            </w:r>
          </w:p>
          <w:p w:rsidR="00991504" w:rsidRPr="0014434B" w:rsidRDefault="00991504" w:rsidP="00B829F6">
            <w:pPr>
              <w:pStyle w:val="7Tablecopybulleted"/>
              <w:numPr>
                <w:ilvl w:val="0"/>
                <w:numId w:val="0"/>
              </w:numPr>
              <w:ind w:left="1610"/>
              <w:rPr>
                <w:highlight w:val="yellow"/>
              </w:rPr>
            </w:pPr>
          </w:p>
        </w:tc>
      </w:tr>
    </w:tbl>
    <w:p w:rsidR="00991504" w:rsidRDefault="00991504"/>
    <w:p w:rsidR="00485B30" w:rsidRDefault="00485B30" w:rsidP="00991504">
      <w:pPr>
        <w:pStyle w:val="2Subheadpink"/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GB"/>
        </w:rPr>
      </w:pPr>
    </w:p>
    <w:p w:rsidR="00991504" w:rsidRPr="00A9708F" w:rsidRDefault="00991504" w:rsidP="00485B30">
      <w:pPr>
        <w:pStyle w:val="3Bulletedcopyblue"/>
        <w:numPr>
          <w:ilvl w:val="0"/>
          <w:numId w:val="0"/>
        </w:numPr>
        <w:ind w:right="284"/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945"/>
        <w:gridCol w:w="12895"/>
      </w:tblGrid>
      <w:tr w:rsidR="00991504" w:rsidRPr="00133219" w:rsidTr="00991504">
        <w:trPr>
          <w:cantSplit/>
        </w:trPr>
        <w:tc>
          <w:tcPr>
            <w:tcW w:w="13840" w:type="dxa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991504" w:rsidRPr="00133219" w:rsidRDefault="00991504" w:rsidP="00B829F6">
            <w:pPr>
              <w:pStyle w:val="1bodycopy"/>
              <w:spacing w:after="0"/>
              <w:rPr>
                <w:caps/>
                <w:color w:val="F8F8F8"/>
              </w:rPr>
            </w:pPr>
            <w:r>
              <w:rPr>
                <w:caps/>
                <w:color w:val="F8F8F8"/>
              </w:rPr>
              <w:lastRenderedPageBreak/>
              <w:t>barriers to future attainment</w:t>
            </w:r>
          </w:p>
        </w:tc>
      </w:tr>
      <w:tr w:rsidR="00991504" w:rsidTr="00991504">
        <w:trPr>
          <w:cantSplit/>
        </w:trPr>
        <w:tc>
          <w:tcPr>
            <w:tcW w:w="13840" w:type="dxa"/>
            <w:gridSpan w:val="2"/>
            <w:shd w:val="clear" w:color="auto" w:fill="9CC2E5"/>
            <w:tcMar>
              <w:top w:w="113" w:type="dxa"/>
              <w:bottom w:w="113" w:type="dxa"/>
            </w:tcMar>
          </w:tcPr>
          <w:p w:rsidR="00991504" w:rsidRPr="007773FB" w:rsidRDefault="00991504" w:rsidP="00B829F6">
            <w:pPr>
              <w:pStyle w:val="7Tablebodybulleted"/>
              <w:numPr>
                <w:ilvl w:val="0"/>
                <w:numId w:val="0"/>
              </w:numPr>
              <w:rPr>
                <w:i/>
              </w:rPr>
            </w:pPr>
            <w:r>
              <w:t xml:space="preserve">Academic barriers: </w:t>
            </w:r>
          </w:p>
        </w:tc>
      </w:tr>
      <w:tr w:rsidR="00991504" w:rsidTr="00991504">
        <w:trPr>
          <w:cantSplit/>
        </w:trPr>
        <w:tc>
          <w:tcPr>
            <w:tcW w:w="945" w:type="dxa"/>
            <w:shd w:val="clear" w:color="auto" w:fill="auto"/>
            <w:tcMar>
              <w:top w:w="113" w:type="dxa"/>
              <w:bottom w:w="113" w:type="dxa"/>
            </w:tcMar>
          </w:tcPr>
          <w:p w:rsidR="00991504" w:rsidRPr="007773FB" w:rsidRDefault="00991504" w:rsidP="00B829F6">
            <w:pPr>
              <w:pStyle w:val="7Tablebodybulleted"/>
              <w:numPr>
                <w:ilvl w:val="0"/>
                <w:numId w:val="0"/>
              </w:numPr>
              <w:rPr>
                <w:highlight w:val="yellow"/>
              </w:rPr>
            </w:pPr>
            <w:r w:rsidRPr="007773FB">
              <w:t>A</w:t>
            </w:r>
          </w:p>
        </w:tc>
        <w:tc>
          <w:tcPr>
            <w:tcW w:w="12895" w:type="dxa"/>
            <w:shd w:val="clear" w:color="auto" w:fill="auto"/>
          </w:tcPr>
          <w:p w:rsidR="00991504" w:rsidRDefault="00991504" w:rsidP="00B829F6">
            <w:pPr>
              <w:pStyle w:val="7Tablebodycopy"/>
            </w:pPr>
            <w:r>
              <w:t>Our pupils arrive with deficits in English skills and are usually not attaining at ARE –this puts them at a disadvantage under ‘normal’ circumstances. To have periods of ‘lost learning’ from March 2020 –August 2020 and January 2021 – Feb/March 2021 is increasing their attainment gap. Rem</w:t>
            </w:r>
            <w:r>
              <w:t>o</w:t>
            </w:r>
            <w:r>
              <w:t xml:space="preserve">te learning has been organized </w:t>
            </w:r>
            <w:r>
              <w:t xml:space="preserve">and planned to meet individual </w:t>
            </w:r>
            <w:proofErr w:type="gramStart"/>
            <w:r>
              <w:t>needs ,</w:t>
            </w:r>
            <w:proofErr w:type="gramEnd"/>
            <w:r>
              <w:t xml:space="preserve"> </w:t>
            </w:r>
            <w:r>
              <w:t xml:space="preserve"> but our pupils all have SEND and need support to access learning in class –so this is a particular difficulty when planning and delivering remote learning. We estimate that there will be problems re-engaging pupils back into full-time education. 1:1 targeted support will provide the pupils with time to catch up –at their own speed –and allow for more personalized   </w:t>
            </w:r>
            <w:r>
              <w:t>learning to take place,</w:t>
            </w:r>
            <w:r>
              <w:t xml:space="preserve"> thus increasing motivation </w:t>
            </w:r>
            <w:r>
              <w:t>and engagement as well as impacting positively upon pupil progress.</w:t>
            </w:r>
          </w:p>
        </w:tc>
      </w:tr>
      <w:tr w:rsidR="00991504" w:rsidTr="00991504">
        <w:trPr>
          <w:cantSplit/>
        </w:trPr>
        <w:tc>
          <w:tcPr>
            <w:tcW w:w="945" w:type="dxa"/>
            <w:shd w:val="clear" w:color="auto" w:fill="auto"/>
            <w:tcMar>
              <w:top w:w="113" w:type="dxa"/>
              <w:bottom w:w="113" w:type="dxa"/>
            </w:tcMar>
          </w:tcPr>
          <w:p w:rsidR="00991504" w:rsidRDefault="00991504" w:rsidP="00B829F6">
            <w:pPr>
              <w:pStyle w:val="7Tablebodycopy"/>
            </w:pPr>
            <w:r>
              <w:t>B</w:t>
            </w:r>
          </w:p>
        </w:tc>
        <w:tc>
          <w:tcPr>
            <w:tcW w:w="12895" w:type="dxa"/>
            <w:shd w:val="clear" w:color="auto" w:fill="auto"/>
            <w:tcMar>
              <w:top w:w="113" w:type="dxa"/>
              <w:bottom w:w="113" w:type="dxa"/>
            </w:tcMar>
          </w:tcPr>
          <w:p w:rsidR="00991504" w:rsidRDefault="00991504" w:rsidP="00B829F6">
            <w:pPr>
              <w:pStyle w:val="7Tablebodycopy"/>
            </w:pPr>
            <w:r>
              <w:t xml:space="preserve">All of our pupils have aspects of SEMH. This is linked to low </w:t>
            </w:r>
            <w:proofErr w:type="gramStart"/>
            <w:r>
              <w:t>confidence ,</w:t>
            </w:r>
            <w:proofErr w:type="gramEnd"/>
            <w:r>
              <w:t xml:space="preserve"> </w:t>
            </w:r>
            <w:proofErr w:type="spellStart"/>
            <w:r>
              <w:t>self esteem</w:t>
            </w:r>
            <w:proofErr w:type="spellEnd"/>
            <w:r>
              <w:t xml:space="preserve"> and issues with emotional regulation. Having time spent away from our academy and missing out on our routines, procedures and intensive </w:t>
            </w:r>
            <w:proofErr w:type="spellStart"/>
            <w:r>
              <w:t>behaviour</w:t>
            </w:r>
            <w:proofErr w:type="spellEnd"/>
            <w:r>
              <w:t xml:space="preserve"> support will impact upon progress that was made pre-COVID. Our role is to prepare pupils to return to school and being away from the academy for extended periods of time will </w:t>
            </w:r>
            <w:r>
              <w:t xml:space="preserve">impact </w:t>
            </w:r>
            <w:r>
              <w:t>significantl</w:t>
            </w:r>
            <w:r>
              <w:t xml:space="preserve">y upon their SEMH difficulties –which in turn adversely affects access to learning. </w:t>
            </w:r>
          </w:p>
        </w:tc>
      </w:tr>
    </w:tbl>
    <w:p w:rsidR="00991504" w:rsidRPr="00991504" w:rsidRDefault="00991504" w:rsidP="00991504">
      <w:pPr>
        <w:pStyle w:val="1bodycopy"/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929"/>
        <w:gridCol w:w="12911"/>
      </w:tblGrid>
      <w:tr w:rsidR="00991504" w:rsidTr="00991504">
        <w:trPr>
          <w:cantSplit/>
        </w:trPr>
        <w:tc>
          <w:tcPr>
            <w:tcW w:w="13840" w:type="dxa"/>
            <w:gridSpan w:val="2"/>
            <w:shd w:val="clear" w:color="auto" w:fill="12263F"/>
            <w:tcMar>
              <w:top w:w="113" w:type="dxa"/>
              <w:bottom w:w="113" w:type="dxa"/>
            </w:tcMar>
          </w:tcPr>
          <w:p w:rsidR="00991504" w:rsidRDefault="00991504" w:rsidP="00B829F6">
            <w:pPr>
              <w:pStyle w:val="7Tablebodycopy"/>
            </w:pPr>
            <w:r>
              <w:t>ADDITIONAL BARRIERS</w:t>
            </w:r>
          </w:p>
        </w:tc>
      </w:tr>
      <w:tr w:rsidR="00991504" w:rsidRPr="00A9708F" w:rsidTr="00991504">
        <w:trPr>
          <w:cantSplit/>
        </w:trPr>
        <w:tc>
          <w:tcPr>
            <w:tcW w:w="13840" w:type="dxa"/>
            <w:gridSpan w:val="2"/>
            <w:shd w:val="clear" w:color="auto" w:fill="9CC2E5"/>
            <w:tcMar>
              <w:top w:w="113" w:type="dxa"/>
              <w:bottom w:w="113" w:type="dxa"/>
            </w:tcMar>
          </w:tcPr>
          <w:p w:rsidR="00991504" w:rsidRPr="00A9708F" w:rsidRDefault="00991504" w:rsidP="00B829F6">
            <w:pPr>
              <w:pStyle w:val="7Tablebodycopy"/>
            </w:pPr>
            <w:r w:rsidRPr="00A9708F">
              <w:t>External barriers</w:t>
            </w:r>
            <w:r>
              <w:t>:</w:t>
            </w:r>
          </w:p>
        </w:tc>
      </w:tr>
      <w:tr w:rsidR="00991504" w:rsidTr="00991504">
        <w:trPr>
          <w:cantSplit/>
        </w:trPr>
        <w:tc>
          <w:tcPr>
            <w:tcW w:w="929" w:type="dxa"/>
            <w:shd w:val="clear" w:color="auto" w:fill="auto"/>
            <w:tcMar>
              <w:top w:w="113" w:type="dxa"/>
              <w:bottom w:w="113" w:type="dxa"/>
            </w:tcMar>
          </w:tcPr>
          <w:p w:rsidR="00991504" w:rsidRDefault="00991504" w:rsidP="00B829F6">
            <w:pPr>
              <w:pStyle w:val="7Tablebodycopy"/>
            </w:pPr>
            <w:r>
              <w:t>D</w:t>
            </w:r>
          </w:p>
        </w:tc>
        <w:tc>
          <w:tcPr>
            <w:tcW w:w="12911" w:type="dxa"/>
            <w:shd w:val="clear" w:color="auto" w:fill="auto"/>
            <w:tcMar>
              <w:top w:w="113" w:type="dxa"/>
              <w:bottom w:w="113" w:type="dxa"/>
            </w:tcMar>
          </w:tcPr>
          <w:p w:rsidR="00991504" w:rsidRDefault="00991504" w:rsidP="00B829F6">
            <w:pPr>
              <w:pStyle w:val="7Tablebodycopy"/>
            </w:pPr>
            <w:r>
              <w:t>Some pupils did not have access to laptops at home during March-August 2020 –they have access to laptops now. We have organized a loan scheme.</w:t>
            </w:r>
          </w:p>
        </w:tc>
      </w:tr>
      <w:tr w:rsidR="00991504" w:rsidTr="00991504">
        <w:trPr>
          <w:cantSplit/>
        </w:trPr>
        <w:tc>
          <w:tcPr>
            <w:tcW w:w="929" w:type="dxa"/>
            <w:shd w:val="clear" w:color="auto" w:fill="auto"/>
            <w:tcMar>
              <w:top w:w="113" w:type="dxa"/>
              <w:bottom w:w="113" w:type="dxa"/>
            </w:tcMar>
          </w:tcPr>
          <w:p w:rsidR="00991504" w:rsidRDefault="00991504" w:rsidP="00B829F6">
            <w:pPr>
              <w:pStyle w:val="7Tablebodycopy"/>
            </w:pPr>
            <w:r>
              <w:t>E</w:t>
            </w:r>
          </w:p>
        </w:tc>
        <w:tc>
          <w:tcPr>
            <w:tcW w:w="12911" w:type="dxa"/>
            <w:shd w:val="clear" w:color="auto" w:fill="auto"/>
            <w:tcMar>
              <w:top w:w="113" w:type="dxa"/>
              <w:bottom w:w="113" w:type="dxa"/>
            </w:tcMar>
          </w:tcPr>
          <w:p w:rsidR="00991504" w:rsidRDefault="00991504" w:rsidP="00B829F6">
            <w:pPr>
              <w:pStyle w:val="7Tablebodycopy"/>
            </w:pPr>
            <w:r>
              <w:t xml:space="preserve">Some parents do not have the confidence levels/ skills sets to support remote learning –either online or hard work packs. Even with support from staff –this remains a barrier. </w:t>
            </w:r>
          </w:p>
        </w:tc>
      </w:tr>
      <w:tr w:rsidR="00991504" w:rsidTr="00991504">
        <w:trPr>
          <w:cantSplit/>
        </w:trPr>
        <w:tc>
          <w:tcPr>
            <w:tcW w:w="929" w:type="dxa"/>
            <w:shd w:val="clear" w:color="auto" w:fill="auto"/>
            <w:tcMar>
              <w:top w:w="113" w:type="dxa"/>
              <w:bottom w:w="113" w:type="dxa"/>
            </w:tcMar>
          </w:tcPr>
          <w:p w:rsidR="00991504" w:rsidRDefault="00991504" w:rsidP="00B829F6">
            <w:pPr>
              <w:pStyle w:val="7Tablebodycopy"/>
            </w:pPr>
            <w:r>
              <w:t>F</w:t>
            </w:r>
          </w:p>
        </w:tc>
        <w:tc>
          <w:tcPr>
            <w:tcW w:w="12911" w:type="dxa"/>
            <w:shd w:val="clear" w:color="auto" w:fill="auto"/>
            <w:tcMar>
              <w:top w:w="113" w:type="dxa"/>
              <w:bottom w:w="113" w:type="dxa"/>
            </w:tcMar>
          </w:tcPr>
          <w:p w:rsidR="00991504" w:rsidRDefault="00991504" w:rsidP="00B829F6">
            <w:pPr>
              <w:pStyle w:val="7Tablebodycopy"/>
            </w:pPr>
            <w:r>
              <w:t xml:space="preserve">Most of our families live in overcrowded conditions with no immediate access to outside space. Children will have had very limited access to exercise and fresh air </w:t>
            </w:r>
            <w:r w:rsidR="00C82793">
              <w:t xml:space="preserve">–this will impact upon </w:t>
            </w:r>
            <w:r w:rsidR="00485B30">
              <w:t>physical, mental health ,</w:t>
            </w:r>
            <w:proofErr w:type="spellStart"/>
            <w:r w:rsidR="00485B30">
              <w:t>behaviour</w:t>
            </w:r>
            <w:proofErr w:type="spellEnd"/>
            <w:r w:rsidR="00485B30">
              <w:t xml:space="preserve"> and family relationships</w:t>
            </w:r>
          </w:p>
        </w:tc>
      </w:tr>
      <w:tr w:rsidR="00991504" w:rsidTr="00991504">
        <w:trPr>
          <w:cantSplit/>
        </w:trPr>
        <w:tc>
          <w:tcPr>
            <w:tcW w:w="929" w:type="dxa"/>
            <w:shd w:val="clear" w:color="auto" w:fill="auto"/>
            <w:tcMar>
              <w:top w:w="113" w:type="dxa"/>
              <w:bottom w:w="113" w:type="dxa"/>
            </w:tcMar>
          </w:tcPr>
          <w:p w:rsidR="00991504" w:rsidRDefault="00991504" w:rsidP="00B829F6">
            <w:pPr>
              <w:pStyle w:val="7Tablebodycopy"/>
            </w:pPr>
            <w:r>
              <w:t>G</w:t>
            </w:r>
          </w:p>
        </w:tc>
        <w:tc>
          <w:tcPr>
            <w:tcW w:w="12911" w:type="dxa"/>
            <w:shd w:val="clear" w:color="auto" w:fill="auto"/>
            <w:tcMar>
              <w:top w:w="113" w:type="dxa"/>
              <w:bottom w:w="113" w:type="dxa"/>
            </w:tcMar>
          </w:tcPr>
          <w:p w:rsidR="00991504" w:rsidRDefault="00991504" w:rsidP="00B829F6">
            <w:pPr>
              <w:pStyle w:val="7Tablebodycopy"/>
            </w:pPr>
            <w:r>
              <w:t>Some parents/</w:t>
            </w:r>
            <w:proofErr w:type="spellStart"/>
            <w:r>
              <w:t>carers</w:t>
            </w:r>
            <w:proofErr w:type="spellEnd"/>
            <w:r>
              <w:t xml:space="preserve"> are anxious about COVID19 and are reluctant to send their child to the academy –this impacts upon attendance and overall development and progress</w:t>
            </w:r>
          </w:p>
        </w:tc>
      </w:tr>
    </w:tbl>
    <w:p w:rsidR="00991504" w:rsidRPr="00991504" w:rsidRDefault="00991504" w:rsidP="00991504">
      <w:pPr>
        <w:pStyle w:val="2Subheadpink"/>
        <w:rPr>
          <w:color w:val="auto"/>
          <w:sz w:val="24"/>
          <w:szCs w:val="24"/>
        </w:rPr>
      </w:pPr>
      <w:r w:rsidRPr="00991504">
        <w:rPr>
          <w:color w:val="auto"/>
          <w:sz w:val="24"/>
          <w:szCs w:val="24"/>
        </w:rPr>
        <w:lastRenderedPageBreak/>
        <w:t>Planned expenditure for current academic year</w:t>
      </w:r>
      <w:r>
        <w:rPr>
          <w:color w:val="auto"/>
          <w:sz w:val="24"/>
          <w:szCs w:val="24"/>
        </w:rPr>
        <w:t xml:space="preserve"> 20-21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182"/>
        <w:gridCol w:w="2082"/>
        <w:gridCol w:w="3280"/>
        <w:gridCol w:w="3271"/>
        <w:gridCol w:w="1562"/>
        <w:gridCol w:w="1463"/>
      </w:tblGrid>
      <w:tr w:rsidR="00991504" w:rsidTr="00991504">
        <w:trPr>
          <w:cantSplit/>
        </w:trPr>
        <w:tc>
          <w:tcPr>
            <w:tcW w:w="13840" w:type="dxa"/>
            <w:gridSpan w:val="6"/>
            <w:shd w:val="clear" w:color="auto" w:fill="9CC2E5"/>
            <w:tcMar>
              <w:top w:w="113" w:type="dxa"/>
              <w:bottom w:w="113" w:type="dxa"/>
            </w:tcMar>
          </w:tcPr>
          <w:p w:rsidR="00991504" w:rsidRDefault="00991504" w:rsidP="00B829F6">
            <w:pPr>
              <w:pStyle w:val="7Tablebodycopy"/>
            </w:pPr>
            <w:r>
              <w:t xml:space="preserve">Focus Area 1 </w:t>
            </w:r>
          </w:p>
        </w:tc>
      </w:tr>
      <w:tr w:rsidR="00991504" w:rsidTr="00991504">
        <w:trPr>
          <w:cantSplit/>
        </w:trPr>
        <w:tc>
          <w:tcPr>
            <w:tcW w:w="2182" w:type="dxa"/>
            <w:shd w:val="clear" w:color="auto" w:fill="auto"/>
            <w:tcMar>
              <w:top w:w="113" w:type="dxa"/>
              <w:bottom w:w="113" w:type="dxa"/>
            </w:tcMar>
          </w:tcPr>
          <w:p w:rsidR="00991504" w:rsidRDefault="00991504" w:rsidP="00B829F6">
            <w:pPr>
              <w:pStyle w:val="7Tablebodycopy"/>
            </w:pPr>
            <w:r>
              <w:t>Action</w:t>
            </w:r>
          </w:p>
        </w:tc>
        <w:tc>
          <w:tcPr>
            <w:tcW w:w="2082" w:type="dxa"/>
            <w:shd w:val="clear" w:color="auto" w:fill="auto"/>
            <w:tcMar>
              <w:top w:w="113" w:type="dxa"/>
              <w:bottom w:w="113" w:type="dxa"/>
            </w:tcMar>
          </w:tcPr>
          <w:p w:rsidR="00991504" w:rsidRDefault="00991504" w:rsidP="00B829F6">
            <w:pPr>
              <w:pStyle w:val="7Tablebodycopy"/>
            </w:pPr>
            <w:r w:rsidRPr="00D86FD0">
              <w:t>Intended outcome and success criteria</w:t>
            </w:r>
          </w:p>
        </w:tc>
        <w:tc>
          <w:tcPr>
            <w:tcW w:w="3280" w:type="dxa"/>
          </w:tcPr>
          <w:p w:rsidR="00991504" w:rsidRDefault="00991504" w:rsidP="00B829F6">
            <w:pPr>
              <w:pStyle w:val="7Tablebodybulleted"/>
              <w:numPr>
                <w:ilvl w:val="0"/>
                <w:numId w:val="0"/>
              </w:numPr>
            </w:pPr>
            <w:r>
              <w:t xml:space="preserve">Evidence </w:t>
            </w:r>
          </w:p>
        </w:tc>
        <w:tc>
          <w:tcPr>
            <w:tcW w:w="3271" w:type="dxa"/>
          </w:tcPr>
          <w:p w:rsidR="00991504" w:rsidRDefault="00991504" w:rsidP="00B829F6">
            <w:pPr>
              <w:pStyle w:val="7Tablebodybulleted"/>
              <w:numPr>
                <w:ilvl w:val="0"/>
                <w:numId w:val="0"/>
              </w:numPr>
              <w:ind w:right="27"/>
            </w:pPr>
            <w:r>
              <w:t>How will you make sure it’s implemented well?</w:t>
            </w:r>
          </w:p>
        </w:tc>
        <w:tc>
          <w:tcPr>
            <w:tcW w:w="1562" w:type="dxa"/>
          </w:tcPr>
          <w:p w:rsidR="00991504" w:rsidRDefault="00991504" w:rsidP="00B829F6">
            <w:pPr>
              <w:pStyle w:val="7Tablebodybulleted"/>
              <w:numPr>
                <w:ilvl w:val="0"/>
                <w:numId w:val="0"/>
              </w:numPr>
            </w:pPr>
            <w:r>
              <w:t>Staff lead</w:t>
            </w:r>
          </w:p>
        </w:tc>
        <w:tc>
          <w:tcPr>
            <w:tcW w:w="1463" w:type="dxa"/>
          </w:tcPr>
          <w:p w:rsidR="00991504" w:rsidRDefault="00991504" w:rsidP="00B829F6">
            <w:pPr>
              <w:pStyle w:val="7Tablebodybulleted"/>
              <w:numPr>
                <w:ilvl w:val="0"/>
                <w:numId w:val="0"/>
              </w:numPr>
              <w:ind w:right="-18"/>
            </w:pPr>
            <w:r>
              <w:t>When will you review this?</w:t>
            </w:r>
          </w:p>
        </w:tc>
      </w:tr>
      <w:tr w:rsidR="00991504" w:rsidRPr="00A9708F" w:rsidTr="00991504">
        <w:trPr>
          <w:cantSplit/>
        </w:trPr>
        <w:tc>
          <w:tcPr>
            <w:tcW w:w="2182" w:type="dxa"/>
            <w:shd w:val="clear" w:color="auto" w:fill="auto"/>
            <w:tcMar>
              <w:top w:w="113" w:type="dxa"/>
              <w:bottom w:w="113" w:type="dxa"/>
            </w:tcMar>
          </w:tcPr>
          <w:p w:rsidR="00991504" w:rsidRDefault="00991504" w:rsidP="00B829F6">
            <w:pPr>
              <w:pStyle w:val="7Tablebodycopy"/>
            </w:pPr>
            <w:r>
              <w:t>Targeted pupils to receive additional 1:1 support in reading (</w:t>
            </w:r>
            <w:proofErr w:type="spellStart"/>
            <w:r>
              <w:t>esp</w:t>
            </w:r>
            <w:proofErr w:type="spellEnd"/>
            <w:r>
              <w:t xml:space="preserve"> phonics) and spelling. </w:t>
            </w:r>
          </w:p>
          <w:p w:rsidR="00991504" w:rsidRPr="00A9708F" w:rsidRDefault="00991504" w:rsidP="00B829F6">
            <w:pPr>
              <w:pStyle w:val="7Tablebodycopy"/>
            </w:pPr>
            <w:r>
              <w:t>On</w:t>
            </w:r>
            <w:r>
              <w:t>e of the priority groups is Y6-due to secondary transition priorities.</w:t>
            </w:r>
          </w:p>
        </w:tc>
        <w:tc>
          <w:tcPr>
            <w:tcW w:w="2082" w:type="dxa"/>
            <w:shd w:val="clear" w:color="auto" w:fill="auto"/>
            <w:tcMar>
              <w:top w:w="113" w:type="dxa"/>
              <w:bottom w:w="113" w:type="dxa"/>
            </w:tcMar>
          </w:tcPr>
          <w:p w:rsidR="00991504" w:rsidRPr="00A9708F" w:rsidRDefault="00991504" w:rsidP="00B829F6">
            <w:pPr>
              <w:pStyle w:val="7Tablebodycopy"/>
            </w:pPr>
            <w:r>
              <w:t xml:space="preserve">Pupils to make progress from the baseline assessments. </w:t>
            </w:r>
          </w:p>
        </w:tc>
        <w:tc>
          <w:tcPr>
            <w:tcW w:w="3280" w:type="dxa"/>
          </w:tcPr>
          <w:p w:rsidR="00991504" w:rsidRDefault="00991504" w:rsidP="00B829F6">
            <w:pPr>
              <w:pStyle w:val="7Tablecopybulleted"/>
              <w:numPr>
                <w:ilvl w:val="0"/>
                <w:numId w:val="0"/>
              </w:numPr>
              <w:rPr>
                <w:rStyle w:val="Hyperlink"/>
              </w:rPr>
            </w:pPr>
            <w:r w:rsidRPr="003D79E5">
              <w:rPr>
                <w:rStyle w:val="Hyperlink"/>
                <w:color w:val="auto"/>
                <w:u w:val="none"/>
              </w:rPr>
              <w:t>Progress from baseline assessments</w:t>
            </w:r>
          </w:p>
          <w:p w:rsidR="00991504" w:rsidRDefault="00991504" w:rsidP="00B829F6">
            <w:pPr>
              <w:pStyle w:val="7Tablecopybulleted"/>
              <w:numPr>
                <w:ilvl w:val="0"/>
                <w:numId w:val="0"/>
              </w:numPr>
              <w:rPr>
                <w:rStyle w:val="Hyperlink"/>
              </w:rPr>
            </w:pPr>
          </w:p>
          <w:p w:rsidR="00991504" w:rsidRPr="00991504" w:rsidRDefault="00991504" w:rsidP="00B829F6">
            <w:pPr>
              <w:pStyle w:val="7Tablecopybulleted"/>
              <w:numPr>
                <w:ilvl w:val="0"/>
                <w:numId w:val="0"/>
              </w:numPr>
              <w:rPr>
                <w:highlight w:val="yellow"/>
              </w:rPr>
            </w:pPr>
            <w:r w:rsidRPr="00991504">
              <w:rPr>
                <w:rStyle w:val="Hyperlink"/>
                <w:color w:val="auto"/>
                <w:u w:val="none"/>
              </w:rPr>
              <w:t xml:space="preserve">Progress against EHCP outcomes </w:t>
            </w:r>
          </w:p>
        </w:tc>
        <w:tc>
          <w:tcPr>
            <w:tcW w:w="3271" w:type="dxa"/>
          </w:tcPr>
          <w:p w:rsidR="00991504" w:rsidRDefault="00991504" w:rsidP="00B829F6">
            <w:pPr>
              <w:pStyle w:val="7Tablebodycopy"/>
            </w:pPr>
            <w:r>
              <w:t xml:space="preserve">Pupils identified via baseline assessments </w:t>
            </w:r>
          </w:p>
          <w:p w:rsidR="00991504" w:rsidRDefault="00991504" w:rsidP="00B829F6">
            <w:pPr>
              <w:pStyle w:val="7Tablebodycopy"/>
            </w:pPr>
            <w:r>
              <w:t xml:space="preserve">All Y6 pupils to receive additional support </w:t>
            </w:r>
          </w:p>
          <w:p w:rsidR="00991504" w:rsidRPr="00A9708F" w:rsidRDefault="00991504" w:rsidP="00B829F6">
            <w:pPr>
              <w:pStyle w:val="7Tablebodycopy"/>
            </w:pPr>
            <w:r>
              <w:t>1:1 support organized and timetabled</w:t>
            </w:r>
          </w:p>
        </w:tc>
        <w:tc>
          <w:tcPr>
            <w:tcW w:w="1562" w:type="dxa"/>
          </w:tcPr>
          <w:p w:rsidR="00991504" w:rsidRDefault="00991504" w:rsidP="00B829F6">
            <w:pPr>
              <w:pStyle w:val="7Tablebodycopy"/>
            </w:pPr>
            <w:r>
              <w:t xml:space="preserve">HT </w:t>
            </w:r>
          </w:p>
          <w:p w:rsidR="00991504" w:rsidRPr="00A9708F" w:rsidRDefault="00991504" w:rsidP="00B829F6">
            <w:pPr>
              <w:pStyle w:val="7Tablebodycopy"/>
            </w:pPr>
            <w:proofErr w:type="spellStart"/>
            <w:r>
              <w:t>Asst</w:t>
            </w:r>
            <w:proofErr w:type="spellEnd"/>
            <w:r>
              <w:t xml:space="preserve"> HT for Inclusion</w:t>
            </w:r>
          </w:p>
        </w:tc>
        <w:tc>
          <w:tcPr>
            <w:tcW w:w="1463" w:type="dxa"/>
          </w:tcPr>
          <w:p w:rsidR="00991504" w:rsidRPr="00A9708F" w:rsidRDefault="00991504" w:rsidP="00B829F6">
            <w:pPr>
              <w:pStyle w:val="7Tablebodycopy"/>
            </w:pPr>
            <w:r>
              <w:t>Term 4 , 5, 6</w:t>
            </w:r>
          </w:p>
        </w:tc>
      </w:tr>
      <w:tr w:rsidR="00991504" w:rsidTr="00991504">
        <w:trPr>
          <w:cantSplit/>
        </w:trPr>
        <w:tc>
          <w:tcPr>
            <w:tcW w:w="12377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:rsidR="00991504" w:rsidRDefault="00991504" w:rsidP="00B829F6">
            <w:pPr>
              <w:pStyle w:val="7Tablebodycopy"/>
              <w:jc w:val="right"/>
            </w:pPr>
            <w:r>
              <w:t>Total budgeted cost:</w:t>
            </w:r>
          </w:p>
        </w:tc>
        <w:tc>
          <w:tcPr>
            <w:tcW w:w="1463" w:type="dxa"/>
          </w:tcPr>
          <w:p w:rsidR="00991504" w:rsidRDefault="00991504" w:rsidP="00B829F6">
            <w:pPr>
              <w:pStyle w:val="7Tablebodycopy"/>
            </w:pPr>
            <w:r>
              <w:t>£11,000</w:t>
            </w:r>
          </w:p>
        </w:tc>
      </w:tr>
      <w:tr w:rsidR="00991504" w:rsidTr="00991504">
        <w:trPr>
          <w:cantSplit/>
        </w:trPr>
        <w:tc>
          <w:tcPr>
            <w:tcW w:w="13840" w:type="dxa"/>
            <w:gridSpan w:val="6"/>
            <w:shd w:val="clear" w:color="auto" w:fill="9CC2E5"/>
            <w:tcMar>
              <w:top w:w="113" w:type="dxa"/>
              <w:bottom w:w="113" w:type="dxa"/>
            </w:tcMar>
          </w:tcPr>
          <w:p w:rsidR="00991504" w:rsidRDefault="00991504" w:rsidP="00B829F6">
            <w:pPr>
              <w:pStyle w:val="7Tablebodycopy"/>
            </w:pPr>
            <w:r>
              <w:t xml:space="preserve">Focus Area 2 </w:t>
            </w:r>
          </w:p>
        </w:tc>
      </w:tr>
      <w:tr w:rsidR="00991504" w:rsidTr="00991504">
        <w:trPr>
          <w:cantSplit/>
        </w:trPr>
        <w:tc>
          <w:tcPr>
            <w:tcW w:w="2182" w:type="dxa"/>
            <w:shd w:val="clear" w:color="auto" w:fill="auto"/>
            <w:tcMar>
              <w:top w:w="113" w:type="dxa"/>
              <w:bottom w:w="113" w:type="dxa"/>
            </w:tcMar>
          </w:tcPr>
          <w:p w:rsidR="00991504" w:rsidRDefault="00991504" w:rsidP="00B829F6">
            <w:pPr>
              <w:pStyle w:val="7Tablebodycopy"/>
            </w:pPr>
            <w:r>
              <w:t>Action</w:t>
            </w:r>
          </w:p>
        </w:tc>
        <w:tc>
          <w:tcPr>
            <w:tcW w:w="2082" w:type="dxa"/>
            <w:shd w:val="clear" w:color="auto" w:fill="auto"/>
            <w:tcMar>
              <w:top w:w="113" w:type="dxa"/>
              <w:bottom w:w="113" w:type="dxa"/>
            </w:tcMar>
          </w:tcPr>
          <w:p w:rsidR="00991504" w:rsidRDefault="00991504" w:rsidP="00B829F6">
            <w:pPr>
              <w:pStyle w:val="7Tablebodycopy"/>
            </w:pPr>
            <w:r w:rsidRPr="00D86FD0">
              <w:t>Intended outcome and success criteria</w:t>
            </w:r>
          </w:p>
        </w:tc>
        <w:tc>
          <w:tcPr>
            <w:tcW w:w="3280" w:type="dxa"/>
          </w:tcPr>
          <w:p w:rsidR="00991504" w:rsidRDefault="00991504" w:rsidP="00B829F6">
            <w:pPr>
              <w:pStyle w:val="7Tablebodybulleted"/>
              <w:numPr>
                <w:ilvl w:val="0"/>
                <w:numId w:val="0"/>
              </w:numPr>
            </w:pPr>
            <w:r>
              <w:t>Evidence</w:t>
            </w:r>
          </w:p>
        </w:tc>
        <w:tc>
          <w:tcPr>
            <w:tcW w:w="3271" w:type="dxa"/>
          </w:tcPr>
          <w:p w:rsidR="00991504" w:rsidRDefault="00991504" w:rsidP="00B829F6">
            <w:pPr>
              <w:pStyle w:val="7Tablebodybulleted"/>
              <w:numPr>
                <w:ilvl w:val="0"/>
                <w:numId w:val="0"/>
              </w:numPr>
              <w:ind w:right="27"/>
            </w:pPr>
            <w:r>
              <w:t>How will you make sure it’s implemented well?</w:t>
            </w:r>
          </w:p>
        </w:tc>
        <w:tc>
          <w:tcPr>
            <w:tcW w:w="1562" w:type="dxa"/>
          </w:tcPr>
          <w:p w:rsidR="00991504" w:rsidRDefault="00991504" w:rsidP="00B829F6">
            <w:pPr>
              <w:pStyle w:val="7Tablebodybulleted"/>
              <w:numPr>
                <w:ilvl w:val="0"/>
                <w:numId w:val="0"/>
              </w:numPr>
            </w:pPr>
            <w:r>
              <w:t>Staff lead</w:t>
            </w:r>
          </w:p>
        </w:tc>
        <w:tc>
          <w:tcPr>
            <w:tcW w:w="1463" w:type="dxa"/>
          </w:tcPr>
          <w:p w:rsidR="00991504" w:rsidRDefault="00991504" w:rsidP="00B829F6">
            <w:pPr>
              <w:pStyle w:val="7Tablebodybulleted"/>
              <w:numPr>
                <w:ilvl w:val="0"/>
                <w:numId w:val="0"/>
              </w:numPr>
              <w:ind w:right="-18"/>
            </w:pPr>
            <w:r>
              <w:t>When will you review this?</w:t>
            </w:r>
          </w:p>
        </w:tc>
      </w:tr>
      <w:tr w:rsidR="00991504" w:rsidTr="00991504">
        <w:trPr>
          <w:cantSplit/>
        </w:trPr>
        <w:tc>
          <w:tcPr>
            <w:tcW w:w="2182" w:type="dxa"/>
            <w:shd w:val="clear" w:color="auto" w:fill="auto"/>
            <w:tcMar>
              <w:top w:w="113" w:type="dxa"/>
              <w:bottom w:w="113" w:type="dxa"/>
            </w:tcMar>
          </w:tcPr>
          <w:p w:rsidR="00991504" w:rsidRDefault="00991504" w:rsidP="00B829F6">
            <w:pPr>
              <w:pStyle w:val="7Tablebodycopy"/>
            </w:pPr>
            <w:r>
              <w:t xml:space="preserve">All pupils to receive additional PE time </w:t>
            </w:r>
          </w:p>
        </w:tc>
        <w:tc>
          <w:tcPr>
            <w:tcW w:w="2082" w:type="dxa"/>
            <w:shd w:val="clear" w:color="auto" w:fill="auto"/>
            <w:tcMar>
              <w:top w:w="113" w:type="dxa"/>
              <w:bottom w:w="113" w:type="dxa"/>
            </w:tcMar>
          </w:tcPr>
          <w:p w:rsidR="00991504" w:rsidRDefault="00991504" w:rsidP="00B829F6">
            <w:pPr>
              <w:pStyle w:val="7Tablebodycopy"/>
            </w:pPr>
            <w:r>
              <w:t xml:space="preserve">Pupils to have made improvements in their levels of </w:t>
            </w:r>
            <w:proofErr w:type="gramStart"/>
            <w:r>
              <w:t>fitness .</w:t>
            </w:r>
            <w:proofErr w:type="gramEnd"/>
          </w:p>
          <w:p w:rsidR="00991504" w:rsidRDefault="00991504" w:rsidP="00B829F6">
            <w:pPr>
              <w:pStyle w:val="7Tablebodycopy"/>
            </w:pPr>
            <w:r>
              <w:t xml:space="preserve">Pupils SEMH needs to have been positively impacted upon </w:t>
            </w:r>
          </w:p>
        </w:tc>
        <w:tc>
          <w:tcPr>
            <w:tcW w:w="3280" w:type="dxa"/>
          </w:tcPr>
          <w:p w:rsidR="00991504" w:rsidRDefault="00991504" w:rsidP="00B829F6">
            <w:pPr>
              <w:pStyle w:val="7Tablebodycopy"/>
            </w:pPr>
            <w:r>
              <w:t xml:space="preserve">Improvements in their fitness tests –from baselines </w:t>
            </w:r>
          </w:p>
          <w:p w:rsidR="00991504" w:rsidRDefault="00991504" w:rsidP="00B829F6">
            <w:pPr>
              <w:pStyle w:val="7Tablebodycopy"/>
            </w:pPr>
          </w:p>
          <w:p w:rsidR="00991504" w:rsidRDefault="00991504" w:rsidP="00B829F6">
            <w:pPr>
              <w:pStyle w:val="7Tablebodycopy"/>
            </w:pPr>
            <w:r>
              <w:t xml:space="preserve">Improvements in their SIS scores – particular focus on Resilience / Managing My Emotions </w:t>
            </w:r>
          </w:p>
        </w:tc>
        <w:tc>
          <w:tcPr>
            <w:tcW w:w="3271" w:type="dxa"/>
          </w:tcPr>
          <w:p w:rsidR="00991504" w:rsidRDefault="00991504" w:rsidP="00B829F6">
            <w:pPr>
              <w:pStyle w:val="7Tablebodycopy"/>
            </w:pPr>
            <w:r>
              <w:t xml:space="preserve">Additional PE time on the timetable for all pupils </w:t>
            </w:r>
          </w:p>
          <w:p w:rsidR="00991504" w:rsidRDefault="00991504" w:rsidP="00B829F6">
            <w:pPr>
              <w:pStyle w:val="7Tablebodycopy"/>
            </w:pPr>
            <w:r>
              <w:t xml:space="preserve">Differentiated groups for PE </w:t>
            </w:r>
          </w:p>
          <w:p w:rsidR="00991504" w:rsidRDefault="00991504" w:rsidP="00B829F6">
            <w:pPr>
              <w:pStyle w:val="7Tablebodycopy"/>
            </w:pPr>
            <w:r>
              <w:t xml:space="preserve">1:1 sessions </w:t>
            </w:r>
          </w:p>
          <w:p w:rsidR="00991504" w:rsidRDefault="00991504" w:rsidP="00B829F6">
            <w:pPr>
              <w:pStyle w:val="7Tablebodycopy"/>
            </w:pPr>
          </w:p>
        </w:tc>
        <w:tc>
          <w:tcPr>
            <w:tcW w:w="1562" w:type="dxa"/>
          </w:tcPr>
          <w:p w:rsidR="00991504" w:rsidRDefault="00991504" w:rsidP="00B829F6">
            <w:pPr>
              <w:pStyle w:val="7Tablebodycopy"/>
            </w:pPr>
            <w:proofErr w:type="spellStart"/>
            <w:r>
              <w:t>Asst</w:t>
            </w:r>
            <w:proofErr w:type="spellEnd"/>
            <w:r>
              <w:t xml:space="preserve"> HT for Quality of Education </w:t>
            </w:r>
          </w:p>
          <w:p w:rsidR="00991504" w:rsidRDefault="00991504" w:rsidP="00B829F6">
            <w:pPr>
              <w:pStyle w:val="7Tablebodycopy"/>
            </w:pPr>
            <w:r>
              <w:t xml:space="preserve">PE Lead </w:t>
            </w:r>
          </w:p>
        </w:tc>
        <w:tc>
          <w:tcPr>
            <w:tcW w:w="1463" w:type="dxa"/>
          </w:tcPr>
          <w:p w:rsidR="00991504" w:rsidRDefault="00991504" w:rsidP="00B829F6">
            <w:pPr>
              <w:pStyle w:val="7Tablebodycopy"/>
            </w:pPr>
            <w:r>
              <w:t>Term 4 , 5, 6</w:t>
            </w:r>
          </w:p>
        </w:tc>
      </w:tr>
      <w:tr w:rsidR="00991504" w:rsidTr="00991504">
        <w:trPr>
          <w:cantSplit/>
        </w:trPr>
        <w:tc>
          <w:tcPr>
            <w:tcW w:w="12377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:rsidR="00991504" w:rsidRDefault="00991504" w:rsidP="00B829F6">
            <w:pPr>
              <w:pStyle w:val="7Tablebodycopy"/>
              <w:jc w:val="right"/>
            </w:pPr>
            <w:r>
              <w:t>Total budgeted cost:</w:t>
            </w:r>
          </w:p>
        </w:tc>
        <w:tc>
          <w:tcPr>
            <w:tcW w:w="1463" w:type="dxa"/>
          </w:tcPr>
          <w:p w:rsidR="00991504" w:rsidRDefault="00991504" w:rsidP="00B829F6">
            <w:pPr>
              <w:pStyle w:val="7Tablebodycopy"/>
            </w:pPr>
            <w:r>
              <w:t>£1,000</w:t>
            </w:r>
          </w:p>
        </w:tc>
      </w:tr>
    </w:tbl>
    <w:p w:rsidR="00991504" w:rsidRDefault="00991504" w:rsidP="00991504">
      <w:pPr>
        <w:pStyle w:val="1bodycopy"/>
      </w:pPr>
    </w:p>
    <w:p w:rsidR="00991504" w:rsidRDefault="00991504" w:rsidP="00991504">
      <w:pPr>
        <w:pStyle w:val="2Subheadpink"/>
        <w:rPr>
          <w:color w:val="auto"/>
        </w:rPr>
      </w:pPr>
    </w:p>
    <w:p w:rsidR="00991504" w:rsidRDefault="00991504" w:rsidP="00991504">
      <w:pPr>
        <w:pStyle w:val="2Subheadpink"/>
        <w:rPr>
          <w:color w:val="auto"/>
        </w:rPr>
      </w:pPr>
    </w:p>
    <w:p w:rsidR="00991504" w:rsidRDefault="00991504" w:rsidP="00991504">
      <w:pPr>
        <w:pStyle w:val="2Subheadpink"/>
        <w:rPr>
          <w:color w:val="auto"/>
        </w:rPr>
      </w:pPr>
    </w:p>
    <w:p w:rsidR="00991504" w:rsidRPr="00A9708F" w:rsidRDefault="00991504" w:rsidP="00991504">
      <w:pPr>
        <w:pStyle w:val="3Bulletedcopyblue"/>
        <w:numPr>
          <w:ilvl w:val="0"/>
          <w:numId w:val="0"/>
        </w:numPr>
        <w:ind w:left="340" w:right="284"/>
        <w:rPr>
          <w:highlight w:val="yellow"/>
        </w:rPr>
      </w:pPr>
    </w:p>
    <w:p w:rsidR="00991504" w:rsidRDefault="00991504"/>
    <w:sectPr w:rsidR="00991504" w:rsidSect="009915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209.1pt;height:332.35pt" o:bullet="t">
        <v:imagedata r:id="rId1" o:title="TK_LOGO_POINTER_RGB_bullet_blue"/>
      </v:shape>
    </w:pict>
  </w:numPicBullet>
  <w:numPicBullet w:numPicBulletId="1">
    <w:pict>
      <v:shape id="_x0000_i1084" type="#_x0000_t75" style="width:11.5pt;height:11.5pt" o:bullet="t">
        <v:imagedata r:id="rId2" o:title="mso657B"/>
      </v:shape>
    </w:pict>
  </w:numPicBullet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2013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2DB95849"/>
    <w:multiLevelType w:val="hybridMultilevel"/>
    <w:tmpl w:val="71A8A878"/>
    <w:lvl w:ilvl="0" w:tplc="08090007">
      <w:start w:val="1"/>
      <w:numFmt w:val="bullet"/>
      <w:lvlText w:val=""/>
      <w:lvlPicBulletId w:val="1"/>
      <w:lvlJc w:val="left"/>
      <w:pPr>
        <w:ind w:left="1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95988"/>
    <w:multiLevelType w:val="hybridMultilevel"/>
    <w:tmpl w:val="7340C806"/>
    <w:lvl w:ilvl="0" w:tplc="49441CC4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04"/>
    <w:rsid w:val="00116EED"/>
    <w:rsid w:val="00485B30"/>
    <w:rsid w:val="00947426"/>
    <w:rsid w:val="00991504"/>
    <w:rsid w:val="00C8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9773"/>
  <w15:chartTrackingRefBased/>
  <w15:docId w15:val="{00E0265E-C0F2-40A0-95D2-8BAB6ADD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copy">
    <w:name w:val="1 body copy"/>
    <w:basedOn w:val="Normal"/>
    <w:link w:val="1bodycopyChar"/>
    <w:qFormat/>
    <w:rsid w:val="00991504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3Bulletedcopyblue">
    <w:name w:val="3 Bulleted copy blue"/>
    <w:basedOn w:val="Normal"/>
    <w:qFormat/>
    <w:rsid w:val="00991504"/>
    <w:pPr>
      <w:numPr>
        <w:numId w:val="1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Char">
    <w:name w:val="1 body copy Char"/>
    <w:link w:val="1bodycopy"/>
    <w:rsid w:val="00991504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bodycopy">
    <w:name w:val="7 Table body copy"/>
    <w:basedOn w:val="1bodycopy"/>
    <w:qFormat/>
    <w:rsid w:val="00991504"/>
    <w:pPr>
      <w:spacing w:after="60"/>
    </w:pPr>
  </w:style>
  <w:style w:type="paragraph" w:customStyle="1" w:styleId="7Tablecopybulleted">
    <w:name w:val="7 Table copy bulleted"/>
    <w:basedOn w:val="7Tablebodycopy"/>
    <w:qFormat/>
    <w:rsid w:val="00991504"/>
    <w:pPr>
      <w:numPr>
        <w:numId w:val="2"/>
      </w:numPr>
      <w:ind w:left="454"/>
    </w:pPr>
  </w:style>
  <w:style w:type="paragraph" w:customStyle="1" w:styleId="2Subheadpink">
    <w:name w:val="2 Subhead pink"/>
    <w:next w:val="1bodycopy"/>
    <w:qFormat/>
    <w:rsid w:val="00991504"/>
    <w:pPr>
      <w:spacing w:before="360" w:after="120"/>
    </w:pPr>
    <w:rPr>
      <w:rFonts w:ascii="Arial" w:eastAsia="MS Mincho" w:hAnsi="Arial" w:cs="Arial"/>
      <w:b/>
      <w:color w:val="FF1F64"/>
      <w:sz w:val="32"/>
      <w:szCs w:val="32"/>
      <w:lang w:val="en-US"/>
    </w:rPr>
  </w:style>
  <w:style w:type="paragraph" w:customStyle="1" w:styleId="7Tablebodybulleted">
    <w:name w:val="7 Table body bulleted"/>
    <w:basedOn w:val="Normal"/>
    <w:qFormat/>
    <w:rsid w:val="00991504"/>
    <w:pPr>
      <w:numPr>
        <w:numId w:val="4"/>
      </w:numPr>
      <w:spacing w:after="120" w:line="240" w:lineRule="auto"/>
      <w:ind w:right="284"/>
    </w:pPr>
    <w:rPr>
      <w:rFonts w:ascii="Arial" w:eastAsia="MS Mincho" w:hAnsi="Arial" w:cs="Times New Roman"/>
      <w:sz w:val="20"/>
      <w:szCs w:val="24"/>
      <w:lang w:val="en-US"/>
    </w:rPr>
  </w:style>
  <w:style w:type="character" w:styleId="Hyperlink">
    <w:name w:val="Hyperlink"/>
    <w:uiPriority w:val="99"/>
    <w:unhideWhenUsed/>
    <w:qFormat/>
    <w:rsid w:val="00991504"/>
    <w:rPr>
      <w:color w:val="0072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Sturman</dc:creator>
  <cp:keywords/>
  <dc:description/>
  <cp:lastModifiedBy>Anne Sturman</cp:lastModifiedBy>
  <cp:revision>2</cp:revision>
  <dcterms:created xsi:type="dcterms:W3CDTF">2021-02-04T13:43:00Z</dcterms:created>
  <dcterms:modified xsi:type="dcterms:W3CDTF">2021-02-04T13:43:00Z</dcterms:modified>
</cp:coreProperties>
</file>