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E42F" w14:textId="59364FBC" w:rsidR="006D7220" w:rsidRDefault="00F379A4">
      <w:pPr>
        <w:ind w:left="7" w:right="39"/>
      </w:pPr>
      <w:r>
        <w:rPr>
          <w:b/>
          <w:noProof/>
          <w:u w:val="single"/>
        </w:rPr>
        <w:drawing>
          <wp:anchor distT="0" distB="0" distL="114300" distR="114300" simplePos="0" relativeHeight="251659264" behindDoc="1" locked="0" layoutInCell="1" allowOverlap="1" wp14:anchorId="43997BF1" wp14:editId="15D965F8">
            <wp:simplePos x="0" y="0"/>
            <wp:positionH relativeFrom="column">
              <wp:posOffset>1642745</wp:posOffset>
            </wp:positionH>
            <wp:positionV relativeFrom="paragraph">
              <wp:posOffset>88265</wp:posOffset>
            </wp:positionV>
            <wp:extent cx="2857503" cy="904875"/>
            <wp:effectExtent l="0" t="0" r="0" b="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3" cy="904875"/>
                    </a:xfrm>
                    <a:prstGeom prst="rect">
                      <a:avLst/>
                    </a:prstGeom>
                  </pic:spPr>
                </pic:pic>
              </a:graphicData>
            </a:graphic>
            <wp14:sizeRelH relativeFrom="page">
              <wp14:pctWidth>0</wp14:pctWidth>
            </wp14:sizeRelH>
            <wp14:sizeRelV relativeFrom="page">
              <wp14:pctHeight>0</wp14:pctHeight>
            </wp14:sizeRelV>
          </wp:anchor>
        </w:drawing>
      </w:r>
    </w:p>
    <w:p w14:paraId="5BFA3B83" w14:textId="5F1F9224" w:rsidR="00211554" w:rsidRDefault="00211554" w:rsidP="00211554">
      <w:pPr>
        <w:spacing w:after="133" w:line="259" w:lineRule="auto"/>
        <w:ind w:left="82" w:right="0" w:firstLine="0"/>
        <w:jc w:val="center"/>
      </w:pPr>
      <w:r>
        <w:fldChar w:fldCharType="begin"/>
      </w:r>
      <w:r>
        <w:instrText xml:space="preserve"> INCLUDEPICTURE "/Users/chriswright/Library/Group Containers/UBF8T346G9.ms/WebArchiveCopyPasteTempFiles/com.microsoft.Word/KET%20logo(1).png" \* MERGEFORMATINET </w:instrText>
      </w:r>
      <w:r>
        <w:fldChar w:fldCharType="separate"/>
      </w:r>
      <w:r>
        <w:fldChar w:fldCharType="end"/>
      </w:r>
      <w:r>
        <w:rPr>
          <w:b/>
          <w:color w:val="0058A4"/>
          <w:sz w:val="30"/>
        </w:rPr>
        <w:t xml:space="preserve"> </w:t>
      </w:r>
    </w:p>
    <w:p w14:paraId="6496154A" w14:textId="77777777" w:rsidR="00F379A4" w:rsidRDefault="00F379A4" w:rsidP="00211554">
      <w:pPr>
        <w:spacing w:after="124" w:line="259" w:lineRule="auto"/>
        <w:ind w:left="59" w:right="0" w:firstLine="0"/>
        <w:jc w:val="center"/>
        <w:rPr>
          <w:b/>
          <w:color w:val="0058A4"/>
          <w:sz w:val="44"/>
          <w:u w:val="single" w:color="000000"/>
        </w:rPr>
      </w:pPr>
    </w:p>
    <w:p w14:paraId="75F153EC" w14:textId="77777777" w:rsidR="00F379A4" w:rsidRDefault="00F379A4" w:rsidP="00211554">
      <w:pPr>
        <w:spacing w:after="124" w:line="259" w:lineRule="auto"/>
        <w:ind w:left="59" w:right="0" w:firstLine="0"/>
        <w:jc w:val="center"/>
        <w:rPr>
          <w:b/>
          <w:color w:val="0058A4"/>
          <w:sz w:val="44"/>
          <w:u w:val="single" w:color="000000"/>
        </w:rPr>
      </w:pPr>
    </w:p>
    <w:p w14:paraId="29CA0375" w14:textId="6CBBA68D" w:rsidR="00211554" w:rsidRPr="00211554" w:rsidRDefault="00211554" w:rsidP="00211554">
      <w:pPr>
        <w:spacing w:after="124" w:line="259" w:lineRule="auto"/>
        <w:ind w:left="59" w:right="0" w:firstLine="0"/>
        <w:jc w:val="center"/>
        <w:rPr>
          <w:b/>
          <w:color w:val="0058A4"/>
          <w:sz w:val="44"/>
          <w:u w:val="single" w:color="000000"/>
        </w:rPr>
      </w:pPr>
      <w:r w:rsidRPr="00211554">
        <w:rPr>
          <w:b/>
          <w:color w:val="0058A4"/>
          <w:sz w:val="44"/>
          <w:u w:val="single" w:color="000000"/>
        </w:rPr>
        <w:t>The Key Educational Trust</w:t>
      </w:r>
    </w:p>
    <w:p w14:paraId="2560FAB9" w14:textId="504D32CD" w:rsidR="00211554" w:rsidRDefault="00211554" w:rsidP="00211554">
      <w:pPr>
        <w:spacing w:after="124" w:line="259" w:lineRule="auto"/>
        <w:ind w:left="59" w:right="0" w:firstLine="0"/>
        <w:jc w:val="center"/>
      </w:pPr>
      <w:r>
        <w:rPr>
          <w:b/>
          <w:color w:val="0058A4"/>
          <w:sz w:val="44"/>
          <w:u w:val="single" w:color="000000"/>
        </w:rPr>
        <w:t>Curriculum Statement</w:t>
      </w:r>
    </w:p>
    <w:p w14:paraId="147F637A" w14:textId="77777777" w:rsidR="00211554" w:rsidRDefault="00211554" w:rsidP="00BD57C4">
      <w:pPr>
        <w:pStyle w:val="Heading1"/>
      </w:pPr>
      <w:r>
        <w:t xml:space="preserve">Trust Vision </w:t>
      </w:r>
    </w:p>
    <w:p w14:paraId="7617F1BE" w14:textId="77777777" w:rsidR="00211554" w:rsidRPr="007B3BDB" w:rsidRDefault="00211554" w:rsidP="00211554">
      <w:pPr>
        <w:ind w:left="-5" w:right="0"/>
      </w:pPr>
      <w:r w:rsidRPr="007B3BDB">
        <w:t>To enable all children to achieve their best, reach their potential and contribute fully to society through creating an environment which stimulates, challenges and instils a love of lifelong learning and which is enhanced through the promotion of our Christian Values.</w:t>
      </w:r>
    </w:p>
    <w:p w14:paraId="0FA20F98" w14:textId="77777777" w:rsidR="00211554" w:rsidRPr="007B3BDB" w:rsidRDefault="00211554" w:rsidP="00211554">
      <w:pPr>
        <w:ind w:left="-5" w:right="0"/>
      </w:pPr>
      <w:r w:rsidRPr="007B3BDB">
        <w:t xml:space="preserve">We believe every young person deserves the best possible start in life – a </w:t>
      </w:r>
      <w:proofErr w:type="gramStart"/>
      <w:r w:rsidRPr="007B3BDB">
        <w:t>first class</w:t>
      </w:r>
      <w:proofErr w:type="gramEnd"/>
      <w:r w:rsidRPr="007B3BDB">
        <w:t xml:space="preserve"> education aimed at helping the children in KET schools become successful learners, confident individuals and responsible citizens.</w:t>
      </w:r>
    </w:p>
    <w:p w14:paraId="64E3F82C" w14:textId="62170029" w:rsidR="00D85866" w:rsidRDefault="00211554" w:rsidP="004041F0">
      <w:pPr>
        <w:ind w:left="-5" w:right="0"/>
      </w:pPr>
      <w:r>
        <w:t xml:space="preserve">Our Trust Christian ethos </w:t>
      </w:r>
      <w:r w:rsidRPr="00497678">
        <w:t xml:space="preserve">and values ensure that all members of the school community are valued and respected equally irrespective of gender, race belief and ability in all they do. </w:t>
      </w:r>
    </w:p>
    <w:p w14:paraId="18B499F0" w14:textId="77777777" w:rsidR="00D85866" w:rsidRDefault="00F379A4">
      <w:pPr>
        <w:pStyle w:val="Heading1"/>
      </w:pPr>
      <w:r>
        <w:t xml:space="preserve">Curriculum Statement </w:t>
      </w:r>
    </w:p>
    <w:p w14:paraId="63823984" w14:textId="7FA447A3" w:rsidR="00D85866" w:rsidRDefault="00F379A4">
      <w:pPr>
        <w:spacing w:after="211" w:line="267" w:lineRule="auto"/>
        <w:ind w:left="-5" w:right="37"/>
      </w:pPr>
      <w:r>
        <w:rPr>
          <w:b/>
        </w:rPr>
        <w:t xml:space="preserve">Within </w:t>
      </w:r>
      <w:r w:rsidR="004041F0">
        <w:rPr>
          <w:b/>
        </w:rPr>
        <w:t>The Key Educational</w:t>
      </w:r>
      <w:r>
        <w:rPr>
          <w:b/>
        </w:rPr>
        <w:t xml:space="preserve"> Trust, we encourage each academy to have a curriculum that is unique to them, designed and personalised to ensure it meets the distinctive needs of their pupils and community. </w:t>
      </w:r>
    </w:p>
    <w:p w14:paraId="15E5790A" w14:textId="684069D6" w:rsidR="00D85866" w:rsidRDefault="00F379A4">
      <w:pPr>
        <w:ind w:left="7" w:right="39"/>
      </w:pPr>
      <w:r>
        <w:t xml:space="preserve">There is a </w:t>
      </w:r>
      <w:r w:rsidR="00B26E56">
        <w:t>Trust</w:t>
      </w:r>
      <w:r>
        <w:t xml:space="preserve"> expectation that each academy</w:t>
      </w:r>
      <w:r w:rsidR="00B26E56">
        <w:t>/school</w:t>
      </w:r>
      <w:r>
        <w:t xml:space="preserve">’s curriculum is ambitious, underpinned by the national curriculum, considers current research and ensures our children will be well-rounded individuals who are prepared for the next stage of their education and future aspirations.  </w:t>
      </w:r>
    </w:p>
    <w:p w14:paraId="1F612051" w14:textId="33EC776E" w:rsidR="00D85866" w:rsidRDefault="00F379A4">
      <w:pPr>
        <w:ind w:left="7" w:right="39"/>
      </w:pPr>
      <w:r>
        <w:t xml:space="preserve">The pupils in our care should be guided, supported, and challenged on a journey of memorable learning through enriched experiences fostering a love of learning and a thirst for knowledge. Each academy’s curriculum should nurture an ambition for our children and staff to deepen their curiosity about, understanding of, and respect for, the world around them, whilst being supportive of their health and wellbeing.  </w:t>
      </w:r>
    </w:p>
    <w:p w14:paraId="6C21994B" w14:textId="3B5514D3" w:rsidR="00D85866" w:rsidRDefault="00F379A4">
      <w:pPr>
        <w:ind w:left="7" w:right="39"/>
      </w:pPr>
      <w:r>
        <w:t xml:space="preserve">Each academy’s unique curriculum should be carefully designed to ensure that it takes account of the aims of the national curriculum in each subject, allows children to know more and remember more while making links with previous learning. This should ensure progression, systematic coverage and retention of transferrable knowledge and skills. It aims to provide accessible, engaging and inspirational journeys where learners thrive and build the social and cultural capital, they need to make aspirational choices about their own future. Each academy's curriculum is underpinned by its own values which are carefully aligned to those of </w:t>
      </w:r>
      <w:r w:rsidR="098A7549">
        <w:t>The Key Educational Trust</w:t>
      </w:r>
      <w:r>
        <w:t xml:space="preserve">.  </w:t>
      </w:r>
    </w:p>
    <w:p w14:paraId="6002B23A" w14:textId="77777777" w:rsidR="00D85866" w:rsidRDefault="00F379A4">
      <w:pPr>
        <w:ind w:left="7" w:right="39"/>
      </w:pPr>
      <w:r>
        <w:t xml:space="preserve">Teaching and learning in our Church academies is shaped by their Christian vision which enables pupils to flourish and embraces the wider framework of spiritual, social, moral and cultural development. </w:t>
      </w:r>
    </w:p>
    <w:p w14:paraId="2785E28D" w14:textId="494B8FC1" w:rsidR="00D85866" w:rsidRDefault="00F379A4">
      <w:pPr>
        <w:spacing w:after="0" w:line="259" w:lineRule="auto"/>
        <w:ind w:left="0" w:right="0" w:firstLine="0"/>
        <w:jc w:val="left"/>
      </w:pPr>
      <w:r>
        <w:rPr>
          <w:b/>
        </w:rPr>
        <w:tab/>
        <w:t xml:space="preserve"> </w:t>
      </w:r>
      <w:r>
        <w:rPr>
          <w:b/>
        </w:rPr>
        <w:tab/>
        <w:t xml:space="preserve"> </w:t>
      </w:r>
      <w:r>
        <w:rPr>
          <w:b/>
        </w:rPr>
        <w:tab/>
        <w:t xml:space="preserve"> </w:t>
      </w:r>
    </w:p>
    <w:p w14:paraId="5650F31E" w14:textId="15B3B975" w:rsidR="00D85866" w:rsidRDefault="00F379A4">
      <w:pPr>
        <w:spacing w:after="7"/>
        <w:ind w:left="7" w:right="39"/>
      </w:pPr>
      <w:r>
        <w:t xml:space="preserve">As part of the curriculum, each academy actively promotes the fundamental British values of democracy, the rule of law, individual liberty and mutual respect and tolerance of those with different faiths and beliefs. These British values are inextricably underpinned by </w:t>
      </w:r>
      <w:r w:rsidR="001D5A32">
        <w:t xml:space="preserve">The Key Educational Trust’s </w:t>
      </w:r>
      <w:r>
        <w:t xml:space="preserve">values. We are highly ambitious for all our children. </w:t>
      </w:r>
    </w:p>
    <w:p w14:paraId="32CF1CCA" w14:textId="77777777" w:rsidR="001D5A32" w:rsidRDefault="001D5A32">
      <w:pPr>
        <w:spacing w:after="7"/>
        <w:ind w:left="7" w:right="39"/>
      </w:pPr>
    </w:p>
    <w:p w14:paraId="7A8BB311" w14:textId="77777777" w:rsidR="00D85866" w:rsidRDefault="00F379A4">
      <w:pPr>
        <w:spacing w:after="0"/>
        <w:ind w:left="7" w:right="39"/>
      </w:pPr>
      <w:r>
        <w:t xml:space="preserve">All staff know the key knowledge and skills that children should achieve at the end of each year and learning </w:t>
      </w:r>
    </w:p>
    <w:p w14:paraId="4B8F0A2E" w14:textId="50298713" w:rsidR="00F379A4" w:rsidRDefault="00F379A4" w:rsidP="00BD57C4">
      <w:pPr>
        <w:ind w:left="0" w:right="39" w:firstLine="0"/>
      </w:pPr>
      <w:r>
        <w:t>is carefully planned to meet these points. We ensure the intent of the curriculum considers the needs of our disadvantaged pupils with a ‘</w:t>
      </w:r>
      <w:r w:rsidRPr="001D5A32">
        <w:rPr>
          <w:b/>
          <w:bCs/>
          <w:shd w:val="clear" w:color="auto" w:fill="D9D9D9" w:themeFill="background1" w:themeFillShade="D9"/>
        </w:rPr>
        <w:t>pedagogy of power’, not a ‘pedagogy of poverty’</w:t>
      </w:r>
      <w:r>
        <w:t xml:space="preserve">. </w:t>
      </w:r>
    </w:p>
    <w:p w14:paraId="642FD5A4" w14:textId="6EE5C02C" w:rsidR="00BD57C4" w:rsidRPr="00F379A4" w:rsidRDefault="00F379A4" w:rsidP="00F379A4">
      <w:pPr>
        <w:tabs>
          <w:tab w:val="left" w:pos="2640"/>
        </w:tabs>
      </w:pPr>
      <w:r>
        <w:lastRenderedPageBreak/>
        <w:tab/>
      </w:r>
      <w:r>
        <w:tab/>
      </w:r>
    </w:p>
    <w:p w14:paraId="15CFD034" w14:textId="3CA2C5E7" w:rsidR="00D85866" w:rsidRDefault="00F379A4" w:rsidP="00BD57C4">
      <w:pPr>
        <w:ind w:left="0" w:right="39" w:firstLine="0"/>
      </w:pPr>
      <w:r>
        <w:t xml:space="preserve">Our children with special educational needs and disabilities are also provided with a rich and relevant curriculum which, where possible, matches that of their peers. The curriculum is not narrowed as children get older. All children, throughout the academy receive a broad and balanced curriculum which is aimed at improving their knowledge and skills in a progressive manner. </w:t>
      </w:r>
    </w:p>
    <w:p w14:paraId="3959D98E" w14:textId="77990EF6" w:rsidR="00D85866" w:rsidRDefault="00F379A4" w:rsidP="004E28A0">
      <w:pPr>
        <w:spacing w:after="11"/>
        <w:ind w:left="7" w:right="39"/>
      </w:pPr>
      <w:r>
        <w:t xml:space="preserve">In order that our children have the resilience and adaptability to thrive and achieve in </w:t>
      </w:r>
      <w:r w:rsidR="004E28A0">
        <w:t>an</w:t>
      </w:r>
      <w:r>
        <w:t xml:space="preserve"> unpredictable world, our teaching and learning will ensure that </w:t>
      </w:r>
      <w:r w:rsidRPr="00AA71FE">
        <w:rPr>
          <w:shd w:val="clear" w:color="auto" w:fill="D9D9D9" w:themeFill="background1" w:themeFillShade="D9"/>
        </w:rPr>
        <w:t>‘learning to learn skills’</w:t>
      </w:r>
      <w:r>
        <w:t xml:space="preserve"> are interwoven throughout our curricula. </w:t>
      </w:r>
    </w:p>
    <w:p w14:paraId="392315B9" w14:textId="77777777" w:rsidR="004E28A0" w:rsidRDefault="004E28A0" w:rsidP="004E28A0">
      <w:pPr>
        <w:spacing w:after="11"/>
        <w:ind w:left="7" w:right="39"/>
      </w:pPr>
    </w:p>
    <w:p w14:paraId="46FBE112" w14:textId="77777777" w:rsidR="00D85866" w:rsidRDefault="00F379A4">
      <w:pPr>
        <w:ind w:left="7" w:right="39"/>
      </w:pPr>
      <w:r>
        <w:t xml:space="preserve">The curriculum offer should be able to adapt seamlessly to sudden changes by harnessing fluency between classroom, home and blended or hybrid learning. This will provide our children with the skills, attitudes and behaviours to meet the challenges of the future, be they social, emotional, health, digital or environmental.  </w:t>
      </w:r>
    </w:p>
    <w:p w14:paraId="47F64A21" w14:textId="77777777" w:rsidR="00D85866" w:rsidRDefault="00F379A4">
      <w:pPr>
        <w:ind w:left="7" w:right="39"/>
      </w:pPr>
      <w:r>
        <w:t xml:space="preserve">We will ensure that all our children have the essential support, basic skills, knowledge and love of learning to be ready to thrive, achieve and succeed in the next stage of their education and the world of work. </w:t>
      </w:r>
    </w:p>
    <w:p w14:paraId="1D7FE9F1" w14:textId="3EF99EA6" w:rsidR="00D85866" w:rsidRDefault="00F379A4" w:rsidP="00A65DBB">
      <w:pPr>
        <w:spacing w:after="213" w:line="259" w:lineRule="auto"/>
        <w:ind w:left="0" w:right="0" w:firstLine="0"/>
        <w:jc w:val="left"/>
      </w:pPr>
      <w:r>
        <w:t xml:space="preserve">  </w:t>
      </w:r>
    </w:p>
    <w:p w14:paraId="4F3E9486" w14:textId="1CDFE94B" w:rsidR="00D85866" w:rsidRDefault="00A65DBB">
      <w:pPr>
        <w:spacing w:after="0" w:line="267" w:lineRule="auto"/>
        <w:ind w:left="-5" w:right="37"/>
      </w:pPr>
      <w:r>
        <w:rPr>
          <w:b/>
        </w:rPr>
        <w:t>Chris Wright</w:t>
      </w:r>
    </w:p>
    <w:p w14:paraId="2ED4A795" w14:textId="77777777" w:rsidR="00D85866" w:rsidRDefault="00F379A4">
      <w:pPr>
        <w:spacing w:after="0"/>
        <w:ind w:left="7" w:right="39"/>
      </w:pPr>
      <w:r>
        <w:t xml:space="preserve">Chief Executive Officer </w:t>
      </w:r>
    </w:p>
    <w:p w14:paraId="2F2DBCDF" w14:textId="2209CA1B" w:rsidR="00D85866" w:rsidRDefault="00A65DBB">
      <w:pPr>
        <w:ind w:left="7" w:right="5228"/>
      </w:pPr>
      <w:r>
        <w:t xml:space="preserve">KET Board of Directors Chief Executive Officer  </w:t>
      </w:r>
    </w:p>
    <w:p w14:paraId="08B38444" w14:textId="4E387504" w:rsidR="00D85866" w:rsidRDefault="00F379A4">
      <w:pPr>
        <w:ind w:left="7" w:right="39"/>
      </w:pPr>
      <w:r>
        <w:t>December</w:t>
      </w:r>
      <w:r w:rsidR="00A65DBB">
        <w:t xml:space="preserve"> 202</w:t>
      </w:r>
      <w:r w:rsidR="00FB69B2">
        <w:t>5</w:t>
      </w:r>
    </w:p>
    <w:p w14:paraId="69E5E297" w14:textId="64F42BA5" w:rsidR="00D85866" w:rsidRDefault="00F379A4">
      <w:pPr>
        <w:spacing w:after="220" w:line="259" w:lineRule="auto"/>
        <w:ind w:left="0" w:right="0" w:firstLine="0"/>
        <w:jc w:val="left"/>
      </w:pPr>
      <w:r>
        <w:t xml:space="preserve"> </w:t>
      </w:r>
    </w:p>
    <w:p w14:paraId="3332BC68" w14:textId="77777777" w:rsidR="00D85866" w:rsidRDefault="00F379A4">
      <w:pPr>
        <w:spacing w:after="240" w:line="259" w:lineRule="auto"/>
        <w:ind w:left="0" w:right="0" w:firstLine="0"/>
        <w:jc w:val="left"/>
      </w:pPr>
      <w:r>
        <w:t xml:space="preserve"> </w:t>
      </w:r>
    </w:p>
    <w:p w14:paraId="3C72BDCB" w14:textId="77777777" w:rsidR="00D85866" w:rsidRDefault="00F379A4">
      <w:pPr>
        <w:spacing w:after="6092" w:line="259" w:lineRule="auto"/>
        <w:ind w:left="0" w:right="0" w:firstLine="0"/>
        <w:jc w:val="right"/>
      </w:pPr>
      <w:r>
        <w:rPr>
          <w:rFonts w:ascii="Calibri" w:eastAsia="Calibri" w:hAnsi="Calibri" w:cs="Calibri"/>
          <w:sz w:val="22"/>
        </w:rPr>
        <w:t xml:space="preserve"> </w:t>
      </w:r>
    </w:p>
    <w:p w14:paraId="18E7F0B0" w14:textId="77777777" w:rsidR="00D85866" w:rsidRDefault="00F379A4">
      <w:pPr>
        <w:spacing w:after="63" w:line="259" w:lineRule="auto"/>
        <w:ind w:left="-28" w:right="0" w:firstLine="0"/>
        <w:jc w:val="left"/>
      </w:pPr>
      <w:r>
        <w:rPr>
          <w:rFonts w:ascii="Calibri" w:eastAsia="Calibri" w:hAnsi="Calibri" w:cs="Calibri"/>
          <w:noProof/>
          <w:sz w:val="22"/>
        </w:rPr>
        <mc:AlternateContent>
          <mc:Choice Requires="wpg">
            <w:drawing>
              <wp:inline distT="0" distB="0" distL="0" distR="0" wp14:anchorId="67ED2467" wp14:editId="0F9A5FCF">
                <wp:extent cx="6166485" cy="5080"/>
                <wp:effectExtent l="0" t="0" r="0" b="0"/>
                <wp:docPr id="1880" name="Group 1880"/>
                <wp:cNvGraphicFramePr/>
                <a:graphic xmlns:a="http://schemas.openxmlformats.org/drawingml/2006/main">
                  <a:graphicData uri="http://schemas.microsoft.com/office/word/2010/wordprocessingGroup">
                    <wpg:wgp>
                      <wpg:cNvGrpSpPr/>
                      <wpg:grpSpPr>
                        <a:xfrm>
                          <a:off x="0" y="0"/>
                          <a:ext cx="6166485" cy="5080"/>
                          <a:chOff x="0" y="0"/>
                          <a:chExt cx="6166485" cy="5080"/>
                        </a:xfrm>
                      </wpg:grpSpPr>
                      <wps:wsp>
                        <wps:cNvPr id="2335" name="Shape 2335"/>
                        <wps:cNvSpPr/>
                        <wps:spPr>
                          <a:xfrm>
                            <a:off x="0" y="0"/>
                            <a:ext cx="6166485" cy="9144"/>
                          </a:xfrm>
                          <a:custGeom>
                            <a:avLst/>
                            <a:gdLst/>
                            <a:ahLst/>
                            <a:cxnLst/>
                            <a:rect l="0" t="0" r="0" b="0"/>
                            <a:pathLst>
                              <a:path w="6166485" h="9144">
                                <a:moveTo>
                                  <a:pt x="0" y="0"/>
                                </a:moveTo>
                                <a:lnTo>
                                  <a:pt x="6166485" y="0"/>
                                </a:lnTo>
                                <a:lnTo>
                                  <a:pt x="6166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54B33154">
              <v:group id="Group 1880" style="width:485.55pt;height:0.399963pt;mso-position-horizontal-relative:char;mso-position-vertical-relative:line" coordsize="61664,50">
                <v:shape id="Shape 2336" style="position:absolute;width:61664;height:91;left:0;top:0;" coordsize="6166485,9144" path="m0,0l6166485,0l6166485,9144l0,9144l0,0">
                  <v:stroke on="false" weight="0pt" color="#000000" opacity="0" miterlimit="10" joinstyle="miter" endcap="flat"/>
                  <v:fill on="true" color="#d9d9d9"/>
                </v:shape>
              </v:group>
            </w:pict>
          </mc:Fallback>
        </mc:AlternateContent>
      </w:r>
    </w:p>
    <w:p w14:paraId="15093E8C" w14:textId="5DF268F4" w:rsidR="00D85866" w:rsidRDefault="00F379A4">
      <w:pPr>
        <w:tabs>
          <w:tab w:val="center" w:pos="4821"/>
          <w:tab w:val="right" w:pos="9705"/>
        </w:tabs>
        <w:spacing w:after="182" w:line="259" w:lineRule="auto"/>
        <w:ind w:left="-15" w:right="0" w:firstLine="0"/>
        <w:jc w:val="left"/>
        <w:rPr>
          <w:rFonts w:ascii="Calibri" w:eastAsia="Calibri" w:hAnsi="Calibri" w:cs="Calibri"/>
          <w:b/>
          <w:sz w:val="22"/>
        </w:rPr>
      </w:pPr>
      <w:r>
        <w:rPr>
          <w:rFonts w:ascii="Calibri" w:eastAsia="Calibri" w:hAnsi="Calibri" w:cs="Calibri"/>
          <w:sz w:val="22"/>
        </w:rPr>
        <w:tab/>
        <w:t xml:space="preserve"> </w:t>
      </w:r>
      <w:r>
        <w:rPr>
          <w:rFonts w:ascii="Calibri" w:eastAsia="Calibri" w:hAnsi="Calibri" w:cs="Calibri"/>
          <w:b/>
          <w:sz w:val="22"/>
        </w:rPr>
        <w:t xml:space="preserve">2 | </w:t>
      </w:r>
      <w:r>
        <w:rPr>
          <w:rFonts w:ascii="Calibri" w:eastAsia="Calibri" w:hAnsi="Calibri" w:cs="Calibri"/>
          <w:color w:val="7F7F7F"/>
          <w:sz w:val="22"/>
        </w:rPr>
        <w:t>P a g e</w:t>
      </w:r>
      <w:r>
        <w:rPr>
          <w:rFonts w:ascii="Calibri" w:eastAsia="Calibri" w:hAnsi="Calibri" w:cs="Calibri"/>
          <w:b/>
          <w:sz w:val="22"/>
        </w:rPr>
        <w:t xml:space="preserve"> </w:t>
      </w:r>
    </w:p>
    <w:p w14:paraId="450DF6E7" w14:textId="77777777" w:rsidR="00FB69B2" w:rsidRPr="00FB69B2" w:rsidRDefault="00FB69B2" w:rsidP="00FB69B2"/>
    <w:p w14:paraId="14BDC6A6" w14:textId="77777777" w:rsidR="00FB69B2" w:rsidRDefault="00FB69B2" w:rsidP="00FB69B2">
      <w:pPr>
        <w:jc w:val="right"/>
        <w:rPr>
          <w:rFonts w:ascii="Calibri" w:eastAsia="Calibri" w:hAnsi="Calibri" w:cs="Calibri"/>
          <w:b/>
          <w:sz w:val="22"/>
        </w:rPr>
      </w:pPr>
    </w:p>
    <w:p w14:paraId="28BAD3E0" w14:textId="77777777" w:rsidR="00FB69B2" w:rsidRPr="00FB69B2" w:rsidRDefault="00FB69B2" w:rsidP="00FB69B2"/>
    <w:sectPr w:rsidR="00FB69B2" w:rsidRPr="00FB69B2" w:rsidSect="00BD57C4">
      <w:footerReference w:type="default" r:id="rId7"/>
      <w:pgSz w:w="11920" w:h="16840"/>
      <w:pgMar w:top="611" w:right="1083" w:bottom="565" w:left="1133" w:header="72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6938" w14:textId="77777777" w:rsidR="00560254" w:rsidRDefault="00560254" w:rsidP="00B26E56">
      <w:pPr>
        <w:spacing w:after="0" w:line="240" w:lineRule="auto"/>
      </w:pPr>
      <w:r>
        <w:separator/>
      </w:r>
    </w:p>
  </w:endnote>
  <w:endnote w:type="continuationSeparator" w:id="0">
    <w:p w14:paraId="51E1D5DF" w14:textId="77777777" w:rsidR="00560254" w:rsidRDefault="00560254" w:rsidP="00B2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7982" w14:textId="3E70FB0A" w:rsidR="00B26E56" w:rsidRDefault="00B26E56" w:rsidP="00B26E56">
    <w:pPr>
      <w:tabs>
        <w:tab w:val="center" w:pos="4821"/>
        <w:tab w:val="right" w:pos="9705"/>
      </w:tabs>
      <w:spacing w:after="182" w:line="259" w:lineRule="auto"/>
      <w:ind w:left="-15" w:right="0" w:firstLine="0"/>
      <w:jc w:val="left"/>
    </w:pPr>
    <w:r>
      <w:rPr>
        <w:rFonts w:ascii="Calibri" w:eastAsia="Calibri" w:hAnsi="Calibri" w:cs="Calibri"/>
        <w:sz w:val="22"/>
      </w:rPr>
      <w:t xml:space="preserve">KET Curriculum Statement - </w:t>
    </w:r>
    <w:r w:rsidR="00F379A4">
      <w:rPr>
        <w:rFonts w:ascii="Calibri" w:eastAsia="Calibri" w:hAnsi="Calibri" w:cs="Calibri"/>
        <w:sz w:val="22"/>
      </w:rPr>
      <w:t>December</w:t>
    </w:r>
    <w:r>
      <w:rPr>
        <w:rFonts w:ascii="Calibri" w:eastAsia="Calibri" w:hAnsi="Calibri" w:cs="Calibri"/>
        <w:sz w:val="22"/>
      </w:rPr>
      <w:t xml:space="preserve"> 202</w:t>
    </w:r>
    <w:r w:rsidR="00FB69B2">
      <w:rPr>
        <w:rFonts w:ascii="Calibri" w:eastAsia="Calibri" w:hAnsi="Calibri" w:cs="Calibri"/>
        <w:sz w:val="22"/>
      </w:rPr>
      <w:t>5</w:t>
    </w:r>
    <w:r>
      <w:rPr>
        <w:rFonts w:ascii="Calibri" w:eastAsia="Calibri" w:hAnsi="Calibri" w:cs="Calibri"/>
        <w:sz w:val="22"/>
      </w:rPr>
      <w:tab/>
    </w:r>
    <w:r>
      <w:rPr>
        <w:rFonts w:ascii="Calibri" w:eastAsia="Calibri" w:hAnsi="Calibri" w:cs="Calibri"/>
        <w:sz w:val="22"/>
      </w:rPr>
      <w:tab/>
      <w:t xml:space="preserve"> </w:t>
    </w:r>
    <w:r w:rsidR="00FB69B2">
      <w:rPr>
        <w:rFonts w:ascii="Calibri" w:eastAsia="Calibri" w:hAnsi="Calibri" w:cs="Calibri"/>
        <w:b/>
        <w:sz w:val="22"/>
      </w:rPr>
      <w:t>2</w:t>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EBD6" w14:textId="77777777" w:rsidR="00560254" w:rsidRDefault="00560254" w:rsidP="00B26E56">
      <w:pPr>
        <w:spacing w:after="0" w:line="240" w:lineRule="auto"/>
      </w:pPr>
      <w:r>
        <w:separator/>
      </w:r>
    </w:p>
  </w:footnote>
  <w:footnote w:type="continuationSeparator" w:id="0">
    <w:p w14:paraId="26EA91DF" w14:textId="77777777" w:rsidR="00560254" w:rsidRDefault="00560254" w:rsidP="00B26E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66"/>
    <w:rsid w:val="0004776B"/>
    <w:rsid w:val="001D5A32"/>
    <w:rsid w:val="00211554"/>
    <w:rsid w:val="003D2432"/>
    <w:rsid w:val="004041F0"/>
    <w:rsid w:val="00441B8C"/>
    <w:rsid w:val="00495F22"/>
    <w:rsid w:val="004E28A0"/>
    <w:rsid w:val="00560254"/>
    <w:rsid w:val="006D7220"/>
    <w:rsid w:val="00A65DBB"/>
    <w:rsid w:val="00AA71FE"/>
    <w:rsid w:val="00B26E56"/>
    <w:rsid w:val="00BD57C4"/>
    <w:rsid w:val="00C67A5D"/>
    <w:rsid w:val="00D85866"/>
    <w:rsid w:val="00F379A4"/>
    <w:rsid w:val="00FB69B2"/>
    <w:rsid w:val="098A7549"/>
    <w:rsid w:val="3EE2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3BC0"/>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9" w:lineRule="auto"/>
      <w:ind w:left="10" w:right="48" w:hanging="10"/>
      <w:jc w:val="both"/>
    </w:pPr>
    <w:rPr>
      <w:rFonts w:ascii="Arial" w:eastAsia="Arial" w:hAnsi="Arial" w:cs="Arial"/>
      <w:color w:val="000000"/>
      <w:sz w:val="20"/>
      <w:lang w:bidi="en-GB"/>
    </w:rPr>
  </w:style>
  <w:style w:type="paragraph" w:styleId="Heading1">
    <w:name w:val="heading 1"/>
    <w:next w:val="Normal"/>
    <w:link w:val="Heading1Char"/>
    <w:uiPriority w:val="9"/>
    <w:qFormat/>
    <w:pPr>
      <w:keepNext/>
      <w:keepLines/>
      <w:spacing w:after="151" w:line="259" w:lineRule="auto"/>
      <w:outlineLvl w:val="0"/>
    </w:pPr>
    <w:rPr>
      <w:rFonts w:ascii="Arial" w:eastAsia="Arial" w:hAnsi="Arial" w:cs="Arial"/>
      <w:b/>
      <w:color w:val="0070C0"/>
      <w:sz w:val="22"/>
    </w:rPr>
  </w:style>
  <w:style w:type="paragraph" w:styleId="Heading2">
    <w:name w:val="heading 2"/>
    <w:basedOn w:val="Normal"/>
    <w:next w:val="Normal"/>
    <w:link w:val="Heading2Char"/>
    <w:uiPriority w:val="9"/>
    <w:semiHidden/>
    <w:unhideWhenUsed/>
    <w:qFormat/>
    <w:rsid w:val="0021155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2"/>
    </w:rPr>
  </w:style>
  <w:style w:type="character" w:customStyle="1" w:styleId="Heading2Char">
    <w:name w:val="Heading 2 Char"/>
    <w:basedOn w:val="DefaultParagraphFont"/>
    <w:link w:val="Heading2"/>
    <w:uiPriority w:val="9"/>
    <w:semiHidden/>
    <w:rsid w:val="00211554"/>
    <w:rPr>
      <w:rFonts w:asciiTheme="majorHAnsi" w:eastAsiaTheme="majorEastAsia" w:hAnsiTheme="majorHAnsi" w:cstheme="majorBidi"/>
      <w:color w:val="0F4761" w:themeColor="accent1" w:themeShade="BF"/>
      <w:sz w:val="26"/>
      <w:szCs w:val="26"/>
      <w:lang w:bidi="en-GB"/>
    </w:rPr>
  </w:style>
  <w:style w:type="paragraph" w:styleId="Header">
    <w:name w:val="header"/>
    <w:basedOn w:val="Normal"/>
    <w:link w:val="HeaderChar"/>
    <w:uiPriority w:val="99"/>
    <w:unhideWhenUsed/>
    <w:rsid w:val="00B26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E56"/>
    <w:rPr>
      <w:rFonts w:ascii="Arial" w:eastAsia="Arial" w:hAnsi="Arial" w:cs="Arial"/>
      <w:color w:val="000000"/>
      <w:sz w:val="20"/>
      <w:lang w:bidi="en-GB"/>
    </w:rPr>
  </w:style>
  <w:style w:type="paragraph" w:styleId="Footer">
    <w:name w:val="footer"/>
    <w:basedOn w:val="Normal"/>
    <w:link w:val="FooterChar"/>
    <w:uiPriority w:val="99"/>
    <w:unhideWhenUsed/>
    <w:rsid w:val="00B26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E56"/>
    <w:rPr>
      <w:rFonts w:ascii="Arial" w:eastAsia="Arial" w:hAnsi="Arial" w:cs="Arial"/>
      <w:color w:val="000000"/>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3734</Characters>
  <Application>Microsoft Office Word</Application>
  <DocSecurity>0</DocSecurity>
  <Lines>68</Lines>
  <Paragraphs>24</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cp:lastModifiedBy>Chris Wright</cp:lastModifiedBy>
  <cp:revision>15</cp:revision>
  <dcterms:created xsi:type="dcterms:W3CDTF">2024-06-04T09:08:00Z</dcterms:created>
  <dcterms:modified xsi:type="dcterms:W3CDTF">2026-01-21T09:41:00Z</dcterms:modified>
</cp:coreProperties>
</file>