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87F5" w14:textId="77777777" w:rsidR="00490F4F" w:rsidRPr="00490F4F" w:rsidRDefault="00490F4F" w:rsidP="00490F4F">
      <w:pPr>
        <w:spacing w:after="0"/>
        <w:rPr>
          <w:rFonts w:ascii="Arial" w:hAnsi="Arial" w:cs="Arial"/>
          <w:b/>
          <w:color w:val="1F4E79" w:themeColor="accent1" w:themeShade="80"/>
          <w:sz w:val="16"/>
          <w:szCs w:val="36"/>
        </w:rPr>
      </w:pPr>
    </w:p>
    <w:p w14:paraId="70EFDC91" w14:textId="71DEC731" w:rsidR="006936B2" w:rsidRPr="00490F4F" w:rsidRDefault="00106975" w:rsidP="00490F4F">
      <w:pPr>
        <w:spacing w:after="0"/>
        <w:rPr>
          <w:rFonts w:ascii="Arial" w:hAnsi="Arial" w:cs="Arial"/>
          <w:b/>
          <w:color w:val="1F4E79" w:themeColor="accent1" w:themeShade="80"/>
          <w:sz w:val="32"/>
          <w:szCs w:val="36"/>
        </w:rPr>
      </w:pPr>
      <w:r w:rsidRPr="00490F4F">
        <w:rPr>
          <w:rFonts w:ascii="Arial" w:hAnsi="Arial" w:cs="Arial"/>
          <w:b/>
          <w:color w:val="1F4E79" w:themeColor="accent1" w:themeShade="80"/>
          <w:sz w:val="32"/>
          <w:szCs w:val="36"/>
        </w:rPr>
        <w:t>Kirkburton Middle School</w:t>
      </w:r>
      <w:r w:rsidR="00490F4F" w:rsidRPr="00490F4F">
        <w:rPr>
          <w:rFonts w:ascii="Arial" w:hAnsi="Arial" w:cs="Arial"/>
          <w:b/>
          <w:color w:val="1F4E79" w:themeColor="accent1" w:themeShade="80"/>
          <w:sz w:val="32"/>
          <w:szCs w:val="36"/>
        </w:rPr>
        <w:t xml:space="preserve">- </w:t>
      </w:r>
      <w:r w:rsidRPr="00490F4F">
        <w:rPr>
          <w:rFonts w:ascii="Arial" w:hAnsi="Arial" w:cs="Arial"/>
          <w:b/>
          <w:color w:val="1F4E79" w:themeColor="accent1" w:themeShade="80"/>
          <w:sz w:val="32"/>
          <w:szCs w:val="36"/>
        </w:rPr>
        <w:t>Pupil premium strategy statement</w:t>
      </w:r>
    </w:p>
    <w:p w14:paraId="25A907F6" w14:textId="77777777" w:rsidR="00490F4F" w:rsidRDefault="00490F4F" w:rsidP="00490F4F">
      <w:pPr>
        <w:spacing w:after="0"/>
        <w:rPr>
          <w:rFonts w:ascii="Arial" w:hAnsi="Arial" w:cs="Arial"/>
          <w:b/>
          <w:sz w:val="24"/>
          <w:szCs w:val="24"/>
        </w:rPr>
      </w:pPr>
    </w:p>
    <w:p w14:paraId="1AA73941" w14:textId="569823FA" w:rsidR="00490F4F" w:rsidRPr="00490F4F" w:rsidRDefault="00490F4F" w:rsidP="00490F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</w:p>
    <w:p w14:paraId="753423F4" w14:textId="40EA4152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  <w:r w:rsidRPr="00490F4F">
        <w:rPr>
          <w:rFonts w:ascii="Arial" w:hAnsi="Arial" w:cs="Arial"/>
          <w:sz w:val="24"/>
          <w:szCs w:val="24"/>
        </w:rPr>
        <w:t>Publicly-funded schools in England get extra funding from the government to help them improve the attainment of their disadvantaged pupils.</w:t>
      </w:r>
      <w:r>
        <w:rPr>
          <w:rFonts w:ascii="Arial" w:hAnsi="Arial" w:cs="Arial"/>
          <w:sz w:val="24"/>
          <w:szCs w:val="24"/>
        </w:rPr>
        <w:t xml:space="preserve"> </w:t>
      </w:r>
      <w:r w:rsidRPr="00490F4F">
        <w:rPr>
          <w:rFonts w:ascii="Arial" w:hAnsi="Arial" w:cs="Arial"/>
          <w:sz w:val="24"/>
          <w:szCs w:val="24"/>
        </w:rPr>
        <w:t>Evidence shows that children from disadvantaged backgrounds:</w:t>
      </w:r>
    </w:p>
    <w:p w14:paraId="6C542FDD" w14:textId="77777777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</w:p>
    <w:p w14:paraId="3EE058F2" w14:textId="77777777" w:rsidR="00490F4F" w:rsidRDefault="00490F4F" w:rsidP="00490F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0F4F">
        <w:rPr>
          <w:rFonts w:ascii="Arial" w:hAnsi="Arial" w:cs="Arial"/>
          <w:sz w:val="24"/>
          <w:szCs w:val="24"/>
        </w:rPr>
        <w:t>generally face extra challenges in reaching their potential at school</w:t>
      </w:r>
    </w:p>
    <w:p w14:paraId="1731F067" w14:textId="41E0E657" w:rsidR="00490F4F" w:rsidRPr="00490F4F" w:rsidRDefault="00490F4F" w:rsidP="00490F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0F4F">
        <w:rPr>
          <w:rFonts w:ascii="Arial" w:hAnsi="Arial" w:cs="Arial"/>
          <w:sz w:val="24"/>
          <w:szCs w:val="24"/>
        </w:rPr>
        <w:t>often do not perform as well as their peers</w:t>
      </w:r>
    </w:p>
    <w:p w14:paraId="282F98DF" w14:textId="77777777" w:rsid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</w:p>
    <w:p w14:paraId="3339F7F2" w14:textId="45087B81" w:rsid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  <w:r w:rsidRPr="00490F4F">
        <w:rPr>
          <w:rFonts w:ascii="Arial" w:hAnsi="Arial" w:cs="Arial"/>
          <w:sz w:val="24"/>
          <w:szCs w:val="24"/>
        </w:rPr>
        <w:t>The pupil premium grant is designed to allow schools to help disadvantaged pupils by improving their progress and the exam results they achieve.</w:t>
      </w:r>
    </w:p>
    <w:p w14:paraId="7176CB31" w14:textId="3BFCB03F" w:rsid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</w:p>
    <w:p w14:paraId="71769F88" w14:textId="127F4059" w:rsidR="00490F4F" w:rsidRPr="00490F4F" w:rsidRDefault="00490F4F" w:rsidP="00490F4F">
      <w:pPr>
        <w:spacing w:after="0"/>
        <w:rPr>
          <w:rFonts w:ascii="Arial" w:hAnsi="Arial" w:cs="Arial"/>
          <w:b/>
          <w:sz w:val="24"/>
          <w:szCs w:val="24"/>
        </w:rPr>
      </w:pPr>
      <w:r w:rsidRPr="00490F4F">
        <w:rPr>
          <w:rFonts w:ascii="Arial" w:hAnsi="Arial" w:cs="Arial"/>
          <w:b/>
          <w:sz w:val="24"/>
          <w:szCs w:val="24"/>
        </w:rPr>
        <w:t>Eligibility and funding</w:t>
      </w:r>
    </w:p>
    <w:p w14:paraId="68022B70" w14:textId="6ED315D8" w:rsid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  <w:r w:rsidRPr="00490F4F">
        <w:rPr>
          <w:rFonts w:ascii="Arial" w:hAnsi="Arial" w:cs="Arial"/>
          <w:sz w:val="24"/>
          <w:szCs w:val="24"/>
        </w:rPr>
        <w:t>Schools get pupil premium funding based on the number of pupils they have in January each year from the following groups.</w:t>
      </w:r>
    </w:p>
    <w:p w14:paraId="32F9FFF9" w14:textId="3BDDBAB7" w:rsid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</w:p>
    <w:p w14:paraId="44475289" w14:textId="36D45EF0" w:rsidR="00490F4F" w:rsidRPr="00490F4F" w:rsidRDefault="00490F4F" w:rsidP="00490F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Free school meals</w:t>
      </w:r>
    </w:p>
    <w:p w14:paraId="7A222BCC" w14:textId="03B1276B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get £1,345</w:t>
      </w:r>
      <w:r w:rsidRPr="00490F4F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every primary age pupil, or £95</w:t>
      </w:r>
      <w:r w:rsidRPr="00490F4F">
        <w:rPr>
          <w:rFonts w:ascii="Arial" w:hAnsi="Arial" w:cs="Arial"/>
          <w:sz w:val="24"/>
          <w:szCs w:val="24"/>
        </w:rPr>
        <w:t>5 for every secondary age pupil, who claims free school meals, or who has claimed free school meals in the last 6 years.</w:t>
      </w:r>
    </w:p>
    <w:p w14:paraId="0BF71B10" w14:textId="77777777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</w:p>
    <w:p w14:paraId="7F2A4BF6" w14:textId="3301F892" w:rsidR="00490F4F" w:rsidRPr="00490F4F" w:rsidRDefault="00490F4F" w:rsidP="00490F4F">
      <w:pPr>
        <w:spacing w:after="0"/>
        <w:rPr>
          <w:rFonts w:ascii="Arial" w:hAnsi="Arial" w:cs="Arial"/>
          <w:b/>
          <w:sz w:val="24"/>
          <w:szCs w:val="24"/>
        </w:rPr>
      </w:pPr>
      <w:r w:rsidRPr="00490F4F">
        <w:rPr>
          <w:rFonts w:ascii="Arial" w:hAnsi="Arial" w:cs="Arial"/>
          <w:b/>
          <w:sz w:val="24"/>
          <w:szCs w:val="24"/>
        </w:rPr>
        <w:t>Looked-after and previously looked-after children</w:t>
      </w:r>
    </w:p>
    <w:p w14:paraId="30B77FED" w14:textId="1F9BB02C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  <w:r w:rsidRPr="00490F4F"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hools get £2,345</w:t>
      </w:r>
      <w:r w:rsidRPr="00490F4F">
        <w:rPr>
          <w:rFonts w:ascii="Arial" w:hAnsi="Arial" w:cs="Arial"/>
          <w:sz w:val="24"/>
          <w:szCs w:val="24"/>
        </w:rPr>
        <w:t xml:space="preserve"> for every pupil who has left local authority care through adoption, a special guardianship ord</w:t>
      </w:r>
      <w:r>
        <w:rPr>
          <w:rFonts w:ascii="Arial" w:hAnsi="Arial" w:cs="Arial"/>
          <w:sz w:val="24"/>
          <w:szCs w:val="24"/>
        </w:rPr>
        <w:t>er or child arrangements order. L</w:t>
      </w:r>
      <w:r w:rsidRPr="00490F4F">
        <w:rPr>
          <w:rFonts w:ascii="Arial" w:hAnsi="Arial" w:cs="Arial"/>
          <w:sz w:val="24"/>
          <w:szCs w:val="24"/>
        </w:rPr>
        <w:t>ocal authorities get the same amount for each child they are looking after; they must work with the school to decide how the money is used to support the child’s Personal Education Plan.</w:t>
      </w:r>
    </w:p>
    <w:p w14:paraId="3BEAAEDF" w14:textId="07981C6B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</w:p>
    <w:p w14:paraId="620AFD0B" w14:textId="23E417C1" w:rsidR="00490F4F" w:rsidRPr="00490F4F" w:rsidRDefault="00490F4F" w:rsidP="00490F4F">
      <w:pPr>
        <w:spacing w:after="0"/>
        <w:rPr>
          <w:rFonts w:ascii="Arial" w:hAnsi="Arial" w:cs="Arial"/>
          <w:b/>
          <w:sz w:val="24"/>
          <w:szCs w:val="24"/>
        </w:rPr>
      </w:pPr>
      <w:r w:rsidRPr="00490F4F">
        <w:rPr>
          <w:rFonts w:ascii="Arial" w:hAnsi="Arial" w:cs="Arial"/>
          <w:b/>
          <w:sz w:val="24"/>
          <w:szCs w:val="24"/>
        </w:rPr>
        <w:t>Service premium</w:t>
      </w:r>
    </w:p>
    <w:p w14:paraId="75D8D0E0" w14:textId="77777777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  <w:r w:rsidRPr="00490F4F">
        <w:rPr>
          <w:rFonts w:ascii="Arial" w:hAnsi="Arial" w:cs="Arial"/>
          <w:sz w:val="24"/>
          <w:szCs w:val="24"/>
        </w:rPr>
        <w:t>The service premium is not part of the pupil premium as the rules to attract the service premium are different.</w:t>
      </w:r>
    </w:p>
    <w:p w14:paraId="19D22ACC" w14:textId="77777777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</w:p>
    <w:p w14:paraId="2EC08CAE" w14:textId="04BB127F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get £31</w:t>
      </w:r>
      <w:r w:rsidRPr="00490F4F">
        <w:rPr>
          <w:rFonts w:ascii="Arial" w:hAnsi="Arial" w:cs="Arial"/>
          <w:sz w:val="24"/>
          <w:szCs w:val="24"/>
        </w:rPr>
        <w:t>0 for every pupil with a parent who:</w:t>
      </w:r>
    </w:p>
    <w:p w14:paraId="2BE1CE5F" w14:textId="77777777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</w:p>
    <w:p w14:paraId="420D2189" w14:textId="77777777" w:rsidR="00490F4F" w:rsidRDefault="00490F4F" w:rsidP="00490F4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90F4F">
        <w:rPr>
          <w:rFonts w:ascii="Arial" w:hAnsi="Arial" w:cs="Arial"/>
          <w:sz w:val="24"/>
          <w:szCs w:val="24"/>
        </w:rPr>
        <w:t>is serving in HM Forces</w:t>
      </w:r>
    </w:p>
    <w:p w14:paraId="1595EC85" w14:textId="2E41EE8D" w:rsidR="00490F4F" w:rsidRPr="00490F4F" w:rsidRDefault="00490F4F" w:rsidP="00490F4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90F4F">
        <w:rPr>
          <w:rFonts w:ascii="Arial" w:hAnsi="Arial" w:cs="Arial"/>
          <w:sz w:val="24"/>
          <w:szCs w:val="24"/>
        </w:rPr>
        <w:t>has retired on a pension from the Ministry of Defence</w:t>
      </w:r>
    </w:p>
    <w:p w14:paraId="52898F40" w14:textId="0CCC52EC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  <w:r w:rsidRPr="00490F4F">
        <w:rPr>
          <w:rFonts w:ascii="Arial" w:hAnsi="Arial" w:cs="Arial"/>
          <w:sz w:val="24"/>
          <w:szCs w:val="24"/>
        </w:rPr>
        <w:t>This funding is to help with pastoral support.</w:t>
      </w:r>
    </w:p>
    <w:p w14:paraId="5ABC857C" w14:textId="2DD88CAF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</w:p>
    <w:p w14:paraId="0D59BB05" w14:textId="0458B434" w:rsidR="00490F4F" w:rsidRDefault="00490F4F" w:rsidP="00490F4F">
      <w:pPr>
        <w:spacing w:after="0"/>
        <w:rPr>
          <w:rFonts w:ascii="Arial" w:hAnsi="Arial" w:cs="Arial"/>
          <w:b/>
          <w:sz w:val="24"/>
          <w:szCs w:val="24"/>
        </w:rPr>
      </w:pPr>
      <w:r w:rsidRPr="00490F4F">
        <w:rPr>
          <w:rFonts w:ascii="Arial" w:hAnsi="Arial" w:cs="Arial"/>
          <w:b/>
          <w:sz w:val="24"/>
          <w:szCs w:val="24"/>
        </w:rPr>
        <w:t>Academically able pupils</w:t>
      </w:r>
    </w:p>
    <w:p w14:paraId="5A05DC12" w14:textId="77777777" w:rsidR="00490F4F" w:rsidRPr="00490F4F" w:rsidRDefault="00490F4F" w:rsidP="00490F4F">
      <w:pPr>
        <w:spacing w:after="0"/>
        <w:rPr>
          <w:rFonts w:ascii="Arial" w:hAnsi="Arial" w:cs="Arial"/>
          <w:b/>
          <w:sz w:val="24"/>
          <w:szCs w:val="24"/>
        </w:rPr>
      </w:pPr>
    </w:p>
    <w:p w14:paraId="4668618B" w14:textId="77777777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  <w:r w:rsidRPr="00490F4F">
        <w:rPr>
          <w:rFonts w:ascii="Arial" w:hAnsi="Arial" w:cs="Arial"/>
          <w:sz w:val="24"/>
          <w:szCs w:val="24"/>
        </w:rPr>
        <w:t>The pupil premium is not based on ability.</w:t>
      </w:r>
    </w:p>
    <w:p w14:paraId="2D72EA36" w14:textId="77777777" w:rsidR="00490F4F" w:rsidRP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</w:p>
    <w:p w14:paraId="4450CE5B" w14:textId="297784FC" w:rsidR="00490F4F" w:rsidRDefault="00490F4F" w:rsidP="00490F4F">
      <w:pPr>
        <w:spacing w:after="0"/>
        <w:rPr>
          <w:rFonts w:ascii="Arial" w:hAnsi="Arial" w:cs="Arial"/>
          <w:sz w:val="24"/>
          <w:szCs w:val="24"/>
        </w:rPr>
      </w:pPr>
      <w:r w:rsidRPr="00490F4F">
        <w:rPr>
          <w:rFonts w:ascii="Arial" w:hAnsi="Arial" w:cs="Arial"/>
          <w:sz w:val="24"/>
          <w:szCs w:val="24"/>
        </w:rPr>
        <w:t>Research shows that the most academically able pupils from disadvantaged backgrounds are most at risk of under-performing. Schools should focus on these pupils just as m</w:t>
      </w:r>
      <w:r>
        <w:rPr>
          <w:rFonts w:ascii="Arial" w:hAnsi="Arial" w:cs="Arial"/>
          <w:sz w:val="24"/>
          <w:szCs w:val="24"/>
        </w:rPr>
        <w:t>uch as pupils with low results.</w:t>
      </w:r>
    </w:p>
    <w:p w14:paraId="5FF7C600" w14:textId="05D8AE15" w:rsidR="00106975" w:rsidRPr="006936B2" w:rsidRDefault="00106975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6936B2">
        <w:rPr>
          <w:rFonts w:ascii="Arial" w:hAnsi="Arial" w:cs="Arial"/>
          <w:b/>
          <w:color w:val="1F4E79" w:themeColor="accent1" w:themeShade="80"/>
          <w:sz w:val="24"/>
          <w:szCs w:val="24"/>
        </w:rPr>
        <w:lastRenderedPageBreak/>
        <w:t>School overview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106975" w14:paraId="73E76772" w14:textId="77777777" w:rsidTr="008A59C0">
        <w:trPr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E36A" w14:textId="77777777" w:rsidR="00106975" w:rsidRDefault="00106975" w:rsidP="00810465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252F" w14:textId="77777777" w:rsidR="00106975" w:rsidRDefault="00106975" w:rsidP="00810465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106975" w14:paraId="2070089F" w14:textId="77777777" w:rsidTr="008A59C0">
        <w:trPr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656C" w14:textId="77777777" w:rsidR="00106975" w:rsidRDefault="00106975" w:rsidP="00810465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8E05" w14:textId="77777777" w:rsidR="00106975" w:rsidRDefault="00106975" w:rsidP="00810465">
            <w:pPr>
              <w:pStyle w:val="TableRow"/>
            </w:pPr>
            <w:r>
              <w:t>Kirkburton Middle School</w:t>
            </w:r>
          </w:p>
        </w:tc>
      </w:tr>
      <w:tr w:rsidR="00106975" w14:paraId="0EC2303E" w14:textId="77777777" w:rsidTr="008A59C0">
        <w:trPr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7516" w14:textId="77777777" w:rsidR="00106975" w:rsidRDefault="00106975" w:rsidP="0081046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7EC0" w14:textId="174D4363" w:rsidR="00106975" w:rsidRDefault="00CB5FA1" w:rsidP="00810465">
            <w:pPr>
              <w:pStyle w:val="TableRow"/>
            </w:pPr>
            <w:r>
              <w:t>509</w:t>
            </w:r>
          </w:p>
        </w:tc>
      </w:tr>
      <w:tr w:rsidR="00106975" w14:paraId="228D1F2F" w14:textId="77777777" w:rsidTr="008A59C0">
        <w:trPr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7F9B" w14:textId="77777777" w:rsidR="00106975" w:rsidRDefault="00106975" w:rsidP="0081046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4947" w14:textId="2640D9F9" w:rsidR="00106975" w:rsidRDefault="00106975" w:rsidP="00CB5FA1">
            <w:pPr>
              <w:pStyle w:val="TableRow"/>
            </w:pPr>
            <w:r w:rsidRPr="00041C70">
              <w:t>1</w:t>
            </w:r>
            <w:r w:rsidR="00041C70" w:rsidRPr="00041C70">
              <w:t>5.3</w:t>
            </w:r>
            <w:r w:rsidRPr="00041C70">
              <w:t>%</w:t>
            </w:r>
          </w:p>
        </w:tc>
      </w:tr>
      <w:tr w:rsidR="00106975" w14:paraId="59163604" w14:textId="77777777" w:rsidTr="008A59C0">
        <w:trPr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0141" w14:textId="77777777" w:rsidR="00106975" w:rsidRDefault="00106975" w:rsidP="0081046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D069" w14:textId="3D0A8CDD" w:rsidR="00106975" w:rsidRDefault="00106975" w:rsidP="00CC5459">
            <w:pPr>
              <w:pStyle w:val="TableRow"/>
            </w:pPr>
            <w:r w:rsidRPr="00CC5459">
              <w:t>£</w:t>
            </w:r>
            <w:r w:rsidR="00CC5459">
              <w:t>85,000</w:t>
            </w:r>
          </w:p>
        </w:tc>
      </w:tr>
      <w:tr w:rsidR="00106975" w14:paraId="41C7E4EA" w14:textId="77777777" w:rsidTr="008A59C0">
        <w:trPr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2A8B" w14:textId="77777777" w:rsidR="00106975" w:rsidRDefault="00106975" w:rsidP="0081046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F057" w14:textId="3D9BDD16" w:rsidR="00106975" w:rsidRDefault="00483EDD" w:rsidP="00810465">
            <w:pPr>
              <w:pStyle w:val="TableRow"/>
            </w:pPr>
            <w:r>
              <w:t>2019-2022</w:t>
            </w:r>
          </w:p>
        </w:tc>
      </w:tr>
      <w:tr w:rsidR="00106975" w14:paraId="4D1E1EE9" w14:textId="77777777" w:rsidTr="008A59C0">
        <w:trPr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BE66" w14:textId="77777777" w:rsidR="00106975" w:rsidRDefault="00106975" w:rsidP="0081046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1D47" w14:textId="5DC8A3E4" w:rsidR="00106975" w:rsidRDefault="00483EDD" w:rsidP="00810465">
            <w:pPr>
              <w:pStyle w:val="TableRow"/>
            </w:pPr>
            <w:r>
              <w:t>September</w:t>
            </w:r>
            <w:r w:rsidR="00106975">
              <w:t xml:space="preserve"> 2020</w:t>
            </w:r>
          </w:p>
        </w:tc>
      </w:tr>
      <w:tr w:rsidR="00106975" w14:paraId="7753D859" w14:textId="77777777" w:rsidTr="008A59C0">
        <w:trPr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9CB3" w14:textId="77777777" w:rsidR="00106975" w:rsidRDefault="00106975" w:rsidP="0081046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4084" w14:textId="77220D0E" w:rsidR="00106975" w:rsidRDefault="00483EDD" w:rsidP="00483EDD">
            <w:pPr>
              <w:pStyle w:val="TableRow"/>
            </w:pPr>
            <w:r>
              <w:t>September 2021</w:t>
            </w:r>
          </w:p>
        </w:tc>
      </w:tr>
      <w:tr w:rsidR="00106975" w14:paraId="31F8C305" w14:textId="77777777" w:rsidTr="008A59C0">
        <w:trPr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CAB6" w14:textId="77777777" w:rsidR="00106975" w:rsidRDefault="00106975" w:rsidP="0081046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960A" w14:textId="77777777" w:rsidR="00106975" w:rsidRDefault="00106975" w:rsidP="00810465">
            <w:pPr>
              <w:pStyle w:val="TableRow"/>
            </w:pPr>
            <w:r>
              <w:t>C Taylor</w:t>
            </w:r>
          </w:p>
        </w:tc>
      </w:tr>
      <w:tr w:rsidR="00106975" w14:paraId="78B9719B" w14:textId="77777777" w:rsidTr="008A59C0">
        <w:trPr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51F0" w14:textId="77777777" w:rsidR="00106975" w:rsidRDefault="00106975" w:rsidP="0081046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23BA" w14:textId="58FE02A6" w:rsidR="00106975" w:rsidRDefault="00CB5FA1" w:rsidP="00810465">
            <w:pPr>
              <w:pStyle w:val="TableRow"/>
            </w:pPr>
            <w:r>
              <w:t>V Joyce</w:t>
            </w:r>
          </w:p>
        </w:tc>
      </w:tr>
      <w:tr w:rsidR="00106975" w14:paraId="58F438B6" w14:textId="77777777" w:rsidTr="008A59C0">
        <w:trPr>
          <w:trHeight w:val="381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3BBE" w14:textId="77777777" w:rsidR="00106975" w:rsidRDefault="00106975" w:rsidP="0081046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F2B7" w14:textId="24CD69C3" w:rsidR="00106975" w:rsidRDefault="008F5D02" w:rsidP="00810465">
            <w:pPr>
              <w:pStyle w:val="TableRow"/>
            </w:pPr>
            <w:r>
              <w:t>V Green</w:t>
            </w:r>
          </w:p>
        </w:tc>
      </w:tr>
    </w:tbl>
    <w:p w14:paraId="10BE2B37" w14:textId="22903EA7" w:rsidR="006936B2" w:rsidRDefault="006936B2" w:rsidP="008A59C0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5B375B02" w14:textId="575576E2" w:rsidR="00106975" w:rsidRDefault="00106975" w:rsidP="008A59C0">
      <w:pPr>
        <w:spacing w:before="240"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06975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Disadvantaged pupil progress scores for last </w:t>
      </w:r>
      <w:r w:rsidR="008A59C0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(tested) </w:t>
      </w:r>
      <w:r w:rsidRPr="00106975">
        <w:rPr>
          <w:rFonts w:ascii="Arial" w:hAnsi="Arial" w:cs="Arial"/>
          <w:b/>
          <w:color w:val="1F4E79" w:themeColor="accent1" w:themeShade="80"/>
          <w:sz w:val="24"/>
          <w:szCs w:val="24"/>
        </w:rPr>
        <w:t>academic year</w:t>
      </w:r>
      <w:r w:rsidR="00483EDD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(18-19)</w:t>
      </w:r>
    </w:p>
    <w:p w14:paraId="04BEAF1F" w14:textId="77777777" w:rsidR="008A59C0" w:rsidRDefault="008A59C0" w:rsidP="008A59C0">
      <w:pPr>
        <w:spacing w:before="240"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2079"/>
        <w:gridCol w:w="2079"/>
        <w:gridCol w:w="2079"/>
      </w:tblGrid>
      <w:tr w:rsidR="001D346D" w14:paraId="61622E83" w14:textId="187A5C3B" w:rsidTr="001D346D">
        <w:trPr>
          <w:trHeight w:val="381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53E9" w14:textId="77777777" w:rsidR="001D346D" w:rsidRDefault="001D346D" w:rsidP="00810465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2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17FD" w14:textId="77777777" w:rsidR="001D346D" w:rsidRDefault="001D346D" w:rsidP="001D346D">
            <w:pPr>
              <w:pStyle w:val="TableRo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Score</w:t>
            </w:r>
          </w:p>
          <w:p w14:paraId="48BEF8F8" w14:textId="5F6F4310" w:rsidR="00D811AD" w:rsidRDefault="00D811AD" w:rsidP="001D346D">
            <w:pPr>
              <w:pStyle w:val="TableRow"/>
              <w:jc w:val="center"/>
            </w:pPr>
            <w:r>
              <w:rPr>
                <w:b/>
                <w:sz w:val="22"/>
                <w:szCs w:val="22"/>
              </w:rPr>
              <w:t>(disadvantaged)</w:t>
            </w:r>
          </w:p>
        </w:tc>
        <w:tc>
          <w:tcPr>
            <w:tcW w:w="2079" w:type="dxa"/>
          </w:tcPr>
          <w:p w14:paraId="77A6FE4B" w14:textId="30F49168" w:rsidR="001D346D" w:rsidRDefault="001D346D" w:rsidP="001D346D">
            <w:pPr>
              <w:pStyle w:val="TableRo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Average (disadvantaged)</w:t>
            </w:r>
          </w:p>
        </w:tc>
        <w:tc>
          <w:tcPr>
            <w:tcW w:w="2079" w:type="dxa"/>
          </w:tcPr>
          <w:p w14:paraId="00E71CCC" w14:textId="3D4873FC" w:rsidR="001D346D" w:rsidRDefault="001D346D" w:rsidP="001D346D">
            <w:pPr>
              <w:pStyle w:val="TableRo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Average</w:t>
            </w:r>
          </w:p>
          <w:p w14:paraId="2930FEC7" w14:textId="42EE8765" w:rsidR="001D346D" w:rsidRDefault="001D346D" w:rsidP="001D346D">
            <w:pPr>
              <w:pStyle w:val="TableRo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(non- disadvantaged)</w:t>
            </w:r>
          </w:p>
        </w:tc>
      </w:tr>
      <w:tr w:rsidR="001D346D" w14:paraId="4ED5318E" w14:textId="2D5FFB71" w:rsidTr="001D346D">
        <w:trPr>
          <w:trHeight w:val="381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516D" w14:textId="77777777" w:rsidR="001D346D" w:rsidRPr="001D346D" w:rsidRDefault="001D346D" w:rsidP="00810465">
            <w:pPr>
              <w:pStyle w:val="TableRow"/>
              <w:rPr>
                <w:b/>
              </w:rPr>
            </w:pPr>
            <w:r w:rsidRPr="001D346D">
              <w:rPr>
                <w:rFonts w:cs="Calibri"/>
                <w:b/>
                <w:sz w:val="22"/>
                <w:szCs w:val="22"/>
              </w:rPr>
              <w:t>Reading</w:t>
            </w:r>
          </w:p>
        </w:tc>
        <w:tc>
          <w:tcPr>
            <w:tcW w:w="2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836A" w14:textId="16354F38" w:rsidR="001D346D" w:rsidRDefault="001D346D" w:rsidP="001D346D">
            <w:pPr>
              <w:pStyle w:val="TableRow"/>
              <w:jc w:val="center"/>
            </w:pPr>
            <w:r>
              <w:t>-0.98</w:t>
            </w:r>
          </w:p>
        </w:tc>
        <w:tc>
          <w:tcPr>
            <w:tcW w:w="2079" w:type="dxa"/>
          </w:tcPr>
          <w:p w14:paraId="7BE040E9" w14:textId="0DE4E284" w:rsidR="001D346D" w:rsidRDefault="001D346D" w:rsidP="001D346D">
            <w:pPr>
              <w:pStyle w:val="TableRow"/>
              <w:jc w:val="center"/>
            </w:pPr>
            <w:r>
              <w:t>-0.62</w:t>
            </w:r>
          </w:p>
        </w:tc>
        <w:tc>
          <w:tcPr>
            <w:tcW w:w="2079" w:type="dxa"/>
          </w:tcPr>
          <w:p w14:paraId="563DF7AA" w14:textId="5AFD37AC" w:rsidR="001D346D" w:rsidRDefault="001D346D" w:rsidP="001D346D">
            <w:pPr>
              <w:pStyle w:val="TableRow"/>
              <w:jc w:val="center"/>
            </w:pPr>
            <w:r>
              <w:t>0.32</w:t>
            </w:r>
          </w:p>
        </w:tc>
      </w:tr>
      <w:tr w:rsidR="001D346D" w14:paraId="185F18E5" w14:textId="66144271" w:rsidTr="001D346D">
        <w:trPr>
          <w:trHeight w:val="381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E954" w14:textId="77777777" w:rsidR="001D346D" w:rsidRPr="001D346D" w:rsidRDefault="001D346D" w:rsidP="00810465">
            <w:pPr>
              <w:pStyle w:val="TableRow"/>
              <w:rPr>
                <w:rFonts w:cs="Calibri"/>
                <w:b/>
                <w:sz w:val="22"/>
                <w:szCs w:val="22"/>
              </w:rPr>
            </w:pPr>
            <w:r w:rsidRPr="001D346D">
              <w:rPr>
                <w:rFonts w:cs="Calibri"/>
                <w:b/>
                <w:sz w:val="22"/>
                <w:szCs w:val="22"/>
              </w:rPr>
              <w:t>Writing</w:t>
            </w:r>
          </w:p>
        </w:tc>
        <w:tc>
          <w:tcPr>
            <w:tcW w:w="2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2610" w14:textId="6B287E2E" w:rsidR="001D346D" w:rsidRDefault="001D346D" w:rsidP="001D346D">
            <w:pPr>
              <w:pStyle w:val="TableRow"/>
              <w:jc w:val="center"/>
            </w:pPr>
            <w:r>
              <w:t>-0.03</w:t>
            </w:r>
          </w:p>
        </w:tc>
        <w:tc>
          <w:tcPr>
            <w:tcW w:w="2079" w:type="dxa"/>
          </w:tcPr>
          <w:p w14:paraId="3A845E28" w14:textId="1B0B1ED3" w:rsidR="001D346D" w:rsidRDefault="001D346D" w:rsidP="001D346D">
            <w:pPr>
              <w:pStyle w:val="TableRow"/>
              <w:jc w:val="center"/>
            </w:pPr>
            <w:r>
              <w:t>-0.50</w:t>
            </w:r>
          </w:p>
        </w:tc>
        <w:tc>
          <w:tcPr>
            <w:tcW w:w="2079" w:type="dxa"/>
          </w:tcPr>
          <w:p w14:paraId="3245E5BC" w14:textId="1A9BCB44" w:rsidR="001D346D" w:rsidRDefault="001D346D" w:rsidP="001D346D">
            <w:pPr>
              <w:pStyle w:val="TableRow"/>
              <w:jc w:val="center"/>
            </w:pPr>
            <w:r>
              <w:t>0.27</w:t>
            </w:r>
          </w:p>
        </w:tc>
      </w:tr>
      <w:tr w:rsidR="001D346D" w14:paraId="160EF648" w14:textId="2155D858" w:rsidTr="001D346D">
        <w:trPr>
          <w:trHeight w:val="381"/>
        </w:trPr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BDF2" w14:textId="77777777" w:rsidR="001D346D" w:rsidRPr="001D346D" w:rsidRDefault="001D346D" w:rsidP="00810465">
            <w:pPr>
              <w:pStyle w:val="TableRow"/>
              <w:rPr>
                <w:rFonts w:cs="Calibri"/>
                <w:b/>
                <w:sz w:val="22"/>
                <w:szCs w:val="22"/>
              </w:rPr>
            </w:pPr>
            <w:r w:rsidRPr="001D346D">
              <w:rPr>
                <w:rFonts w:cs="Calibri"/>
                <w:b/>
                <w:sz w:val="22"/>
                <w:szCs w:val="22"/>
              </w:rPr>
              <w:t>Maths</w:t>
            </w:r>
          </w:p>
        </w:tc>
        <w:tc>
          <w:tcPr>
            <w:tcW w:w="2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9B98" w14:textId="7575AD6D" w:rsidR="001D346D" w:rsidRDefault="001D346D" w:rsidP="001D346D">
            <w:pPr>
              <w:pStyle w:val="TableRow"/>
              <w:jc w:val="center"/>
            </w:pPr>
            <w:r>
              <w:t>-1.95</w:t>
            </w:r>
          </w:p>
        </w:tc>
        <w:tc>
          <w:tcPr>
            <w:tcW w:w="2079" w:type="dxa"/>
          </w:tcPr>
          <w:p w14:paraId="19DED295" w14:textId="3F10B616" w:rsidR="001D346D" w:rsidRDefault="001D346D" w:rsidP="001D346D">
            <w:pPr>
              <w:pStyle w:val="TableRow"/>
              <w:jc w:val="center"/>
            </w:pPr>
            <w:r>
              <w:t>-0.71</w:t>
            </w:r>
          </w:p>
        </w:tc>
        <w:tc>
          <w:tcPr>
            <w:tcW w:w="2079" w:type="dxa"/>
          </w:tcPr>
          <w:p w14:paraId="7559597E" w14:textId="78F13E5F" w:rsidR="001D346D" w:rsidRDefault="001D346D" w:rsidP="001D346D">
            <w:pPr>
              <w:pStyle w:val="TableRow"/>
              <w:jc w:val="center"/>
            </w:pPr>
            <w:r>
              <w:t>0.37</w:t>
            </w:r>
          </w:p>
        </w:tc>
      </w:tr>
    </w:tbl>
    <w:p w14:paraId="570AD663" w14:textId="77777777" w:rsidR="00106975" w:rsidRDefault="00106975" w:rsidP="008A59C0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55CF7093" w14:textId="6F351D12" w:rsidR="00106975" w:rsidRDefault="00106975" w:rsidP="008A59C0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06975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Disadvantaged pupil performance overview for last </w:t>
      </w:r>
      <w:r w:rsidR="008A59C0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(tested) </w:t>
      </w:r>
      <w:r w:rsidRPr="00106975">
        <w:rPr>
          <w:rFonts w:ascii="Arial" w:hAnsi="Arial" w:cs="Arial"/>
          <w:b/>
          <w:color w:val="1F4E79" w:themeColor="accent1" w:themeShade="80"/>
          <w:sz w:val="24"/>
          <w:szCs w:val="24"/>
        </w:rPr>
        <w:t>academic year</w:t>
      </w:r>
      <w:r w:rsidR="00483EDD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(18-19)</w:t>
      </w:r>
    </w:p>
    <w:p w14:paraId="63A91D18" w14:textId="77777777" w:rsidR="008A59C0" w:rsidRDefault="008A59C0" w:rsidP="008A59C0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1"/>
        <w:gridCol w:w="2079"/>
        <w:gridCol w:w="2043"/>
        <w:gridCol w:w="2047"/>
      </w:tblGrid>
      <w:tr w:rsidR="00D811AD" w14:paraId="33D4E821" w14:textId="167F2ADD" w:rsidTr="00D811AD">
        <w:trPr>
          <w:trHeight w:val="381"/>
        </w:trPr>
        <w:tc>
          <w:tcPr>
            <w:tcW w:w="3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A4BA" w14:textId="77777777" w:rsidR="00D811AD" w:rsidRDefault="00D811AD" w:rsidP="00D811AD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2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E5EF" w14:textId="77777777" w:rsidR="00D811AD" w:rsidRDefault="00D811AD" w:rsidP="00D811AD">
            <w:pPr>
              <w:pStyle w:val="TableRo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Score</w:t>
            </w:r>
          </w:p>
          <w:p w14:paraId="3CA22792" w14:textId="78370745" w:rsidR="00D811AD" w:rsidRDefault="00D811AD" w:rsidP="00D811AD">
            <w:pPr>
              <w:pStyle w:val="TableRow"/>
              <w:jc w:val="center"/>
            </w:pPr>
            <w:r>
              <w:rPr>
                <w:b/>
                <w:sz w:val="22"/>
                <w:szCs w:val="22"/>
              </w:rPr>
              <w:t>(disadvantaged)</w:t>
            </w:r>
          </w:p>
        </w:tc>
        <w:tc>
          <w:tcPr>
            <w:tcW w:w="2043" w:type="dxa"/>
          </w:tcPr>
          <w:p w14:paraId="28EF8DA2" w14:textId="0DC8531A" w:rsidR="00D811AD" w:rsidRDefault="00D811AD" w:rsidP="00D811AD">
            <w:pPr>
              <w:pStyle w:val="TableRo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Average (disadvantaged)</w:t>
            </w:r>
          </w:p>
        </w:tc>
        <w:tc>
          <w:tcPr>
            <w:tcW w:w="2047" w:type="dxa"/>
          </w:tcPr>
          <w:p w14:paraId="0D237DB8" w14:textId="77777777" w:rsidR="00D811AD" w:rsidRDefault="00D811AD" w:rsidP="00D811AD">
            <w:pPr>
              <w:pStyle w:val="TableRo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Average</w:t>
            </w:r>
          </w:p>
          <w:p w14:paraId="279C1077" w14:textId="259AA7AE" w:rsidR="00D811AD" w:rsidRDefault="00D811AD" w:rsidP="00D811AD">
            <w:pPr>
              <w:pStyle w:val="TableRo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(non- disadvantaged)</w:t>
            </w:r>
          </w:p>
        </w:tc>
      </w:tr>
      <w:tr w:rsidR="00D811AD" w14:paraId="1451E715" w14:textId="68452D7C" w:rsidTr="00D811AD">
        <w:trPr>
          <w:trHeight w:val="381"/>
        </w:trPr>
        <w:tc>
          <w:tcPr>
            <w:tcW w:w="3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F689" w14:textId="77777777" w:rsidR="00D811AD" w:rsidRPr="001D346D" w:rsidRDefault="00D811AD" w:rsidP="00D811AD">
            <w:pPr>
              <w:pStyle w:val="TableRow"/>
              <w:rPr>
                <w:rFonts w:cs="Calibri"/>
                <w:b/>
                <w:sz w:val="22"/>
                <w:szCs w:val="22"/>
              </w:rPr>
            </w:pPr>
            <w:r w:rsidRPr="001D346D">
              <w:rPr>
                <w:rFonts w:cs="Calibri"/>
                <w:b/>
                <w:sz w:val="22"/>
                <w:szCs w:val="22"/>
              </w:rPr>
              <w:t>Meeting expected standard at KS2</w:t>
            </w:r>
          </w:p>
        </w:tc>
        <w:tc>
          <w:tcPr>
            <w:tcW w:w="2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9042" w14:textId="77777777" w:rsidR="00D811AD" w:rsidRDefault="00D811AD" w:rsidP="00D811AD">
            <w:pPr>
              <w:pStyle w:val="TableRow"/>
              <w:jc w:val="center"/>
            </w:pPr>
            <w:r>
              <w:t>43%</w:t>
            </w:r>
          </w:p>
        </w:tc>
        <w:tc>
          <w:tcPr>
            <w:tcW w:w="2043" w:type="dxa"/>
          </w:tcPr>
          <w:p w14:paraId="63D8F231" w14:textId="7A645FA8" w:rsidR="00D811AD" w:rsidRDefault="00D811AD" w:rsidP="00D811AD">
            <w:pPr>
              <w:pStyle w:val="TableRow"/>
              <w:jc w:val="center"/>
            </w:pPr>
            <w:r>
              <w:t>51%</w:t>
            </w:r>
          </w:p>
        </w:tc>
        <w:tc>
          <w:tcPr>
            <w:tcW w:w="2047" w:type="dxa"/>
          </w:tcPr>
          <w:p w14:paraId="40EEE1A9" w14:textId="5D331ABD" w:rsidR="00D811AD" w:rsidRDefault="00D811AD" w:rsidP="00D811AD">
            <w:pPr>
              <w:pStyle w:val="TableRow"/>
              <w:jc w:val="center"/>
            </w:pPr>
            <w:r>
              <w:t>71%</w:t>
            </w:r>
          </w:p>
        </w:tc>
      </w:tr>
      <w:tr w:rsidR="00D811AD" w14:paraId="5CB7CFDA" w14:textId="79A540C8" w:rsidTr="00D811AD">
        <w:trPr>
          <w:trHeight w:val="381"/>
        </w:trPr>
        <w:tc>
          <w:tcPr>
            <w:tcW w:w="3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BF76" w14:textId="77777777" w:rsidR="00D811AD" w:rsidRPr="001D346D" w:rsidRDefault="00D811AD" w:rsidP="00D811AD">
            <w:pPr>
              <w:pStyle w:val="TableRow"/>
              <w:rPr>
                <w:rFonts w:cs="Calibri"/>
                <w:b/>
                <w:sz w:val="22"/>
                <w:szCs w:val="22"/>
              </w:rPr>
            </w:pPr>
            <w:r w:rsidRPr="001D346D">
              <w:rPr>
                <w:rFonts w:cs="Calibri"/>
                <w:b/>
                <w:sz w:val="22"/>
                <w:szCs w:val="22"/>
              </w:rPr>
              <w:t>Achieving high standard at KS2</w:t>
            </w:r>
          </w:p>
        </w:tc>
        <w:tc>
          <w:tcPr>
            <w:tcW w:w="2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D981" w14:textId="77777777" w:rsidR="00D811AD" w:rsidRDefault="00D811AD" w:rsidP="00D811AD">
            <w:pPr>
              <w:pStyle w:val="TableRow"/>
              <w:jc w:val="center"/>
            </w:pPr>
            <w:r>
              <w:t>5%</w:t>
            </w:r>
          </w:p>
        </w:tc>
        <w:tc>
          <w:tcPr>
            <w:tcW w:w="2043" w:type="dxa"/>
          </w:tcPr>
          <w:p w14:paraId="25F859C5" w14:textId="33356658" w:rsidR="00D811AD" w:rsidRDefault="00D811AD" w:rsidP="00D811AD">
            <w:pPr>
              <w:pStyle w:val="TableRow"/>
              <w:jc w:val="center"/>
            </w:pPr>
            <w:r>
              <w:t>5%</w:t>
            </w:r>
          </w:p>
        </w:tc>
        <w:tc>
          <w:tcPr>
            <w:tcW w:w="2047" w:type="dxa"/>
          </w:tcPr>
          <w:p w14:paraId="53B33AF5" w14:textId="2F87B731" w:rsidR="00D811AD" w:rsidRDefault="00D811AD" w:rsidP="00D811AD">
            <w:pPr>
              <w:pStyle w:val="TableRow"/>
              <w:jc w:val="center"/>
            </w:pPr>
            <w:r>
              <w:t>13%</w:t>
            </w:r>
          </w:p>
        </w:tc>
      </w:tr>
    </w:tbl>
    <w:p w14:paraId="2E011CDD" w14:textId="0CFF29D2" w:rsidR="00106975" w:rsidRDefault="006936B2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br w:type="page"/>
      </w:r>
      <w:r w:rsidR="00106975" w:rsidRPr="00106975">
        <w:rPr>
          <w:rFonts w:ascii="Arial" w:hAnsi="Arial" w:cs="Arial"/>
          <w:b/>
          <w:color w:val="1F4E79" w:themeColor="accent1" w:themeShade="80"/>
          <w:sz w:val="24"/>
          <w:szCs w:val="24"/>
        </w:rPr>
        <w:lastRenderedPageBreak/>
        <w:t>Strategy aims for disadvantaged pupils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9"/>
        <w:gridCol w:w="5121"/>
        <w:gridCol w:w="2552"/>
      </w:tblGrid>
      <w:tr w:rsidR="00106975" w14:paraId="653D19CF" w14:textId="77777777" w:rsidTr="002C47DA">
        <w:trPr>
          <w:trHeight w:val="381"/>
        </w:trPr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21CC" w14:textId="77777777" w:rsidR="00106975" w:rsidRDefault="00106975" w:rsidP="00810465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954F" w14:textId="77777777" w:rsidR="00106975" w:rsidRDefault="00106975" w:rsidP="00810465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B776" w14:textId="3BD43FA2" w:rsidR="00106975" w:rsidRDefault="00106975" w:rsidP="00CE2FB6">
            <w:pPr>
              <w:pStyle w:val="TableRo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 date</w:t>
            </w:r>
          </w:p>
        </w:tc>
      </w:tr>
      <w:tr w:rsidR="00CB5FA1" w14:paraId="401A5652" w14:textId="77777777" w:rsidTr="002C47DA">
        <w:trPr>
          <w:trHeight w:val="381"/>
        </w:trPr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0246" w14:textId="77777777" w:rsidR="00CB5FA1" w:rsidRPr="001D346D" w:rsidRDefault="00CB5FA1" w:rsidP="00CB5FA1">
            <w:pPr>
              <w:pStyle w:val="TableRow"/>
              <w:rPr>
                <w:rFonts w:cs="Calibri"/>
                <w:b/>
                <w:sz w:val="22"/>
                <w:szCs w:val="22"/>
              </w:rPr>
            </w:pPr>
            <w:r w:rsidRPr="001D346D">
              <w:rPr>
                <w:rFonts w:cs="Calibri"/>
                <w:b/>
                <w:sz w:val="22"/>
                <w:szCs w:val="22"/>
              </w:rPr>
              <w:t>Progress in reading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1CBC" w14:textId="39FE4AB7" w:rsidR="00CB5FA1" w:rsidRDefault="00CB5FA1" w:rsidP="00CB5FA1">
            <w:pPr>
              <w:pStyle w:val="TableRow"/>
              <w:rPr>
                <w:rStyle w:val="PlaceholderText"/>
              </w:rPr>
            </w:pPr>
            <w:r>
              <w:t>Achieve national average progress scores in KS2 Reading (0)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21F3" w14:textId="548C1D47" w:rsidR="00CB5FA1" w:rsidRDefault="00483EDD" w:rsidP="00CE2FB6">
            <w:pPr>
              <w:pStyle w:val="TableRow"/>
              <w:jc w:val="center"/>
              <w:rPr>
                <w:rStyle w:val="PlaceholderText"/>
              </w:rPr>
            </w:pPr>
            <w:r>
              <w:t>June 22</w:t>
            </w:r>
          </w:p>
        </w:tc>
      </w:tr>
      <w:tr w:rsidR="00CB5FA1" w14:paraId="5C849F9D" w14:textId="77777777" w:rsidTr="002C47DA">
        <w:trPr>
          <w:trHeight w:val="381"/>
        </w:trPr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68F8" w14:textId="77777777" w:rsidR="00CB5FA1" w:rsidRPr="001D346D" w:rsidRDefault="00CB5FA1" w:rsidP="00CB5FA1">
            <w:pPr>
              <w:pStyle w:val="TableRow"/>
              <w:rPr>
                <w:rFonts w:cs="Calibri"/>
                <w:b/>
                <w:sz w:val="22"/>
                <w:szCs w:val="22"/>
              </w:rPr>
            </w:pPr>
            <w:r w:rsidRPr="001D346D">
              <w:rPr>
                <w:rFonts w:cs="Calibri"/>
                <w:b/>
                <w:sz w:val="22"/>
                <w:szCs w:val="22"/>
              </w:rPr>
              <w:t>Progress in writing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E27D" w14:textId="6BA86325" w:rsidR="00CB5FA1" w:rsidRDefault="00CB5FA1" w:rsidP="00CB5FA1">
            <w:pPr>
              <w:pStyle w:val="TableRow"/>
              <w:rPr>
                <w:rStyle w:val="PlaceholderText"/>
              </w:rPr>
            </w:pPr>
            <w:r>
              <w:t>Achieve national average progress scores in KS2 Writing (0)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9A91" w14:textId="3D192A63" w:rsidR="00CB5FA1" w:rsidRDefault="00483EDD" w:rsidP="00CE2FB6">
            <w:pPr>
              <w:pStyle w:val="TableRow"/>
              <w:jc w:val="center"/>
              <w:rPr>
                <w:rStyle w:val="PlaceholderText"/>
              </w:rPr>
            </w:pPr>
            <w:r>
              <w:t>June 22</w:t>
            </w:r>
          </w:p>
        </w:tc>
      </w:tr>
      <w:tr w:rsidR="00CB5FA1" w14:paraId="199F1114" w14:textId="77777777" w:rsidTr="002C47DA">
        <w:trPr>
          <w:trHeight w:val="381"/>
        </w:trPr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3C4C" w14:textId="77777777" w:rsidR="00CB5FA1" w:rsidRPr="001D346D" w:rsidRDefault="00CB5FA1" w:rsidP="00CB5FA1">
            <w:pPr>
              <w:pStyle w:val="TableRow"/>
              <w:rPr>
                <w:rFonts w:cs="Calibri"/>
                <w:b/>
                <w:sz w:val="22"/>
                <w:szCs w:val="22"/>
              </w:rPr>
            </w:pPr>
            <w:r w:rsidRPr="001D346D">
              <w:rPr>
                <w:rFonts w:cs="Calibri"/>
                <w:b/>
                <w:sz w:val="22"/>
                <w:szCs w:val="22"/>
              </w:rPr>
              <w:t>Progress in maths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2FE4" w14:textId="13738ADD" w:rsidR="00CB5FA1" w:rsidRDefault="00385DF8" w:rsidP="00CB5FA1">
            <w:pPr>
              <w:pStyle w:val="TableRow"/>
              <w:rPr>
                <w:rStyle w:val="PlaceholderText"/>
              </w:rPr>
            </w:pPr>
            <w:r>
              <w:t>Achieve national average progress scores in KS2 maths (0)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F01C" w14:textId="06F696AA" w:rsidR="00CB5FA1" w:rsidRDefault="00483EDD" w:rsidP="00CE2FB6">
            <w:pPr>
              <w:pStyle w:val="TableRow"/>
              <w:jc w:val="center"/>
              <w:rPr>
                <w:rStyle w:val="PlaceholderText"/>
              </w:rPr>
            </w:pPr>
            <w:r>
              <w:t>June 22</w:t>
            </w:r>
          </w:p>
        </w:tc>
      </w:tr>
      <w:tr w:rsidR="00CB5FA1" w14:paraId="105773B7" w14:textId="77777777" w:rsidTr="002C47DA">
        <w:trPr>
          <w:trHeight w:val="381"/>
        </w:trPr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FADF" w14:textId="77777777" w:rsidR="00CB5FA1" w:rsidRPr="001D346D" w:rsidRDefault="00CB5FA1" w:rsidP="00CB5FA1">
            <w:pPr>
              <w:pStyle w:val="TableRow"/>
              <w:rPr>
                <w:rFonts w:cs="Calibri"/>
                <w:b/>
                <w:sz w:val="22"/>
                <w:szCs w:val="22"/>
              </w:rPr>
            </w:pPr>
            <w:r w:rsidRPr="001D346D">
              <w:rPr>
                <w:rFonts w:cs="Calibri"/>
                <w:b/>
                <w:sz w:val="22"/>
                <w:szCs w:val="22"/>
              </w:rPr>
              <w:t>Meeting expected standard at KS2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DEE2" w14:textId="53F081B9" w:rsidR="00CB5FA1" w:rsidRPr="00385DF8" w:rsidRDefault="00385DF8" w:rsidP="00385DF8">
            <w:pPr>
              <w:pStyle w:val="TableRow"/>
              <w:rPr>
                <w:color w:val="auto"/>
              </w:rPr>
            </w:pPr>
            <w:r w:rsidRPr="00385DF8">
              <w:rPr>
                <w:rStyle w:val="PlaceholderText"/>
                <w:color w:val="auto"/>
              </w:rPr>
              <w:t>Achieve in line with EEF family of schools average for disadvantaged –</w:t>
            </w:r>
            <w:r w:rsidR="00483EDD">
              <w:rPr>
                <w:rStyle w:val="PlaceholderText"/>
                <w:color w:val="auto"/>
              </w:rPr>
              <w:t xml:space="preserve"> 56</w:t>
            </w:r>
            <w:r w:rsidRPr="00385DF8">
              <w:rPr>
                <w:rStyle w:val="PlaceholderText"/>
                <w:color w:val="auto"/>
              </w:rPr>
              <w:t xml:space="preserve">%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3B78" w14:textId="622D697C" w:rsidR="00CB5FA1" w:rsidRPr="00385DF8" w:rsidRDefault="00483EDD" w:rsidP="00CE2FB6">
            <w:pPr>
              <w:pStyle w:val="TableRow"/>
              <w:jc w:val="center"/>
              <w:rPr>
                <w:color w:val="auto"/>
              </w:rPr>
            </w:pPr>
            <w:r>
              <w:rPr>
                <w:rStyle w:val="PlaceholderText"/>
                <w:color w:val="auto"/>
              </w:rPr>
              <w:t>June 22</w:t>
            </w:r>
          </w:p>
        </w:tc>
      </w:tr>
      <w:tr w:rsidR="00CB5FA1" w14:paraId="1E875090" w14:textId="77777777" w:rsidTr="002C47DA">
        <w:trPr>
          <w:trHeight w:val="381"/>
        </w:trPr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F68C" w14:textId="77777777" w:rsidR="00CB5FA1" w:rsidRPr="001D346D" w:rsidRDefault="00CB5FA1" w:rsidP="00CB5FA1">
            <w:pPr>
              <w:pStyle w:val="TableRow"/>
              <w:rPr>
                <w:rFonts w:cs="Calibri"/>
                <w:b/>
                <w:sz w:val="22"/>
                <w:szCs w:val="22"/>
              </w:rPr>
            </w:pPr>
            <w:r w:rsidRPr="001D346D">
              <w:rPr>
                <w:rFonts w:cs="Calibri"/>
                <w:b/>
                <w:sz w:val="22"/>
                <w:szCs w:val="22"/>
              </w:rPr>
              <w:t>Achieving high standard at KS2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FBC7" w14:textId="0A2E7908" w:rsidR="00CB5FA1" w:rsidRPr="00385DF8" w:rsidRDefault="00385DF8" w:rsidP="00CB5FA1">
            <w:pPr>
              <w:pStyle w:val="TableRow"/>
              <w:rPr>
                <w:color w:val="auto"/>
              </w:rPr>
            </w:pPr>
            <w:r w:rsidRPr="00385DF8">
              <w:rPr>
                <w:rStyle w:val="PlaceholderText"/>
                <w:color w:val="auto"/>
              </w:rPr>
              <w:t>Achieve in line with EEF family of schools average for disadvantaged – 6.5%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CD7E" w14:textId="13C32D80" w:rsidR="00CB5FA1" w:rsidRPr="00385DF8" w:rsidRDefault="00483EDD" w:rsidP="00CE2FB6">
            <w:pPr>
              <w:pStyle w:val="TableRow"/>
              <w:jc w:val="center"/>
              <w:rPr>
                <w:color w:val="auto"/>
              </w:rPr>
            </w:pPr>
            <w:r>
              <w:rPr>
                <w:rStyle w:val="PlaceholderText"/>
                <w:color w:val="auto"/>
              </w:rPr>
              <w:t>June 22</w:t>
            </w:r>
          </w:p>
        </w:tc>
      </w:tr>
      <w:tr w:rsidR="00CE2FB6" w14:paraId="355B3A83" w14:textId="77777777" w:rsidTr="002C47DA">
        <w:trPr>
          <w:trHeight w:val="1305"/>
        </w:trPr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A1AE" w14:textId="77777777" w:rsidR="00CE2FB6" w:rsidRPr="001D346D" w:rsidRDefault="00CE2FB6" w:rsidP="00CB5FA1">
            <w:pPr>
              <w:pStyle w:val="TableRow"/>
              <w:rPr>
                <w:b/>
              </w:rPr>
            </w:pPr>
            <w:r w:rsidRPr="001D346D">
              <w:rPr>
                <w:rFonts w:cs="Calibri"/>
                <w:b/>
                <w:sz w:val="22"/>
                <w:szCs w:val="22"/>
              </w:rPr>
              <w:t>Year 8 GL exit data English</w:t>
            </w:r>
          </w:p>
          <w:p w14:paraId="482A6C78" w14:textId="30FB5E96" w:rsidR="00CE2FB6" w:rsidRPr="001D346D" w:rsidRDefault="00CE2FB6" w:rsidP="00CB5FA1">
            <w:pPr>
              <w:pStyle w:val="TableRow"/>
              <w:rPr>
                <w:b/>
              </w:rPr>
            </w:pPr>
            <w:r w:rsidRPr="001D346D">
              <w:rPr>
                <w:rFonts w:cs="Calibri"/>
                <w:b/>
                <w:sz w:val="22"/>
                <w:szCs w:val="22"/>
              </w:rPr>
              <w:t>Year 8 GL exit data Maths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0E5D" w14:textId="3DB3CC74" w:rsidR="00CE2FB6" w:rsidRPr="00CE2FB6" w:rsidRDefault="00CE2FB6" w:rsidP="00CE2FB6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Disadvantaged pupils achieving in line with or above national average for all pupils. Gap closing between KMS all and KMS disadvantaged.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16622" w14:textId="77777777" w:rsidR="00CE2FB6" w:rsidRPr="00CE2FB6" w:rsidRDefault="00CE2FB6" w:rsidP="00CE2FB6">
            <w:pPr>
              <w:pStyle w:val="TableRow"/>
              <w:jc w:val="center"/>
              <w:rPr>
                <w:color w:val="auto"/>
              </w:rPr>
            </w:pPr>
            <w:r w:rsidRPr="00CE2FB6">
              <w:rPr>
                <w:color w:val="auto"/>
              </w:rPr>
              <w:t>June 22</w:t>
            </w:r>
          </w:p>
          <w:p w14:paraId="1783C64D" w14:textId="09EF3B3C" w:rsidR="00CE2FB6" w:rsidRPr="00CE2FB6" w:rsidRDefault="00CE2FB6" w:rsidP="00CE2FB6">
            <w:pPr>
              <w:pStyle w:val="TableRow"/>
              <w:jc w:val="center"/>
              <w:rPr>
                <w:color w:val="auto"/>
              </w:rPr>
            </w:pPr>
          </w:p>
        </w:tc>
      </w:tr>
      <w:tr w:rsidR="00E50DDC" w14:paraId="4AFE6A22" w14:textId="77777777" w:rsidTr="002C47DA">
        <w:trPr>
          <w:trHeight w:val="559"/>
        </w:trPr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FE459" w14:textId="0CD16B49" w:rsidR="00E50DDC" w:rsidRPr="001D346D" w:rsidRDefault="00E50DDC" w:rsidP="00CB5FA1">
            <w:pPr>
              <w:pStyle w:val="TableRow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Attendance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1422" w14:textId="5E45A4E9" w:rsidR="00E50DDC" w:rsidRDefault="00E50DDC" w:rsidP="00E50DDC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Attendance gap between disadvantaged and all pupils in school closed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221C" w14:textId="48D8BA96" w:rsidR="00E50DDC" w:rsidRPr="00CE2FB6" w:rsidRDefault="00E50DDC" w:rsidP="00CE2FB6">
            <w:pPr>
              <w:pStyle w:val="TableRow"/>
              <w:jc w:val="center"/>
              <w:rPr>
                <w:color w:val="auto"/>
              </w:rPr>
            </w:pPr>
            <w:r>
              <w:rPr>
                <w:color w:val="auto"/>
              </w:rPr>
              <w:t>September 22</w:t>
            </w:r>
          </w:p>
        </w:tc>
      </w:tr>
    </w:tbl>
    <w:p w14:paraId="0A7781F4" w14:textId="77777777" w:rsidR="002249C5" w:rsidRDefault="002249C5" w:rsidP="002249C5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4F119586" w14:textId="36FFB2B4" w:rsidR="00106975" w:rsidRDefault="00106975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06975">
        <w:rPr>
          <w:rFonts w:ascii="Arial" w:hAnsi="Arial" w:cs="Arial"/>
          <w:b/>
          <w:color w:val="1F4E79" w:themeColor="accent1" w:themeShade="80"/>
          <w:sz w:val="24"/>
          <w:szCs w:val="24"/>
        </w:rPr>
        <w:t>Teaching priorities for current academic year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214"/>
      </w:tblGrid>
      <w:tr w:rsidR="00106975" w14:paraId="52A45BE5" w14:textId="77777777" w:rsidTr="002C47DA">
        <w:trPr>
          <w:trHeight w:val="38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1762" w14:textId="77777777" w:rsidR="00106975" w:rsidRDefault="00106975" w:rsidP="00810465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0569" w14:textId="77777777" w:rsidR="00106975" w:rsidRDefault="00106975" w:rsidP="00810465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106975" w14:paraId="2D6DC084" w14:textId="77777777" w:rsidTr="002C47DA">
        <w:trPr>
          <w:trHeight w:val="38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365D" w14:textId="77777777" w:rsidR="00106975" w:rsidRDefault="00106975" w:rsidP="00810465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3CEB" w14:textId="2F74216D" w:rsidR="00106975" w:rsidRDefault="007E736E" w:rsidP="000D3229">
            <w:pPr>
              <w:pStyle w:val="TableRow"/>
            </w:pPr>
            <w:r>
              <w:t>To embed the recent whole school curriculum review. To further improve the quality of teaching and learning across the school. A key focus on ensuring high levels of effective direct teacher instruction to aid subject specific aspects of the recovery curriculum.</w:t>
            </w:r>
            <w:r w:rsidR="000D3229">
              <w:t xml:space="preserve"> Whole school testing via GL assessment test in September to identify gaps in knowledge.</w:t>
            </w:r>
          </w:p>
        </w:tc>
      </w:tr>
      <w:tr w:rsidR="00106975" w14:paraId="7A7ABFFE" w14:textId="77777777" w:rsidTr="002C47DA">
        <w:trPr>
          <w:trHeight w:val="38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43D2" w14:textId="77777777" w:rsidR="00106975" w:rsidRDefault="00106975" w:rsidP="00810465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ADC8" w14:textId="77777777" w:rsidR="007B40F4" w:rsidRDefault="007B40F4" w:rsidP="007B40F4">
            <w:pPr>
              <w:pStyle w:val="TableRow"/>
            </w:pPr>
            <w:r>
              <w:t xml:space="preserve">Whole school focus on reading. To include- </w:t>
            </w:r>
          </w:p>
          <w:p w14:paraId="364B934B" w14:textId="77777777" w:rsidR="007B40F4" w:rsidRDefault="007B40F4" w:rsidP="007B40F4">
            <w:pPr>
              <w:pStyle w:val="TableRow"/>
              <w:numPr>
                <w:ilvl w:val="0"/>
                <w:numId w:val="3"/>
              </w:numPr>
            </w:pPr>
            <w:r>
              <w:t>relaunch of Accelerated Reader across all years</w:t>
            </w:r>
          </w:p>
          <w:p w14:paraId="0C5E8296" w14:textId="77777777" w:rsidR="007B40F4" w:rsidRDefault="007B40F4" w:rsidP="007B40F4">
            <w:pPr>
              <w:pStyle w:val="TableRow"/>
              <w:numPr>
                <w:ilvl w:val="0"/>
                <w:numId w:val="3"/>
              </w:numPr>
            </w:pPr>
            <w:r>
              <w:t>the appointment of a whole school reading lead</w:t>
            </w:r>
          </w:p>
          <w:p w14:paraId="7D854200" w14:textId="77777777" w:rsidR="007B40F4" w:rsidRDefault="007B40F4" w:rsidP="007B40F4">
            <w:pPr>
              <w:pStyle w:val="TableRow"/>
              <w:numPr>
                <w:ilvl w:val="0"/>
                <w:numId w:val="3"/>
              </w:numPr>
            </w:pPr>
            <w:r>
              <w:t>reading lessons introduced into Year 7 &amp; 8</w:t>
            </w:r>
          </w:p>
          <w:p w14:paraId="398BE3BF" w14:textId="77777777" w:rsidR="007B40F4" w:rsidRDefault="007B40F4" w:rsidP="007B40F4">
            <w:pPr>
              <w:pStyle w:val="TableRow"/>
              <w:numPr>
                <w:ilvl w:val="0"/>
                <w:numId w:val="3"/>
              </w:numPr>
            </w:pPr>
            <w:r>
              <w:t>introduction of pupil reading champions</w:t>
            </w:r>
          </w:p>
          <w:p w14:paraId="3B59AE26" w14:textId="30999B62" w:rsidR="00113A8B" w:rsidRDefault="007E736E" w:rsidP="007E736E">
            <w:pPr>
              <w:pStyle w:val="TableRow"/>
              <w:numPr>
                <w:ilvl w:val="0"/>
                <w:numId w:val="3"/>
              </w:numPr>
            </w:pPr>
            <w:r>
              <w:t>review of the English curriculum to include the introduction of new texts across all year groups</w:t>
            </w:r>
          </w:p>
        </w:tc>
      </w:tr>
      <w:tr w:rsidR="00106975" w14:paraId="304C075D" w14:textId="77777777" w:rsidTr="002C47DA">
        <w:trPr>
          <w:trHeight w:val="38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6B75" w14:textId="77777777" w:rsidR="00106975" w:rsidRDefault="00106975" w:rsidP="00810465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7EDB" w14:textId="2169F857" w:rsidR="002249C5" w:rsidRDefault="002249C5" w:rsidP="002249C5">
            <w:pPr>
              <w:pStyle w:val="TableRow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High challenge, high support curriculum designed to provide challenge whilst keeping pupils engaged. High quality T &amp; L ensures key knowledge is retained by pupils.</w:t>
            </w:r>
          </w:p>
          <w:p w14:paraId="71F6A336" w14:textId="1F1962A8" w:rsidR="002249C5" w:rsidRDefault="002249C5" w:rsidP="002249C5">
            <w:pPr>
              <w:pStyle w:val="TableRow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Encouraging wider reading for all.</w:t>
            </w:r>
          </w:p>
          <w:p w14:paraId="5A3B4ED4" w14:textId="621E2FF8" w:rsidR="002249C5" w:rsidRPr="002249C5" w:rsidRDefault="002249C5" w:rsidP="002249C5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Low literacy levels impact on the progress of pupils.</w:t>
            </w:r>
          </w:p>
        </w:tc>
      </w:tr>
      <w:tr w:rsidR="00106975" w14:paraId="62167DF6" w14:textId="77777777" w:rsidTr="002C47DA">
        <w:trPr>
          <w:trHeight w:val="38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4749" w14:textId="77777777" w:rsidR="00106975" w:rsidRDefault="00106975" w:rsidP="00810465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Projected spending 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A6D1" w14:textId="635FFAC5" w:rsidR="00106975" w:rsidRPr="00C70B77" w:rsidRDefault="00C70B77" w:rsidP="00810465">
            <w:pPr>
              <w:pStyle w:val="TableRow"/>
            </w:pPr>
            <w:r w:rsidRPr="00C70B77">
              <w:rPr>
                <w:rStyle w:val="PlaceholderText"/>
                <w:color w:val="auto"/>
              </w:rPr>
              <w:t>£</w:t>
            </w:r>
            <w:r w:rsidR="00AA3ABB">
              <w:rPr>
                <w:rStyle w:val="PlaceholderText"/>
                <w:color w:val="auto"/>
              </w:rPr>
              <w:t>8000</w:t>
            </w:r>
          </w:p>
        </w:tc>
      </w:tr>
    </w:tbl>
    <w:p w14:paraId="3E0305A4" w14:textId="1A760AF3" w:rsidR="00106975" w:rsidRDefault="00106975" w:rsidP="00CC5459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06975">
        <w:rPr>
          <w:rFonts w:ascii="Arial" w:hAnsi="Arial" w:cs="Arial"/>
          <w:b/>
          <w:color w:val="1F4E79" w:themeColor="accent1" w:themeShade="80"/>
          <w:sz w:val="24"/>
          <w:szCs w:val="24"/>
        </w:rPr>
        <w:lastRenderedPageBreak/>
        <w:t>Targeted academic support for current academic year</w:t>
      </w:r>
    </w:p>
    <w:p w14:paraId="1530A699" w14:textId="77777777" w:rsidR="008A59C0" w:rsidRDefault="008A59C0" w:rsidP="008A59C0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214"/>
      </w:tblGrid>
      <w:tr w:rsidR="00106975" w14:paraId="0B2D4239" w14:textId="77777777" w:rsidTr="00CC5459">
        <w:trPr>
          <w:trHeight w:val="38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47C9" w14:textId="77777777" w:rsidR="00106975" w:rsidRDefault="00106975" w:rsidP="00810465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B061" w14:textId="77777777" w:rsidR="00106975" w:rsidRDefault="00106975" w:rsidP="00810465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106975" w14:paraId="7A60FD5D" w14:textId="77777777" w:rsidTr="00CC5459">
        <w:trPr>
          <w:trHeight w:val="38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3509" w14:textId="77777777" w:rsidR="00106975" w:rsidRDefault="00106975" w:rsidP="00810465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7A2E" w14:textId="57B6110C" w:rsidR="00106975" w:rsidRDefault="007E736E" w:rsidP="003F3E8C">
            <w:pPr>
              <w:pStyle w:val="TableRow"/>
            </w:pPr>
            <w:r>
              <w:t xml:space="preserve">Establish </w:t>
            </w:r>
            <w:r w:rsidR="003F3E8C">
              <w:t xml:space="preserve">targeted and timely </w:t>
            </w:r>
            <w:r>
              <w:t xml:space="preserve">small group literacy and </w:t>
            </w:r>
            <w:r w:rsidRPr="003F3E8C">
              <w:t xml:space="preserve">numeracy interventions </w:t>
            </w:r>
            <w:r w:rsidR="00F6788B" w:rsidRPr="003F3E8C">
              <w:t>for low attaining disadvantaged pupils to be deliver</w:t>
            </w:r>
            <w:r w:rsidR="00F6788B">
              <w:t>ed by the ETA team.</w:t>
            </w:r>
          </w:p>
        </w:tc>
      </w:tr>
      <w:tr w:rsidR="00106975" w14:paraId="02ED4244" w14:textId="77777777" w:rsidTr="00CC5459">
        <w:trPr>
          <w:trHeight w:val="38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E400" w14:textId="77777777" w:rsidR="00106975" w:rsidRDefault="00106975" w:rsidP="00810465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C0B8" w14:textId="0D0A77D9" w:rsidR="00106975" w:rsidRDefault="002249C5" w:rsidP="00810465">
            <w:pPr>
              <w:pStyle w:val="TableRow"/>
            </w:pPr>
            <w:r>
              <w:t>HLTA support</w:t>
            </w:r>
            <w:r w:rsidR="00F6788B">
              <w:t xml:space="preserve"> attached to English and maths lessons in order to support those pupils making the least progress.</w:t>
            </w:r>
          </w:p>
        </w:tc>
      </w:tr>
      <w:tr w:rsidR="00106975" w14:paraId="6DCF246A" w14:textId="77777777" w:rsidTr="00CC5459">
        <w:trPr>
          <w:trHeight w:val="38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E200" w14:textId="77777777" w:rsidR="00106975" w:rsidRDefault="00106975" w:rsidP="00810465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D9B5" w14:textId="279E6FD8" w:rsidR="00106975" w:rsidRDefault="00E9304B" w:rsidP="00E9304B">
            <w:pPr>
              <w:pStyle w:val="TableRow"/>
            </w:pPr>
            <w:r>
              <w:t>Support which is carefully targeted and time s</w:t>
            </w:r>
            <w:r w:rsidR="009A4B85">
              <w:t>pecific will</w:t>
            </w:r>
            <w:r>
              <w:t xml:space="preserve"> enable pupils to make accelerated progress in order to catch up with their peers.</w:t>
            </w:r>
          </w:p>
          <w:p w14:paraId="0CD1F5CB" w14:textId="1FD705A1" w:rsidR="00D811AD" w:rsidRDefault="00D811AD" w:rsidP="00E9304B">
            <w:pPr>
              <w:pStyle w:val="TableRow"/>
            </w:pPr>
            <w:r>
              <w:t>Key focus on literacy development and reading.</w:t>
            </w:r>
          </w:p>
        </w:tc>
      </w:tr>
      <w:tr w:rsidR="00106975" w14:paraId="4017AFCF" w14:textId="77777777" w:rsidTr="00CC5459">
        <w:trPr>
          <w:trHeight w:val="381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F523" w14:textId="77777777" w:rsidR="00106975" w:rsidRDefault="00106975" w:rsidP="00810465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18A8" w14:textId="48E85FDF" w:rsidR="00106975" w:rsidRDefault="00C70B77" w:rsidP="00E9304B">
            <w:pPr>
              <w:pStyle w:val="TableRow"/>
            </w:pPr>
            <w:r>
              <w:rPr>
                <w:rStyle w:val="PlaceholderText"/>
                <w:color w:val="auto"/>
              </w:rPr>
              <w:t>£30000</w:t>
            </w:r>
          </w:p>
        </w:tc>
      </w:tr>
    </w:tbl>
    <w:p w14:paraId="67C07CAD" w14:textId="77777777" w:rsidR="00106975" w:rsidRDefault="00106975" w:rsidP="00E9304B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5E7BE8F0" w14:textId="6B5B5418" w:rsidR="00106975" w:rsidRDefault="00106975" w:rsidP="00CC5459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06975">
        <w:rPr>
          <w:rFonts w:ascii="Arial" w:hAnsi="Arial" w:cs="Arial"/>
          <w:b/>
          <w:color w:val="1F4E79" w:themeColor="accent1" w:themeShade="80"/>
          <w:sz w:val="24"/>
          <w:szCs w:val="24"/>
        </w:rPr>
        <w:t>Wider strategies for current academic year</w:t>
      </w:r>
    </w:p>
    <w:p w14:paraId="29B60073" w14:textId="77777777" w:rsidR="008A59C0" w:rsidRDefault="008A59C0" w:rsidP="008A59C0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214"/>
      </w:tblGrid>
      <w:tr w:rsidR="00106975" w14:paraId="25CAE543" w14:textId="77777777" w:rsidTr="00CC54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3533" w14:textId="77777777" w:rsidR="00106975" w:rsidRDefault="00106975" w:rsidP="00810465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C298" w14:textId="77777777" w:rsidR="00106975" w:rsidRDefault="00106975" w:rsidP="00810465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106975" w14:paraId="0355C592" w14:textId="77777777" w:rsidTr="00CC54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FCFA" w14:textId="77777777" w:rsidR="00106975" w:rsidRDefault="00106975" w:rsidP="00810465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ECA9" w14:textId="21DE279C" w:rsidR="00106975" w:rsidRDefault="00AF1CE7" w:rsidP="00E9304B">
            <w:pPr>
              <w:pStyle w:val="TableRow"/>
            </w:pPr>
            <w:r>
              <w:t xml:space="preserve">Appointment of key staff to support the achievement </w:t>
            </w:r>
            <w:r w:rsidR="00E9304B">
              <w:t xml:space="preserve">and attendance </w:t>
            </w:r>
            <w:r>
              <w:t xml:space="preserve">of </w:t>
            </w:r>
            <w:r w:rsidR="007E736E">
              <w:t>disadvantaged</w:t>
            </w:r>
            <w:r>
              <w:t xml:space="preserve"> pupils e.g. pupil premium champion, wellb</w:t>
            </w:r>
            <w:r w:rsidR="00D811AD">
              <w:t>eing team</w:t>
            </w:r>
            <w:r w:rsidR="00F902BB">
              <w:t xml:space="preserve"> consisting of</w:t>
            </w:r>
            <w:r w:rsidR="00D811AD">
              <w:t xml:space="preserve"> – </w:t>
            </w:r>
            <w:r w:rsidR="00AA3ABB">
              <w:t xml:space="preserve">Acting Deputy Headteacher, Non-teaching SENDCO, </w:t>
            </w:r>
            <w:r w:rsidR="00D811AD">
              <w:t xml:space="preserve">ETA wellbeing lead, </w:t>
            </w:r>
            <w:r>
              <w:t>pastoral support worker.</w:t>
            </w:r>
            <w:r w:rsidR="007E736E">
              <w:t xml:space="preserve"> This team to lead on the pastoral aspects of the recovery curriculum.</w:t>
            </w:r>
            <w:r w:rsidR="00E9304B">
              <w:t xml:space="preserve"> They will also develop a strategy around wider parental engagement.</w:t>
            </w:r>
          </w:p>
        </w:tc>
      </w:tr>
      <w:tr w:rsidR="00AF1CE7" w14:paraId="2BD17C89" w14:textId="77777777" w:rsidTr="00CC54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2B8E" w14:textId="30B27380" w:rsidR="00AF1CE7" w:rsidRDefault="00AF1CE7" w:rsidP="00810465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7D1A" w14:textId="77777777" w:rsidR="00F6788B" w:rsidRDefault="00F6788B" w:rsidP="00F6788B">
            <w:pPr>
              <w:pStyle w:val="TableRow"/>
            </w:pPr>
            <w:r>
              <w:t>Support with enrichment and extra-curricular activities.</w:t>
            </w:r>
          </w:p>
          <w:p w14:paraId="1A9043D1" w14:textId="77777777" w:rsidR="00F6788B" w:rsidRDefault="00F6788B" w:rsidP="00F6788B">
            <w:pPr>
              <w:pStyle w:val="TableRow"/>
              <w:numPr>
                <w:ilvl w:val="0"/>
                <w:numId w:val="5"/>
              </w:numPr>
            </w:pPr>
            <w:r>
              <w:t xml:space="preserve">To ensure disadvantaged pupils have access to cultural capital experiences which can potentially enhance their engagement in school and in some circumstances raise their own personal aspirations. </w:t>
            </w:r>
          </w:p>
          <w:p w14:paraId="0F00C6A6" w14:textId="1EB4D65C" w:rsidR="00AF1CE7" w:rsidRDefault="00F6788B" w:rsidP="00F6788B">
            <w:pPr>
              <w:pStyle w:val="TableRow"/>
              <w:numPr>
                <w:ilvl w:val="0"/>
                <w:numId w:val="5"/>
              </w:numPr>
            </w:pPr>
            <w:r>
              <w:t>To increase rates of participation in extracurricular activities for disadvantaged pupils</w:t>
            </w:r>
          </w:p>
        </w:tc>
      </w:tr>
      <w:tr w:rsidR="00106975" w14:paraId="6FA08941" w14:textId="77777777" w:rsidTr="00CC54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93208" w14:textId="27BFAB22" w:rsidR="00106975" w:rsidRDefault="00AF1CE7" w:rsidP="00810465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1508" w14:textId="02957BB9" w:rsidR="00106975" w:rsidRDefault="00F6788B" w:rsidP="00CC5459">
            <w:pPr>
              <w:pStyle w:val="TableRow"/>
            </w:pPr>
            <w:r>
              <w:t>Introduction of a new MIS to support with tracking, monitoring and reporting the attendance and achievement of disadvantaged pupils.</w:t>
            </w:r>
            <w:r w:rsidR="00CC5459">
              <w:t xml:space="preserve"> This will be coupled with new systems to improve communications between school and home.</w:t>
            </w:r>
          </w:p>
        </w:tc>
      </w:tr>
      <w:tr w:rsidR="00B43F8C" w14:paraId="16DFDBF0" w14:textId="77777777" w:rsidTr="00CC54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AC7A" w14:textId="5212CC72" w:rsidR="00B43F8C" w:rsidRDefault="00B43F8C" w:rsidP="00810465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7972" w14:textId="7FCB2B9F" w:rsidR="00B43F8C" w:rsidRDefault="00CC5459" w:rsidP="00E9304B">
            <w:pPr>
              <w:pStyle w:val="TableRow"/>
            </w:pPr>
            <w:r>
              <w:t xml:space="preserve">Ensuring systems and strategies are in place to support </w:t>
            </w:r>
            <w:r>
              <w:t>disadvantaged</w:t>
            </w:r>
            <w:r>
              <w:t xml:space="preserve"> pupils</w:t>
            </w:r>
            <w:r>
              <w:t xml:space="preserve"> with blended learning.</w:t>
            </w:r>
            <w:r>
              <w:t xml:space="preserve"> </w:t>
            </w:r>
            <w:r w:rsidR="00E9304B">
              <w:t>Purchase of handheld devices to be loaned to families in the event of a school lockdown. These will also be used in school to support catch-up programmes.</w:t>
            </w:r>
            <w:r>
              <w:t xml:space="preserve"> Additional workbooks and study books to be purchased where families have limited internet access</w:t>
            </w:r>
          </w:p>
        </w:tc>
      </w:tr>
      <w:tr w:rsidR="00106975" w14:paraId="6E512587" w14:textId="77777777" w:rsidTr="00CC54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6909" w14:textId="77777777" w:rsidR="00106975" w:rsidRDefault="00106975" w:rsidP="00810465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8A29" w14:textId="0E554F4E" w:rsidR="00106975" w:rsidRDefault="00E9304B" w:rsidP="00E9304B">
            <w:pPr>
              <w:pStyle w:val="TableRow"/>
            </w:pPr>
            <w:r>
              <w:t>Increased parental engagement, access to online resources, acce</w:t>
            </w:r>
            <w:bookmarkStart w:id="0" w:name="_GoBack"/>
            <w:bookmarkEnd w:id="0"/>
            <w:r>
              <w:t>ss to the benefits that enrichment and extra-curricular activities can bring.</w:t>
            </w:r>
          </w:p>
        </w:tc>
      </w:tr>
      <w:tr w:rsidR="00106975" w14:paraId="7D638BFD" w14:textId="77777777" w:rsidTr="00CC54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995B1" w14:textId="77777777" w:rsidR="00106975" w:rsidRDefault="00106975" w:rsidP="00810465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85A4" w14:textId="178668FA" w:rsidR="00106975" w:rsidRDefault="00AA3ABB" w:rsidP="00810465">
            <w:pPr>
              <w:pStyle w:val="TableRow"/>
            </w:pPr>
            <w:r>
              <w:t>£40</w:t>
            </w:r>
            <w:r w:rsidR="00C70B77">
              <w:t>500</w:t>
            </w:r>
          </w:p>
        </w:tc>
      </w:tr>
    </w:tbl>
    <w:p w14:paraId="6EFE5794" w14:textId="71D5A6BC" w:rsidR="00106975" w:rsidRDefault="000D3229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br w:type="page"/>
      </w:r>
      <w:r w:rsidR="00106975" w:rsidRPr="00106975">
        <w:rPr>
          <w:rFonts w:ascii="Arial" w:hAnsi="Arial" w:cs="Arial"/>
          <w:b/>
          <w:color w:val="1F4E79" w:themeColor="accent1" w:themeShade="80"/>
          <w:sz w:val="24"/>
          <w:szCs w:val="24"/>
        </w:rPr>
        <w:lastRenderedPageBreak/>
        <w:t>Monitoring and implementation</w:t>
      </w: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040"/>
        <w:gridCol w:w="4040"/>
      </w:tblGrid>
      <w:tr w:rsidR="00106975" w14:paraId="5838862B" w14:textId="77777777" w:rsidTr="005E7D0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C479" w14:textId="77777777" w:rsidR="00106975" w:rsidRDefault="00106975" w:rsidP="00810465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2B9B" w14:textId="77777777" w:rsidR="00106975" w:rsidRDefault="00106975" w:rsidP="00810465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7E05" w14:textId="77777777" w:rsidR="00106975" w:rsidRDefault="00106975" w:rsidP="00810465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106975" w14:paraId="3013BAB9" w14:textId="77777777" w:rsidTr="005E7D0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FF4F" w14:textId="77777777" w:rsidR="00106975" w:rsidRDefault="00106975" w:rsidP="00810465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2B74" w14:textId="0C5AF031" w:rsidR="00106975" w:rsidRPr="000D3229" w:rsidRDefault="00A574EC" w:rsidP="00810465">
            <w:pPr>
              <w:pStyle w:val="TableRow"/>
              <w:rPr>
                <w:color w:val="auto"/>
              </w:rPr>
            </w:pPr>
            <w:r w:rsidRPr="000D3229">
              <w:rPr>
                <w:rStyle w:val="PlaceholderText"/>
                <w:color w:val="auto"/>
              </w:rPr>
              <w:t>E</w:t>
            </w:r>
            <w:r w:rsidR="000D3229">
              <w:rPr>
                <w:rStyle w:val="PlaceholderText"/>
                <w:color w:val="auto"/>
              </w:rPr>
              <w:t>nsuring sufficient</w:t>
            </w:r>
            <w:r w:rsidRPr="000D3229">
              <w:rPr>
                <w:rStyle w:val="PlaceholderText"/>
                <w:color w:val="auto"/>
              </w:rPr>
              <w:t xml:space="preserve"> time is given over to allow for staff professional development and activities around monitoring the quality of teaching and learning.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CBFE" w14:textId="3837C91F" w:rsidR="00106975" w:rsidRDefault="00A574EC" w:rsidP="00A574EC">
            <w:pPr>
              <w:pStyle w:val="TableRow"/>
            </w:pPr>
            <w:r>
              <w:t xml:space="preserve">Use of INSET days, Tuesday meeting time, </w:t>
            </w:r>
            <w:r w:rsidR="000D3229">
              <w:t>SLT support with monitoring activities, SIP support where needed.</w:t>
            </w:r>
            <w:r w:rsidR="00863DA6">
              <w:t xml:space="preserve"> Disadvantaged pupils a standing item on agendas at all levels.</w:t>
            </w:r>
          </w:p>
        </w:tc>
      </w:tr>
      <w:tr w:rsidR="00106975" w14:paraId="4931BE16" w14:textId="77777777" w:rsidTr="005E7D0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10D0" w14:textId="77777777" w:rsidR="00106975" w:rsidRDefault="00106975" w:rsidP="00810465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F1F4" w14:textId="1B964A7E" w:rsidR="00106975" w:rsidRPr="000D3229" w:rsidRDefault="000D3229" w:rsidP="000D3229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Ensuring SENDCO and maths and English leads have the time and resources needed to plan and lead small group sessions.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D0D1" w14:textId="4C40ACD0" w:rsidR="00106975" w:rsidRPr="000D3229" w:rsidRDefault="00863DA6" w:rsidP="00863DA6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New </w:t>
            </w:r>
            <w:r w:rsidR="000D3229">
              <w:rPr>
                <w:color w:val="auto"/>
              </w:rPr>
              <w:t xml:space="preserve">SENDCO </w:t>
            </w:r>
            <w:r>
              <w:rPr>
                <w:color w:val="auto"/>
              </w:rPr>
              <w:t xml:space="preserve">appointment a </w:t>
            </w:r>
            <w:r w:rsidR="000D3229">
              <w:rPr>
                <w:color w:val="auto"/>
              </w:rPr>
              <w:t xml:space="preserve">non-teaching </w:t>
            </w:r>
            <w:r>
              <w:rPr>
                <w:color w:val="auto"/>
              </w:rPr>
              <w:t xml:space="preserve">role, this will </w:t>
            </w:r>
            <w:r w:rsidR="000D3229">
              <w:rPr>
                <w:color w:val="auto"/>
              </w:rPr>
              <w:t xml:space="preserve">free up time to meet with colleagues and train staff. Time planned for SENDCO to meet with subject leads. HLTA </w:t>
            </w:r>
            <w:r>
              <w:rPr>
                <w:color w:val="auto"/>
              </w:rPr>
              <w:t>have time to meet with department leads.</w:t>
            </w:r>
          </w:p>
        </w:tc>
      </w:tr>
      <w:tr w:rsidR="00106975" w14:paraId="6C748A26" w14:textId="77777777" w:rsidTr="005E7D0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63BDE" w14:textId="77777777" w:rsidR="00106975" w:rsidRDefault="00106975" w:rsidP="00810465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Wider strategies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8060" w14:textId="2FEE9EA8" w:rsidR="00106975" w:rsidRPr="000D3229" w:rsidRDefault="00863DA6" w:rsidP="00863DA6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Engaging the pupils and families facing the most challenges.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BCB6" w14:textId="19688197" w:rsidR="00106975" w:rsidRPr="000D3229" w:rsidRDefault="00863DA6" w:rsidP="00863DA6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Wellbeing team to work closely with ‘hard to reach families’</w:t>
            </w:r>
          </w:p>
        </w:tc>
      </w:tr>
    </w:tbl>
    <w:p w14:paraId="4DE4D3B5" w14:textId="77777777" w:rsidR="00106975" w:rsidRDefault="00106975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5E9AA2FD" w14:textId="77777777" w:rsidR="00106975" w:rsidRDefault="00106975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06975">
        <w:rPr>
          <w:rFonts w:ascii="Arial" w:hAnsi="Arial" w:cs="Arial"/>
          <w:b/>
          <w:color w:val="1F4E79" w:themeColor="accent1" w:themeShade="80"/>
          <w:sz w:val="24"/>
          <w:szCs w:val="24"/>
        </w:rPr>
        <w:t>Review: last year’s aims and outcomes</w:t>
      </w: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106975" w14:paraId="637B2521" w14:textId="77777777" w:rsidTr="002C47DA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B4C0" w14:textId="77777777" w:rsidR="00106975" w:rsidRDefault="00106975" w:rsidP="00810465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18B8" w14:textId="77777777" w:rsidR="00106975" w:rsidRDefault="00106975" w:rsidP="00810465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8A59C0" w14:paraId="00448C3D" w14:textId="77777777" w:rsidTr="002C47DA">
        <w:trPr>
          <w:trHeight w:val="236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5E79" w14:textId="3B5BA408" w:rsidR="008A59C0" w:rsidRDefault="008A59C0" w:rsidP="0039239C">
            <w:pPr>
              <w:pStyle w:val="TableRow"/>
            </w:pPr>
            <w:r>
              <w:t>Demonstrate improvements in national average progress scores in KS2 Reading - Target 0% by June 2022</w:t>
            </w:r>
          </w:p>
        </w:tc>
        <w:tc>
          <w:tcPr>
            <w:tcW w:w="5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B58BE" w14:textId="77777777" w:rsidR="008A59C0" w:rsidRDefault="008A59C0" w:rsidP="008A59C0">
            <w:pPr>
              <w:pStyle w:val="TableRow"/>
              <w:jc w:val="center"/>
            </w:pPr>
            <w:r>
              <w:t>Key Stage 2 tests cancelled due to Covid-19 pandemic</w:t>
            </w:r>
            <w:r w:rsidR="00D811AD">
              <w:t>.</w:t>
            </w:r>
          </w:p>
          <w:p w14:paraId="1EF120E4" w14:textId="77777777" w:rsidR="00C23481" w:rsidRDefault="00C23481" w:rsidP="008A59C0">
            <w:pPr>
              <w:pStyle w:val="TableRow"/>
              <w:jc w:val="center"/>
            </w:pPr>
          </w:p>
          <w:p w14:paraId="6F1FEC59" w14:textId="77777777" w:rsidR="00C23481" w:rsidRDefault="00C23481" w:rsidP="008A59C0">
            <w:pPr>
              <w:pStyle w:val="TableRow"/>
              <w:jc w:val="center"/>
            </w:pPr>
            <w:r>
              <w:t>No national data available.</w:t>
            </w:r>
          </w:p>
          <w:p w14:paraId="3AD1089F" w14:textId="52FF5035" w:rsidR="00C23481" w:rsidRDefault="00C23481" w:rsidP="008A59C0">
            <w:pPr>
              <w:pStyle w:val="TableRow"/>
              <w:jc w:val="center"/>
            </w:pPr>
          </w:p>
        </w:tc>
      </w:tr>
      <w:tr w:rsidR="008A59C0" w14:paraId="560F5CA6" w14:textId="77777777" w:rsidTr="002C47DA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B6C8" w14:textId="151D96D9" w:rsidR="008A59C0" w:rsidRDefault="008A59C0" w:rsidP="0039239C">
            <w:pPr>
              <w:pStyle w:val="TableRow"/>
            </w:pPr>
            <w:r>
              <w:t>Demonstrate improvements in national average progress scores in KS2 Writing - Target 0% by June 2022</w:t>
            </w:r>
          </w:p>
        </w:tc>
        <w:tc>
          <w:tcPr>
            <w:tcW w:w="5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0074" w14:textId="5B5F21C0" w:rsidR="008A59C0" w:rsidRDefault="008A59C0" w:rsidP="0039239C">
            <w:pPr>
              <w:pStyle w:val="TableRow"/>
            </w:pPr>
          </w:p>
        </w:tc>
      </w:tr>
      <w:tr w:rsidR="008A59C0" w14:paraId="2B7581CD" w14:textId="77777777" w:rsidTr="002C47DA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D23F" w14:textId="77777777" w:rsidR="008A59C0" w:rsidRDefault="008A59C0" w:rsidP="0039239C">
            <w:pPr>
              <w:pStyle w:val="TableRow"/>
            </w:pPr>
            <w:r>
              <w:t>Demonstrate improvements in national average progress scores in KS2 Maths</w:t>
            </w:r>
          </w:p>
          <w:p w14:paraId="2662258C" w14:textId="4FC15C5B" w:rsidR="008A59C0" w:rsidRDefault="008A59C0" w:rsidP="0039239C">
            <w:pPr>
              <w:pStyle w:val="TableRow"/>
              <w:ind w:left="0"/>
            </w:pPr>
            <w:r>
              <w:t>- Target 0% by June 2022</w:t>
            </w:r>
          </w:p>
        </w:tc>
        <w:tc>
          <w:tcPr>
            <w:tcW w:w="5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2C26" w14:textId="66FBA3BD" w:rsidR="008A59C0" w:rsidRDefault="008A59C0" w:rsidP="0039239C">
            <w:pPr>
              <w:pStyle w:val="TableRow"/>
            </w:pPr>
          </w:p>
        </w:tc>
      </w:tr>
      <w:tr w:rsidR="008A59C0" w14:paraId="19FE94FB" w14:textId="77777777" w:rsidTr="002C47DA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6FBC" w14:textId="66A694BA" w:rsidR="008A59C0" w:rsidRDefault="008A59C0" w:rsidP="0039239C">
            <w:pPr>
              <w:pStyle w:val="TableRow"/>
            </w:pPr>
            <w:r>
              <w:rPr>
                <w:rStyle w:val="PlaceholderText"/>
                <w:color w:val="auto"/>
              </w:rPr>
              <w:t xml:space="preserve">Meeting expected standards at KS2. </w:t>
            </w:r>
            <w:r w:rsidRPr="00385DF8">
              <w:rPr>
                <w:rStyle w:val="PlaceholderText"/>
                <w:color w:val="auto"/>
              </w:rPr>
              <w:t>Achieve in line with EEF family of schools average for disadvantaged –</w:t>
            </w:r>
            <w:r>
              <w:rPr>
                <w:rStyle w:val="PlaceholderText"/>
                <w:color w:val="auto"/>
              </w:rPr>
              <w:t xml:space="preserve"> 56</w:t>
            </w:r>
            <w:r w:rsidRPr="00385DF8">
              <w:rPr>
                <w:rStyle w:val="PlaceholderText"/>
                <w:color w:val="auto"/>
              </w:rPr>
              <w:t xml:space="preserve">% </w:t>
            </w:r>
          </w:p>
        </w:tc>
        <w:tc>
          <w:tcPr>
            <w:tcW w:w="5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3D91" w14:textId="77777777" w:rsidR="008A59C0" w:rsidRDefault="008A59C0" w:rsidP="0039239C">
            <w:pPr>
              <w:pStyle w:val="TableRow"/>
              <w:rPr>
                <w:rStyle w:val="PlaceholderText"/>
              </w:rPr>
            </w:pPr>
          </w:p>
        </w:tc>
      </w:tr>
      <w:tr w:rsidR="008A59C0" w14:paraId="7233B19D" w14:textId="77777777" w:rsidTr="002C47DA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19C9" w14:textId="77777777" w:rsidR="008A59C0" w:rsidRDefault="008A59C0" w:rsidP="0039239C">
            <w:pPr>
              <w:pStyle w:val="TableRow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 xml:space="preserve">Achieving high standard at KS2. </w:t>
            </w:r>
          </w:p>
          <w:p w14:paraId="475D0F1E" w14:textId="1B1018F4" w:rsidR="008A59C0" w:rsidRPr="00385DF8" w:rsidRDefault="008A59C0" w:rsidP="0039239C">
            <w:pPr>
              <w:pStyle w:val="TableRow"/>
              <w:rPr>
                <w:rStyle w:val="PlaceholderText"/>
                <w:color w:val="auto"/>
              </w:rPr>
            </w:pPr>
            <w:r w:rsidRPr="00385DF8">
              <w:rPr>
                <w:rStyle w:val="PlaceholderText"/>
                <w:color w:val="auto"/>
              </w:rPr>
              <w:t>Achieve in line with EEF family of schools average for disadvantaged –6.5%</w:t>
            </w:r>
          </w:p>
        </w:tc>
        <w:tc>
          <w:tcPr>
            <w:tcW w:w="5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D600" w14:textId="77777777" w:rsidR="008A59C0" w:rsidRDefault="008A59C0" w:rsidP="0039239C">
            <w:pPr>
              <w:pStyle w:val="TableRow"/>
              <w:rPr>
                <w:rStyle w:val="PlaceholderText"/>
              </w:rPr>
            </w:pPr>
          </w:p>
        </w:tc>
      </w:tr>
      <w:tr w:rsidR="008A59C0" w14:paraId="73373BE4" w14:textId="77777777" w:rsidTr="002C47DA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8A50" w14:textId="4BCFCC39" w:rsidR="008A59C0" w:rsidRDefault="008A59C0" w:rsidP="0039239C">
            <w:pPr>
              <w:pStyle w:val="TableRow"/>
              <w:rPr>
                <w:rStyle w:val="PlaceholderText"/>
                <w:color w:val="auto"/>
              </w:rPr>
            </w:pPr>
            <w:r>
              <w:rPr>
                <w:rFonts w:cs="Calibri"/>
                <w:sz w:val="22"/>
                <w:szCs w:val="22"/>
              </w:rPr>
              <w:t>Year 8 GL exit data English</w:t>
            </w:r>
          </w:p>
        </w:tc>
        <w:tc>
          <w:tcPr>
            <w:tcW w:w="5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ED23" w14:textId="751CC26A" w:rsidR="008A59C0" w:rsidRDefault="008A59C0" w:rsidP="008A59C0">
            <w:pPr>
              <w:pStyle w:val="TableRow"/>
              <w:jc w:val="center"/>
              <w:rPr>
                <w:rStyle w:val="PlaceholderText"/>
              </w:rPr>
            </w:pPr>
            <w:r>
              <w:t>GL assessment tests cancelled due to Covid-19 pandemic</w:t>
            </w:r>
          </w:p>
        </w:tc>
      </w:tr>
      <w:tr w:rsidR="008A59C0" w14:paraId="50A3E3BA" w14:textId="77777777" w:rsidTr="002C47DA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A87C" w14:textId="3E143191" w:rsidR="008A59C0" w:rsidRDefault="008A59C0" w:rsidP="0039239C">
            <w:pPr>
              <w:pStyle w:val="TableRow"/>
              <w:rPr>
                <w:rStyle w:val="PlaceholderText"/>
                <w:color w:val="auto"/>
              </w:rPr>
            </w:pPr>
            <w:r>
              <w:rPr>
                <w:rFonts w:cs="Calibri"/>
                <w:sz w:val="22"/>
                <w:szCs w:val="22"/>
              </w:rPr>
              <w:t>Year 8 GL exit data Maths</w:t>
            </w:r>
          </w:p>
        </w:tc>
        <w:tc>
          <w:tcPr>
            <w:tcW w:w="5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5B4F" w14:textId="4DBBF0DD" w:rsidR="008A59C0" w:rsidRDefault="008A59C0" w:rsidP="0039239C">
            <w:pPr>
              <w:pStyle w:val="TableRow"/>
              <w:rPr>
                <w:rStyle w:val="PlaceholderText"/>
              </w:rPr>
            </w:pPr>
          </w:p>
        </w:tc>
      </w:tr>
    </w:tbl>
    <w:p w14:paraId="560160B3" w14:textId="77777777" w:rsidR="00106975" w:rsidRDefault="00106975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sectPr w:rsidR="00106975" w:rsidSect="00490F4F">
      <w:headerReference w:type="default" r:id="rId11"/>
      <w:footerReference w:type="default" r:id="rId12"/>
      <w:headerReference w:type="first" r:id="rId13"/>
      <w:pgSz w:w="12240" w:h="15840"/>
      <w:pgMar w:top="85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38CB1" w14:textId="77777777" w:rsidR="00106975" w:rsidRDefault="00106975" w:rsidP="00106975">
      <w:pPr>
        <w:spacing w:after="0" w:line="240" w:lineRule="auto"/>
      </w:pPr>
      <w:r>
        <w:separator/>
      </w:r>
    </w:p>
  </w:endnote>
  <w:endnote w:type="continuationSeparator" w:id="0">
    <w:p w14:paraId="13D3DE7C" w14:textId="77777777" w:rsidR="00106975" w:rsidRDefault="00106975" w:rsidP="0010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7714" w14:textId="77777777" w:rsidR="00550174" w:rsidRDefault="00550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0A52F" w14:textId="77777777" w:rsidR="00106975" w:rsidRDefault="00106975" w:rsidP="00106975">
      <w:pPr>
        <w:spacing w:after="0" w:line="240" w:lineRule="auto"/>
      </w:pPr>
      <w:r>
        <w:separator/>
      </w:r>
    </w:p>
  </w:footnote>
  <w:footnote w:type="continuationSeparator" w:id="0">
    <w:p w14:paraId="0E11789E" w14:textId="77777777" w:rsidR="00106975" w:rsidRDefault="00106975" w:rsidP="0010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9DEFF" w14:textId="77777777" w:rsidR="00106975" w:rsidRPr="00106975" w:rsidRDefault="00106975" w:rsidP="001069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B23E" w14:textId="77777777" w:rsidR="00106975" w:rsidRDefault="00106975" w:rsidP="0010697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7BB5635" wp14:editId="51818BD8">
          <wp:extent cx="750627" cy="60683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52" cy="63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758E"/>
    <w:multiLevelType w:val="hybridMultilevel"/>
    <w:tmpl w:val="3C46BCB6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597E05FA"/>
    <w:multiLevelType w:val="hybridMultilevel"/>
    <w:tmpl w:val="E4FAFF3E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5A99744E"/>
    <w:multiLevelType w:val="hybridMultilevel"/>
    <w:tmpl w:val="48D6A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4E0ADD"/>
    <w:multiLevelType w:val="hybridMultilevel"/>
    <w:tmpl w:val="DBB65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1F709B"/>
    <w:multiLevelType w:val="hybridMultilevel"/>
    <w:tmpl w:val="9490CFC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5"/>
    <w:rsid w:val="00041C70"/>
    <w:rsid w:val="000A0B23"/>
    <w:rsid w:val="000D3229"/>
    <w:rsid w:val="00106975"/>
    <w:rsid w:val="00113A8B"/>
    <w:rsid w:val="001D346D"/>
    <w:rsid w:val="002249C5"/>
    <w:rsid w:val="002C47DA"/>
    <w:rsid w:val="00385DF8"/>
    <w:rsid w:val="0039239C"/>
    <w:rsid w:val="003F3E8C"/>
    <w:rsid w:val="00483EDD"/>
    <w:rsid w:val="00490F4F"/>
    <w:rsid w:val="004D629B"/>
    <w:rsid w:val="00550174"/>
    <w:rsid w:val="005E7D08"/>
    <w:rsid w:val="006936B2"/>
    <w:rsid w:val="00794866"/>
    <w:rsid w:val="007B40F4"/>
    <w:rsid w:val="007D5C50"/>
    <w:rsid w:val="007E736E"/>
    <w:rsid w:val="00863DA6"/>
    <w:rsid w:val="008A59C0"/>
    <w:rsid w:val="008F5D02"/>
    <w:rsid w:val="00953491"/>
    <w:rsid w:val="009A4B85"/>
    <w:rsid w:val="009F7518"/>
    <w:rsid w:val="00A574EC"/>
    <w:rsid w:val="00A620E3"/>
    <w:rsid w:val="00A9244A"/>
    <w:rsid w:val="00A92AE5"/>
    <w:rsid w:val="00AA3ABB"/>
    <w:rsid w:val="00AF1CE7"/>
    <w:rsid w:val="00B43F8C"/>
    <w:rsid w:val="00C00BE2"/>
    <w:rsid w:val="00C23481"/>
    <w:rsid w:val="00C70B77"/>
    <w:rsid w:val="00CB5FA1"/>
    <w:rsid w:val="00CC5459"/>
    <w:rsid w:val="00CE2FB6"/>
    <w:rsid w:val="00D76B0B"/>
    <w:rsid w:val="00D811AD"/>
    <w:rsid w:val="00E24993"/>
    <w:rsid w:val="00E50DDC"/>
    <w:rsid w:val="00E54BCC"/>
    <w:rsid w:val="00E9304B"/>
    <w:rsid w:val="00F6788B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4C100A"/>
  <w15:chartTrackingRefBased/>
  <w15:docId w15:val="{2C9CEBB3-F8D9-42E8-9B5B-9817EB98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75"/>
    <w:rPr>
      <w:lang w:val="en-GB"/>
    </w:rPr>
  </w:style>
  <w:style w:type="paragraph" w:customStyle="1" w:styleId="TableRow">
    <w:name w:val="TableRow"/>
    <w:rsid w:val="00106975"/>
    <w:pPr>
      <w:suppressAutoHyphens/>
      <w:autoSpaceDN w:val="0"/>
      <w:spacing w:before="60" w:after="60" w:line="240" w:lineRule="auto"/>
      <w:ind w:left="57" w:right="57"/>
      <w:textAlignment w:val="baseline"/>
    </w:pPr>
    <w:rPr>
      <w:rFonts w:ascii="Arial" w:eastAsia="Times New Roman" w:hAnsi="Arial" w:cs="Times New Roman"/>
      <w:color w:val="0D0D0D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rsid w:val="00106975"/>
    <w:rPr>
      <w:color w:val="808080"/>
    </w:rPr>
  </w:style>
  <w:style w:type="paragraph" w:styleId="ListParagraph">
    <w:name w:val="List Paragraph"/>
    <w:basedOn w:val="Normal"/>
    <w:uiPriority w:val="34"/>
    <w:qFormat/>
    <w:rsid w:val="00490F4F"/>
    <w:pPr>
      <w:ind w:left="720"/>
      <w:contextualSpacing/>
    </w:pPr>
  </w:style>
  <w:style w:type="character" w:styleId="Hyperlink">
    <w:name w:val="Hyperlink"/>
    <w:rsid w:val="00CB5FA1"/>
    <w:rPr>
      <w:rFonts w:ascii="Arial" w:hAnsi="Arial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8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E88A738820B428263CA8A0AE6969C" ma:contentTypeVersion="13" ma:contentTypeDescription="Create a new document." ma:contentTypeScope="" ma:versionID="30073aaec5a63fbb30bde7cc9963eb16">
  <xsd:schema xmlns:xsd="http://www.w3.org/2001/XMLSchema" xmlns:xs="http://www.w3.org/2001/XMLSchema" xmlns:p="http://schemas.microsoft.com/office/2006/metadata/properties" xmlns:ns3="cdebfb34-341f-4398-a5a0-800b8dd56c33" xmlns:ns4="2425eb64-6722-4a92-baa4-5fd10ae8a6e3" targetNamespace="http://schemas.microsoft.com/office/2006/metadata/properties" ma:root="true" ma:fieldsID="fe8ace9554fb5e721e83740b0d1985c6" ns3:_="" ns4:_="">
    <xsd:import namespace="cdebfb34-341f-4398-a5a0-800b8dd56c33"/>
    <xsd:import namespace="2425eb64-6722-4a92-baa4-5fd10ae8a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bfb34-341f-4398-a5a0-800b8dd56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eb64-6722-4a92-baa4-5fd10ae8a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55F5-914D-4A8A-B441-1A64923E796B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2425eb64-6722-4a92-baa4-5fd10ae8a6e3"/>
    <ds:schemaRef ds:uri="cdebfb34-341f-4398-a5a0-800b8dd56c33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16F9FD-D85F-499F-B017-ACE1F8CC0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bfb34-341f-4398-a5a0-800b8dd56c33"/>
    <ds:schemaRef ds:uri="2425eb64-6722-4a92-baa4-5fd10ae8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26789-6448-4B26-917A-C3A4BCFF7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0C3B8-5322-45B5-85A6-06250F12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 Academy Trust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Taylor</dc:creator>
  <cp:keywords/>
  <dc:description/>
  <cp:lastModifiedBy>Christopher Taylor KMS</cp:lastModifiedBy>
  <cp:revision>10</cp:revision>
  <cp:lastPrinted>2020-08-26T13:07:00Z</cp:lastPrinted>
  <dcterms:created xsi:type="dcterms:W3CDTF">2020-08-26T07:43:00Z</dcterms:created>
  <dcterms:modified xsi:type="dcterms:W3CDTF">2020-08-26T14:00:00Z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0x010100619E88A738820B428263CA8A0AE6969C</vt:lpwstr>
  </property>
</Properties>
</file>