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CEC7" w14:textId="77777777" w:rsidR="00904E8B" w:rsidRDefault="00904E8B">
      <w:pPr>
        <w:pStyle w:val="BodyText"/>
        <w:spacing w:before="9"/>
        <w:ind w:left="0"/>
        <w:rPr>
          <w:rFonts w:ascii="Times New Roman"/>
          <w:sz w:val="9"/>
        </w:rPr>
      </w:pPr>
    </w:p>
    <w:p w14:paraId="5FA893AA" w14:textId="77777777" w:rsidR="00904E8B" w:rsidRDefault="00AA21EE">
      <w:pPr>
        <w:spacing w:before="92"/>
        <w:ind w:left="663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D135E9C" wp14:editId="0B214B3C">
            <wp:simplePos x="0" y="0"/>
            <wp:positionH relativeFrom="page">
              <wp:posOffset>6505575</wp:posOffset>
            </wp:positionH>
            <wp:positionV relativeFrom="paragraph">
              <wp:posOffset>-67045</wp:posOffset>
            </wp:positionV>
            <wp:extent cx="815301" cy="7207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01" cy="720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RELIGIOUS EDUCATION: PARENTS’ RIGHT TO WITHDRAW THEIR CHILD</w:t>
      </w:r>
    </w:p>
    <w:p w14:paraId="6135C5C2" w14:textId="77777777" w:rsidR="00904E8B" w:rsidRDefault="00904E8B">
      <w:pPr>
        <w:pStyle w:val="BodyText"/>
        <w:spacing w:before="9"/>
        <w:ind w:left="0"/>
        <w:rPr>
          <w:b/>
          <w:sz w:val="12"/>
        </w:rPr>
      </w:pPr>
    </w:p>
    <w:p w14:paraId="66F09DFB" w14:textId="77777777" w:rsidR="00904E8B" w:rsidRDefault="00AA21EE">
      <w:pPr>
        <w:pStyle w:val="Heading1"/>
        <w:spacing w:before="93"/>
      </w:pPr>
      <w:bookmarkStart w:id="0" w:name="The_law_states_that:"/>
      <w:bookmarkEnd w:id="0"/>
      <w:r>
        <w:t>The law states that:</w:t>
      </w:r>
    </w:p>
    <w:p w14:paraId="37E9A5B6" w14:textId="77777777" w:rsidR="00904E8B" w:rsidRDefault="00904E8B">
      <w:pPr>
        <w:pStyle w:val="BodyText"/>
        <w:spacing w:before="4"/>
        <w:ind w:left="0"/>
        <w:rPr>
          <w:b/>
        </w:rPr>
      </w:pPr>
    </w:p>
    <w:p w14:paraId="198716CE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0" w:line="268" w:lineRule="auto"/>
        <w:ind w:right="690"/>
        <w:rPr>
          <w:rFonts w:ascii="Symbol" w:hAnsi="Symbol"/>
          <w:sz w:val="20"/>
        </w:rPr>
      </w:pPr>
      <w:r>
        <w:rPr>
          <w:sz w:val="20"/>
        </w:rPr>
        <w:t xml:space="preserve">If the parent asks that a pupil should be wholly or partly excused from receiving any religious education at the school, then the school must </w:t>
      </w:r>
      <w:proofErr w:type="gramStart"/>
      <w:r>
        <w:rPr>
          <w:sz w:val="20"/>
        </w:rPr>
        <w:t>comply;</w:t>
      </w:r>
      <w:proofErr w:type="gramEnd"/>
    </w:p>
    <w:p w14:paraId="6E828E96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8" w:line="266" w:lineRule="auto"/>
        <w:ind w:right="322"/>
        <w:rPr>
          <w:rFonts w:ascii="Symbol" w:hAnsi="Symbol"/>
          <w:sz w:val="20"/>
        </w:rPr>
      </w:pPr>
      <w:r>
        <w:rPr>
          <w:sz w:val="20"/>
        </w:rPr>
        <w:t>As schools act in loco parentis, a school continues to be responsible for the supervision of any child wit</w:t>
      </w:r>
      <w:r>
        <w:rPr>
          <w:sz w:val="20"/>
        </w:rPr>
        <w:t>hdrawn by its parents from RE unless the child is lawfully receiving religious education</w:t>
      </w:r>
      <w:r>
        <w:rPr>
          <w:spacing w:val="-17"/>
          <w:sz w:val="20"/>
        </w:rPr>
        <w:t xml:space="preserve"> </w:t>
      </w:r>
      <w:proofErr w:type="gramStart"/>
      <w:r>
        <w:rPr>
          <w:sz w:val="20"/>
        </w:rPr>
        <w:t>elsewhere;</w:t>
      </w:r>
      <w:proofErr w:type="gramEnd"/>
    </w:p>
    <w:p w14:paraId="21A501B6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8"/>
        <w:ind w:hanging="361"/>
        <w:rPr>
          <w:rFonts w:ascii="Symbol" w:hAnsi="Symbol"/>
          <w:sz w:val="20"/>
        </w:rPr>
      </w:pPr>
      <w:r>
        <w:rPr>
          <w:sz w:val="20"/>
        </w:rPr>
        <w:t>Withdrawal time should not be used to teach other curriculum areas e.g., additional mathematics</w:t>
      </w:r>
      <w:r>
        <w:rPr>
          <w:spacing w:val="-28"/>
          <w:sz w:val="20"/>
        </w:rPr>
        <w:t xml:space="preserve"> </w:t>
      </w:r>
      <w:proofErr w:type="gramStart"/>
      <w:r>
        <w:rPr>
          <w:sz w:val="20"/>
        </w:rPr>
        <w:t>sessions;</w:t>
      </w:r>
      <w:proofErr w:type="gramEnd"/>
    </w:p>
    <w:p w14:paraId="523F6846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9"/>
        </w:tabs>
        <w:spacing w:before="33" w:line="271" w:lineRule="auto"/>
        <w:ind w:right="295"/>
        <w:jc w:val="both"/>
        <w:rPr>
          <w:rFonts w:ascii="Symbol" w:hAnsi="Symbol"/>
          <w:sz w:val="20"/>
        </w:rPr>
      </w:pPr>
      <w:r>
        <w:rPr>
          <w:sz w:val="20"/>
        </w:rPr>
        <w:t xml:space="preserve">If a parent so requests, and so long as the local </w:t>
      </w:r>
      <w:r>
        <w:rPr>
          <w:sz w:val="20"/>
        </w:rPr>
        <w:t xml:space="preserve">authority is satisfied that this will not interfere with the child’s attendance at school other than at the beginning or end of any school session, a pupil may be withdrawn </w:t>
      </w:r>
      <w:r>
        <w:rPr>
          <w:spacing w:val="2"/>
          <w:sz w:val="20"/>
        </w:rPr>
        <w:t xml:space="preserve">from </w:t>
      </w:r>
      <w:r>
        <w:rPr>
          <w:sz w:val="20"/>
        </w:rPr>
        <w:t>the school premises to receive religious education elsewhere of a kind which i</w:t>
      </w:r>
      <w:r>
        <w:rPr>
          <w:sz w:val="20"/>
        </w:rPr>
        <w:t xml:space="preserve">s not provided in the school during the </w:t>
      </w:r>
      <w:r>
        <w:rPr>
          <w:i/>
          <w:sz w:val="20"/>
        </w:rPr>
        <w:t>periods of time that the child is so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excused</w:t>
      </w:r>
      <w:r>
        <w:rPr>
          <w:sz w:val="20"/>
        </w:rPr>
        <w:t>.</w:t>
      </w:r>
    </w:p>
    <w:p w14:paraId="6590385E" w14:textId="77777777" w:rsidR="00904E8B" w:rsidRDefault="00AA21EE">
      <w:pPr>
        <w:pStyle w:val="BodyText"/>
        <w:spacing w:before="8"/>
        <w:jc w:val="both"/>
      </w:pPr>
      <w:r>
        <w:t>It should be noted that arranging alternative religious education is extremely rare.</w:t>
      </w:r>
    </w:p>
    <w:p w14:paraId="68CF6069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9"/>
        </w:tabs>
        <w:spacing w:before="38" w:line="273" w:lineRule="auto"/>
        <w:ind w:right="416"/>
        <w:jc w:val="both"/>
        <w:rPr>
          <w:rFonts w:ascii="Symbol" w:hAnsi="Symbol"/>
          <w:sz w:val="20"/>
        </w:rPr>
      </w:pPr>
      <w:r>
        <w:rPr>
          <w:sz w:val="20"/>
        </w:rPr>
        <w:t>If a parent wishes their child to receive alternative religious education that cannot</w:t>
      </w:r>
      <w:r>
        <w:rPr>
          <w:sz w:val="20"/>
        </w:rPr>
        <w:t xml:space="preserve"> be provided elsewhere (as above), the school is required to allow such education within the school </w:t>
      </w:r>
      <w:proofErr w:type="gramStart"/>
      <w:r>
        <w:rPr>
          <w:sz w:val="20"/>
        </w:rPr>
        <w:t>as long as</w:t>
      </w:r>
      <w:proofErr w:type="gramEnd"/>
      <w:r>
        <w:rPr>
          <w:sz w:val="20"/>
        </w:rPr>
        <w:t xml:space="preserve"> it does not consider there are special circumstances in which it would be unreasonable to do so. </w:t>
      </w:r>
      <w:r>
        <w:rPr>
          <w:b/>
          <w:sz w:val="20"/>
        </w:rPr>
        <w:t>Any arrangement must not incur any extra cost fo</w:t>
      </w:r>
      <w:r>
        <w:rPr>
          <w:b/>
          <w:sz w:val="20"/>
        </w:rPr>
        <w:t xml:space="preserve">r the school. </w:t>
      </w:r>
      <w:r>
        <w:rPr>
          <w:sz w:val="20"/>
        </w:rPr>
        <w:t>This usually would mean that parents could send in RE materials for the pupil to work on during RE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lessons</w:t>
      </w:r>
      <w:proofErr w:type="gramEnd"/>
    </w:p>
    <w:p w14:paraId="3D27B3E0" w14:textId="1E3FCACF" w:rsidR="00904E8B" w:rsidRPr="00AA21EE" w:rsidRDefault="00AA21EE" w:rsidP="00AA21EE">
      <w:pPr>
        <w:pStyle w:val="ListParagraph"/>
        <w:numPr>
          <w:ilvl w:val="0"/>
          <w:numId w:val="1"/>
        </w:numPr>
        <w:tabs>
          <w:tab w:val="left" w:pos="839"/>
        </w:tabs>
        <w:spacing w:before="6" w:line="268" w:lineRule="auto"/>
        <w:ind w:right="884"/>
        <w:jc w:val="both"/>
        <w:rPr>
          <w:rFonts w:ascii="Symbol" w:hAnsi="Symbol"/>
          <w:sz w:val="20"/>
        </w:rPr>
      </w:pPr>
      <w:r>
        <w:rPr>
          <w:sz w:val="20"/>
        </w:rPr>
        <w:t xml:space="preserve">Students aged 18 or over have the right to withdraw themselves from RE and can do so without giving any explanation.                    </w:t>
      </w:r>
      <w:r w:rsidRPr="00AA21EE">
        <w:rPr>
          <w:i/>
          <w:sz w:val="20"/>
        </w:rPr>
        <w:t>(School Standards and Framework Act, 1998)</w:t>
      </w:r>
    </w:p>
    <w:p w14:paraId="372C6DB8" w14:textId="77777777" w:rsidR="00904E8B" w:rsidRDefault="00904E8B">
      <w:pPr>
        <w:pStyle w:val="BodyText"/>
        <w:spacing w:before="5"/>
        <w:ind w:left="0"/>
        <w:rPr>
          <w:i/>
          <w:sz w:val="25"/>
        </w:rPr>
      </w:pPr>
    </w:p>
    <w:p w14:paraId="3E7A016A" w14:textId="77777777" w:rsidR="00904E8B" w:rsidRDefault="00AA21EE">
      <w:pPr>
        <w:pStyle w:val="Heading1"/>
      </w:pPr>
      <w:bookmarkStart w:id="1" w:name="How_should_a_parent_make_the_request?"/>
      <w:bookmarkEnd w:id="1"/>
      <w:r>
        <w:t>H</w:t>
      </w:r>
      <w:r>
        <w:t>ow should a parent make the request?</w:t>
      </w:r>
    </w:p>
    <w:p w14:paraId="6995039E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hanging="364"/>
        <w:rPr>
          <w:rFonts w:ascii="Symbol" w:hAnsi="Symbol"/>
          <w:sz w:val="20"/>
        </w:rPr>
      </w:pPr>
      <w:r>
        <w:rPr>
          <w:sz w:val="20"/>
        </w:rPr>
        <w:t>All requests should be made to the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headteacher;</w:t>
      </w:r>
      <w:proofErr w:type="gramEnd"/>
    </w:p>
    <w:p w14:paraId="14B8A283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29"/>
        <w:ind w:hanging="364"/>
        <w:rPr>
          <w:rFonts w:ascii="Symbol" w:hAnsi="Symbol"/>
          <w:sz w:val="20"/>
        </w:rPr>
      </w:pPr>
      <w:r>
        <w:rPr>
          <w:sz w:val="20"/>
        </w:rPr>
        <w:t>The proce</w:t>
      </w:r>
      <w:r>
        <w:rPr>
          <w:sz w:val="20"/>
        </w:rPr>
        <w:t xml:space="preserve">ss should be clearly outlined on </w:t>
      </w:r>
      <w:r>
        <w:rPr>
          <w:b/>
          <w:sz w:val="20"/>
        </w:rPr>
        <w:t>the school</w:t>
      </w:r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z w:val="20"/>
        </w:rPr>
        <w:t>website</w:t>
      </w:r>
      <w:r>
        <w:rPr>
          <w:sz w:val="20"/>
        </w:rPr>
        <w:t>;</w:t>
      </w:r>
      <w:proofErr w:type="gramEnd"/>
    </w:p>
    <w:p w14:paraId="0A3F3477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33"/>
        <w:ind w:hanging="361"/>
        <w:rPr>
          <w:rFonts w:ascii="Symbol" w:hAnsi="Symbol"/>
          <w:sz w:val="20"/>
        </w:rPr>
      </w:pPr>
      <w:r>
        <w:rPr>
          <w:sz w:val="20"/>
        </w:rPr>
        <w:t xml:space="preserve">A written record should be made of the request, any </w:t>
      </w:r>
      <w:proofErr w:type="gramStart"/>
      <w:r>
        <w:rPr>
          <w:sz w:val="20"/>
        </w:rPr>
        <w:t>discussion</w:t>
      </w:r>
      <w:proofErr w:type="gramEnd"/>
      <w:r>
        <w:rPr>
          <w:sz w:val="20"/>
        </w:rPr>
        <w:t xml:space="preserve"> and the</w:t>
      </w:r>
      <w:r>
        <w:rPr>
          <w:spacing w:val="-13"/>
          <w:sz w:val="20"/>
        </w:rPr>
        <w:t xml:space="preserve"> </w:t>
      </w:r>
      <w:r>
        <w:rPr>
          <w:sz w:val="20"/>
        </w:rPr>
        <w:t>outcome.</w:t>
      </w:r>
    </w:p>
    <w:p w14:paraId="35CC6789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34"/>
        <w:ind w:hanging="361"/>
        <w:rPr>
          <w:rFonts w:ascii="Symbol" w:hAnsi="Symbol"/>
          <w:sz w:val="20"/>
        </w:rPr>
      </w:pPr>
      <w:r>
        <w:rPr>
          <w:sz w:val="20"/>
        </w:rPr>
        <w:t>The request should be reviewed</w:t>
      </w:r>
      <w:r>
        <w:rPr>
          <w:spacing w:val="-3"/>
          <w:sz w:val="20"/>
        </w:rPr>
        <w:t xml:space="preserve"> </w:t>
      </w:r>
      <w:r>
        <w:rPr>
          <w:sz w:val="20"/>
        </w:rPr>
        <w:t>annually.</w:t>
      </w:r>
    </w:p>
    <w:p w14:paraId="7DACD659" w14:textId="77777777" w:rsidR="00904E8B" w:rsidRDefault="00904E8B">
      <w:pPr>
        <w:pStyle w:val="BodyText"/>
        <w:spacing w:before="6"/>
        <w:ind w:left="0"/>
        <w:rPr>
          <w:sz w:val="25"/>
        </w:rPr>
      </w:pPr>
    </w:p>
    <w:p w14:paraId="6AA7FD87" w14:textId="77777777" w:rsidR="00904E8B" w:rsidRDefault="00AA21EE">
      <w:pPr>
        <w:pStyle w:val="Heading1"/>
      </w:pPr>
      <w:bookmarkStart w:id="2" w:name="Can_the_headteacher_ask_the_parent_to_re"/>
      <w:bookmarkEnd w:id="2"/>
      <w:r>
        <w:t>Can the headteacher ask the parent to reconsider?</w:t>
      </w:r>
    </w:p>
    <w:p w14:paraId="49B62525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hanging="364"/>
        <w:rPr>
          <w:rFonts w:ascii="Symbol" w:hAnsi="Symbol"/>
          <w:b/>
          <w:color w:val="6E2E9F"/>
          <w:sz w:val="20"/>
        </w:rPr>
      </w:pPr>
      <w:r>
        <w:rPr>
          <w:sz w:val="20"/>
        </w:rPr>
        <w:t>Parents considering withdrawal should be asked to contact the headteacher to arrange a</w:t>
      </w:r>
      <w:r>
        <w:rPr>
          <w:spacing w:val="-21"/>
          <w:sz w:val="20"/>
        </w:rPr>
        <w:t xml:space="preserve"> </w:t>
      </w:r>
      <w:r>
        <w:rPr>
          <w:sz w:val="20"/>
        </w:rPr>
        <w:t>discussion</w:t>
      </w:r>
      <w:r>
        <w:rPr>
          <w:b/>
          <w:color w:val="6E2E9F"/>
          <w:sz w:val="20"/>
        </w:rPr>
        <w:t>.</w:t>
      </w:r>
    </w:p>
    <w:p w14:paraId="6BBBD501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34"/>
        <w:ind w:hanging="361"/>
        <w:rPr>
          <w:rFonts w:ascii="Symbol" w:hAnsi="Symbol"/>
          <w:sz w:val="20"/>
        </w:rPr>
      </w:pPr>
      <w:r>
        <w:rPr>
          <w:sz w:val="20"/>
        </w:rPr>
        <w:t>The school can ask why the parent wishes to withdraw the child but cannot require a reason to be</w:t>
      </w:r>
      <w:r>
        <w:rPr>
          <w:spacing w:val="-33"/>
          <w:sz w:val="20"/>
        </w:rPr>
        <w:t xml:space="preserve"> </w:t>
      </w:r>
      <w:proofErr w:type="gramStart"/>
      <w:r>
        <w:rPr>
          <w:sz w:val="20"/>
        </w:rPr>
        <w:t>given;</w:t>
      </w:r>
      <w:proofErr w:type="gramEnd"/>
    </w:p>
    <w:p w14:paraId="1FE77C07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31"/>
        <w:ind w:hanging="361"/>
        <w:rPr>
          <w:rFonts w:ascii="Symbol" w:hAnsi="Symbol"/>
          <w:sz w:val="20"/>
        </w:rPr>
      </w:pPr>
      <w:r>
        <w:rPr>
          <w:sz w:val="20"/>
        </w:rPr>
        <w:t xml:space="preserve">It </w:t>
      </w:r>
      <w:r>
        <w:rPr>
          <w:sz w:val="20"/>
        </w:rPr>
        <w:t>is reasonable for the headteacher to explain the approach to religious</w:t>
      </w:r>
      <w:r>
        <w:rPr>
          <w:spacing w:val="-17"/>
          <w:sz w:val="20"/>
        </w:rPr>
        <w:t xml:space="preserve"> </w:t>
      </w:r>
      <w:r>
        <w:rPr>
          <w:sz w:val="20"/>
        </w:rPr>
        <w:t>education:</w:t>
      </w:r>
    </w:p>
    <w:p w14:paraId="0E8DEB58" w14:textId="77777777" w:rsidR="00904E8B" w:rsidRDefault="00AA21EE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before="34" w:line="276" w:lineRule="auto"/>
        <w:ind w:right="406"/>
        <w:rPr>
          <w:sz w:val="20"/>
        </w:rPr>
      </w:pPr>
      <w:r>
        <w:rPr>
          <w:sz w:val="20"/>
        </w:rPr>
        <w:t xml:space="preserve">In Lancashire community and voluntary controlled schools RE is inclusive and explores what it means to be </w:t>
      </w:r>
      <w:proofErr w:type="gramStart"/>
      <w:r>
        <w:rPr>
          <w:sz w:val="20"/>
        </w:rPr>
        <w:t>human;</w:t>
      </w:r>
      <w:proofErr w:type="gramEnd"/>
    </w:p>
    <w:p w14:paraId="758A376D" w14:textId="77777777" w:rsidR="00904E8B" w:rsidRDefault="00AA21EE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before="0" w:line="224" w:lineRule="exact"/>
        <w:rPr>
          <w:sz w:val="20"/>
        </w:rPr>
      </w:pP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indoctrinating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nurturing</w:t>
      </w:r>
      <w:r>
        <w:rPr>
          <w:spacing w:val="-4"/>
          <w:sz w:val="20"/>
        </w:rPr>
        <w:t xml:space="preserve"> </w:t>
      </w:r>
      <w:r>
        <w:rPr>
          <w:sz w:val="20"/>
        </w:rPr>
        <w:t>children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faith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promoting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particular</w:t>
      </w:r>
      <w:r>
        <w:rPr>
          <w:spacing w:val="-1"/>
          <w:sz w:val="20"/>
        </w:rPr>
        <w:t xml:space="preserve"> </w:t>
      </w:r>
      <w:r>
        <w:rPr>
          <w:sz w:val="20"/>
        </w:rPr>
        <w:t>belief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system;</w:t>
      </w:r>
      <w:proofErr w:type="gramEnd"/>
    </w:p>
    <w:p w14:paraId="527D5419" w14:textId="77777777" w:rsidR="00904E8B" w:rsidRDefault="00AA21EE">
      <w:pPr>
        <w:pStyle w:val="ListParagraph"/>
        <w:numPr>
          <w:ilvl w:val="1"/>
          <w:numId w:val="1"/>
        </w:numPr>
        <w:tabs>
          <w:tab w:val="left" w:pos="1279"/>
          <w:tab w:val="left" w:pos="1280"/>
        </w:tabs>
        <w:spacing w:before="39"/>
        <w:rPr>
          <w:sz w:val="20"/>
        </w:rPr>
      </w:pPr>
      <w:r>
        <w:rPr>
          <w:sz w:val="20"/>
        </w:rPr>
        <w:t>RE</w:t>
      </w:r>
      <w:r>
        <w:rPr>
          <w:spacing w:val="-6"/>
          <w:sz w:val="20"/>
        </w:rPr>
        <w:t xml:space="preserve"> </w:t>
      </w:r>
      <w:r>
        <w:rPr>
          <w:sz w:val="20"/>
        </w:rPr>
        <w:t>makes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5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pupils’</w:t>
      </w:r>
      <w:r>
        <w:rPr>
          <w:spacing w:val="-5"/>
          <w:sz w:val="20"/>
        </w:rPr>
        <w:t xml:space="preserve"> </w:t>
      </w:r>
      <w:r>
        <w:rPr>
          <w:sz w:val="20"/>
        </w:rPr>
        <w:t>spiritual,</w:t>
      </w:r>
      <w:r>
        <w:rPr>
          <w:spacing w:val="-3"/>
          <w:sz w:val="20"/>
        </w:rPr>
        <w:t xml:space="preserve"> </w:t>
      </w:r>
      <w:r>
        <w:rPr>
          <w:sz w:val="20"/>
        </w:rPr>
        <w:t>moral,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social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cultural</w:t>
      </w:r>
      <w:r>
        <w:rPr>
          <w:spacing w:val="-17"/>
          <w:sz w:val="20"/>
        </w:rPr>
        <w:t xml:space="preserve"> </w:t>
      </w:r>
      <w:r>
        <w:rPr>
          <w:sz w:val="20"/>
        </w:rPr>
        <w:t>development.</w:t>
      </w:r>
    </w:p>
    <w:p w14:paraId="2D101488" w14:textId="77777777" w:rsidR="00904E8B" w:rsidRDefault="00904E8B">
      <w:pPr>
        <w:pStyle w:val="BodyText"/>
        <w:spacing w:before="8"/>
        <w:ind w:left="0"/>
        <w:rPr>
          <w:sz w:val="25"/>
        </w:rPr>
      </w:pPr>
    </w:p>
    <w:p w14:paraId="5CF069E4" w14:textId="77777777" w:rsidR="00904E8B" w:rsidRDefault="00AA21EE">
      <w:pPr>
        <w:pStyle w:val="Heading1"/>
        <w:jc w:val="both"/>
      </w:pPr>
      <w:bookmarkStart w:id="3" w:name="Can_a_parent_withdraw_their_child_(ren)_"/>
      <w:bookmarkEnd w:id="3"/>
      <w:r>
        <w:t xml:space="preserve">Can a parent withdraw their child (ren) from </w:t>
      </w:r>
      <w:proofErr w:type="gramStart"/>
      <w:r>
        <w:t>particular parts</w:t>
      </w:r>
      <w:proofErr w:type="gramEnd"/>
      <w:r>
        <w:t xml:space="preserve"> of RE rather than from the subject as a whole?</w:t>
      </w:r>
    </w:p>
    <w:p w14:paraId="0E1B2A6B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9"/>
        </w:tabs>
        <w:ind w:hanging="364"/>
        <w:jc w:val="both"/>
        <w:rPr>
          <w:rFonts w:ascii="Symbol" w:hAnsi="Symbol"/>
          <w:sz w:val="20"/>
        </w:rPr>
      </w:pPr>
      <w:r>
        <w:rPr>
          <w:sz w:val="20"/>
        </w:rPr>
        <w:t>Yes. However, the headteacher should explain that the aspect is importa</w:t>
      </w:r>
      <w:r>
        <w:rPr>
          <w:sz w:val="20"/>
        </w:rPr>
        <w:t>nt within the RE</w:t>
      </w:r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>:</w:t>
      </w:r>
    </w:p>
    <w:p w14:paraId="43371580" w14:textId="77777777" w:rsidR="00904E8B" w:rsidRDefault="00AA21EE">
      <w:pPr>
        <w:pStyle w:val="ListParagraph"/>
        <w:numPr>
          <w:ilvl w:val="1"/>
          <w:numId w:val="1"/>
        </w:numPr>
        <w:tabs>
          <w:tab w:val="left" w:pos="1280"/>
        </w:tabs>
        <w:spacing w:line="276" w:lineRule="auto"/>
        <w:ind w:right="404"/>
        <w:jc w:val="both"/>
        <w:rPr>
          <w:sz w:val="20"/>
        </w:rPr>
      </w:pPr>
      <w:r>
        <w:rPr>
          <w:sz w:val="20"/>
        </w:rPr>
        <w:t xml:space="preserve">Visit to a place of worship: it should be made clear that the purpose is to find out about why, </w:t>
      </w:r>
      <w:proofErr w:type="gramStart"/>
      <w:r>
        <w:rPr>
          <w:sz w:val="20"/>
        </w:rPr>
        <w:t>where</w:t>
      </w:r>
      <w:proofErr w:type="gramEnd"/>
      <w:r>
        <w:rPr>
          <w:sz w:val="20"/>
        </w:rPr>
        <w:t xml:space="preserve"> and how worship takes place and is not to participate in worship. The school might consider whether the parent could be invite</w:t>
      </w:r>
      <w:r>
        <w:rPr>
          <w:sz w:val="20"/>
        </w:rPr>
        <w:t>d to accompany the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group;</w:t>
      </w:r>
      <w:proofErr w:type="gramEnd"/>
    </w:p>
    <w:p w14:paraId="3340A60B" w14:textId="77777777" w:rsidR="00904E8B" w:rsidRDefault="00AA21EE">
      <w:pPr>
        <w:pStyle w:val="ListParagraph"/>
        <w:numPr>
          <w:ilvl w:val="1"/>
          <w:numId w:val="1"/>
        </w:numPr>
        <w:tabs>
          <w:tab w:val="left" w:pos="1280"/>
        </w:tabs>
        <w:spacing w:line="276" w:lineRule="auto"/>
        <w:ind w:right="401"/>
        <w:jc w:val="both"/>
        <w:rPr>
          <w:sz w:val="20"/>
        </w:rPr>
      </w:pPr>
      <w:r>
        <w:rPr>
          <w:sz w:val="20"/>
        </w:rPr>
        <w:t>A faith visitor to school: parents, pupils and visitor should be clear that the purpose is to educate and learn about the experience of a person of faith, not for the visitor to attempt to</w:t>
      </w:r>
      <w:r>
        <w:rPr>
          <w:spacing w:val="-13"/>
          <w:sz w:val="20"/>
        </w:rPr>
        <w:t xml:space="preserve"> </w:t>
      </w:r>
      <w:proofErr w:type="spellStart"/>
      <w:proofErr w:type="gramStart"/>
      <w:r>
        <w:rPr>
          <w:sz w:val="20"/>
        </w:rPr>
        <w:t>proselytise</w:t>
      </w:r>
      <w:proofErr w:type="spellEnd"/>
      <w:r>
        <w:rPr>
          <w:sz w:val="20"/>
        </w:rPr>
        <w:t>;</w:t>
      </w:r>
      <w:proofErr w:type="gramEnd"/>
    </w:p>
    <w:p w14:paraId="522EC5F8" w14:textId="77777777" w:rsidR="00904E8B" w:rsidRDefault="00AA21EE">
      <w:pPr>
        <w:pStyle w:val="ListParagraph"/>
        <w:numPr>
          <w:ilvl w:val="1"/>
          <w:numId w:val="1"/>
        </w:numPr>
        <w:tabs>
          <w:tab w:val="left" w:pos="1280"/>
        </w:tabs>
        <w:spacing w:line="276" w:lineRule="auto"/>
        <w:ind w:right="402"/>
        <w:jc w:val="both"/>
        <w:rPr>
          <w:sz w:val="20"/>
        </w:rPr>
      </w:pPr>
      <w:r>
        <w:rPr>
          <w:sz w:val="20"/>
        </w:rPr>
        <w:t xml:space="preserve">A particular religion: this </w:t>
      </w:r>
      <w:proofErr w:type="gramStart"/>
      <w:r>
        <w:rPr>
          <w:sz w:val="20"/>
        </w:rPr>
        <w:t>has to</w:t>
      </w:r>
      <w:proofErr w:type="gramEnd"/>
      <w:r>
        <w:rPr>
          <w:sz w:val="20"/>
        </w:rPr>
        <w:t xml:space="preserve"> be challenged as it is disrespectful of a whole group of people and a disservice to the child’s education. Headteachers should draw the parent’s attention to the relevant school policy/policies supported by Lancashire Authority’s policy on dealing w</w:t>
      </w:r>
      <w:r>
        <w:rPr>
          <w:sz w:val="20"/>
        </w:rPr>
        <w:t>ith racism / racist incidents / Islamophobia / Antisemitism and the requirements of the Agreed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Syllabus;</w:t>
      </w:r>
      <w:proofErr w:type="gramEnd"/>
    </w:p>
    <w:p w14:paraId="676D89FE" w14:textId="77777777" w:rsidR="00904E8B" w:rsidRDefault="00AA21EE">
      <w:pPr>
        <w:pStyle w:val="ListParagraph"/>
        <w:numPr>
          <w:ilvl w:val="1"/>
          <w:numId w:val="1"/>
        </w:numPr>
        <w:tabs>
          <w:tab w:val="left" w:pos="1280"/>
        </w:tabs>
        <w:spacing w:before="36" w:line="273" w:lineRule="auto"/>
        <w:ind w:right="406"/>
        <w:jc w:val="both"/>
        <w:rPr>
          <w:sz w:val="20"/>
        </w:rPr>
      </w:pPr>
      <w:r>
        <w:rPr>
          <w:sz w:val="20"/>
        </w:rPr>
        <w:t>Schools must respect the requirements of some faith groups on such matters as the prohibition on pictorial depictions of God or not participating in Ch</w:t>
      </w:r>
      <w:r>
        <w:rPr>
          <w:sz w:val="20"/>
        </w:rPr>
        <w:t>ristmas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activities.</w:t>
      </w:r>
    </w:p>
    <w:p w14:paraId="7053B960" w14:textId="77777777" w:rsidR="00904E8B" w:rsidRDefault="00904E8B">
      <w:pPr>
        <w:pStyle w:val="BodyText"/>
        <w:spacing w:before="10"/>
        <w:ind w:left="0"/>
        <w:rPr>
          <w:sz w:val="22"/>
        </w:rPr>
      </w:pPr>
    </w:p>
    <w:p w14:paraId="56FB8B7D" w14:textId="77777777" w:rsidR="00904E8B" w:rsidRDefault="00AA21EE">
      <w:pPr>
        <w:pStyle w:val="Heading1"/>
      </w:pPr>
      <w:bookmarkStart w:id="4" w:name="Can_children_be_withdrawn_from_other_sub"/>
      <w:bookmarkEnd w:id="4"/>
      <w:r>
        <w:t xml:space="preserve">Can children be withdrawn from other subjects when there is an element of religion in the </w:t>
      </w:r>
      <w:proofErr w:type="spellStart"/>
      <w:r>
        <w:t>programme</w:t>
      </w:r>
      <w:proofErr w:type="spellEnd"/>
      <w:r>
        <w:t>?</w:t>
      </w:r>
    </w:p>
    <w:p w14:paraId="0B231EBE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38" w:line="266" w:lineRule="auto"/>
        <w:ind w:right="392"/>
        <w:rPr>
          <w:rFonts w:ascii="Symbol" w:hAnsi="Symbol"/>
          <w:sz w:val="20"/>
        </w:rPr>
      </w:pPr>
      <w:proofErr w:type="gramStart"/>
      <w:r>
        <w:rPr>
          <w:sz w:val="20"/>
        </w:rPr>
        <w:t>Generally</w:t>
      </w:r>
      <w:proofErr w:type="gramEnd"/>
      <w:r>
        <w:rPr>
          <w:sz w:val="20"/>
        </w:rPr>
        <w:t xml:space="preserve"> not – for example, when studying the Catholic and Anglican churches in the Tudor period or a religion- inspired piece of music or art when the learning objectives relate to those</w:t>
      </w:r>
      <w:r>
        <w:rPr>
          <w:spacing w:val="-15"/>
          <w:sz w:val="20"/>
        </w:rPr>
        <w:t xml:space="preserve"> </w:t>
      </w:r>
      <w:r>
        <w:rPr>
          <w:sz w:val="20"/>
        </w:rPr>
        <w:t>subjects;</w:t>
      </w:r>
    </w:p>
    <w:p w14:paraId="5D5F1AD1" w14:textId="77777777" w:rsidR="00904E8B" w:rsidRDefault="00AA21EE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5" w:line="264" w:lineRule="auto"/>
        <w:ind w:right="354"/>
        <w:rPr>
          <w:rFonts w:ascii="Symbol" w:hAnsi="Symbol"/>
          <w:sz w:val="20"/>
        </w:rPr>
      </w:pPr>
      <w:r>
        <w:rPr>
          <w:sz w:val="20"/>
        </w:rPr>
        <w:t>However, if religious education is taught as part of an i</w:t>
      </w:r>
      <w:r>
        <w:rPr>
          <w:sz w:val="20"/>
        </w:rPr>
        <w:t xml:space="preserve">ntegrated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 xml:space="preserve"> the parental right must be respected when the learning objectives are those of religious</w:t>
      </w:r>
      <w:r>
        <w:rPr>
          <w:spacing w:val="-3"/>
          <w:sz w:val="20"/>
        </w:rPr>
        <w:t xml:space="preserve"> </w:t>
      </w:r>
      <w:r>
        <w:rPr>
          <w:sz w:val="20"/>
        </w:rPr>
        <w:t>education.</w:t>
      </w:r>
    </w:p>
    <w:p w14:paraId="24949BD2" w14:textId="77777777" w:rsidR="00904E8B" w:rsidRDefault="00904E8B">
      <w:pPr>
        <w:pStyle w:val="BodyText"/>
        <w:spacing w:before="4"/>
        <w:ind w:left="0"/>
        <w:rPr>
          <w:sz w:val="24"/>
        </w:rPr>
      </w:pPr>
    </w:p>
    <w:p w14:paraId="742A7D3C" w14:textId="020561A0" w:rsidR="00904E8B" w:rsidRDefault="00AA21EE">
      <w:pPr>
        <w:pStyle w:val="BodyText"/>
        <w:spacing w:before="0" w:line="276" w:lineRule="auto"/>
        <w:ind w:left="118" w:right="1639" w:hanging="1"/>
      </w:pPr>
      <w:r>
        <w:t xml:space="preserve">For further advice and case studies please refer to the NATRE guidance uploaded to the SACRE website on </w:t>
      </w:r>
      <w:hyperlink r:id="rId6" w:history="1">
        <w:r w:rsidR="00D4390D">
          <w:rPr>
            <w:rStyle w:val="Hyperlink"/>
          </w:rPr>
          <w:t>Right of Withdrawal - Lancashire Professional Development Service</w:t>
        </w:r>
      </w:hyperlink>
    </w:p>
    <w:sectPr w:rsidR="00904E8B">
      <w:type w:val="continuous"/>
      <w:pgSz w:w="11920" w:h="16850"/>
      <w:pgMar w:top="2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4186"/>
    <w:multiLevelType w:val="hybridMultilevel"/>
    <w:tmpl w:val="FE243C76"/>
    <w:lvl w:ilvl="0" w:tplc="ED0433F8">
      <w:numFmt w:val="bullet"/>
      <w:lvlText w:val=""/>
      <w:lvlJc w:val="left"/>
      <w:pPr>
        <w:ind w:left="838" w:hanging="360"/>
      </w:pPr>
      <w:rPr>
        <w:rFonts w:hint="default"/>
        <w:w w:val="97"/>
        <w:lang w:val="en-US" w:eastAsia="en-US" w:bidi="en-US"/>
      </w:rPr>
    </w:lvl>
    <w:lvl w:ilvl="1" w:tplc="1A50E2EC">
      <w:numFmt w:val="bullet"/>
      <w:lvlText w:val=""/>
      <w:lvlJc w:val="left"/>
      <w:pPr>
        <w:ind w:left="1280" w:hanging="425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en-US"/>
      </w:rPr>
    </w:lvl>
    <w:lvl w:ilvl="2" w:tplc="23AE543A">
      <w:numFmt w:val="bullet"/>
      <w:lvlText w:val="•"/>
      <w:lvlJc w:val="left"/>
      <w:pPr>
        <w:ind w:left="2399" w:hanging="425"/>
      </w:pPr>
      <w:rPr>
        <w:rFonts w:hint="default"/>
        <w:lang w:val="en-US" w:eastAsia="en-US" w:bidi="en-US"/>
      </w:rPr>
    </w:lvl>
    <w:lvl w:ilvl="3" w:tplc="BCA49186">
      <w:numFmt w:val="bullet"/>
      <w:lvlText w:val="•"/>
      <w:lvlJc w:val="left"/>
      <w:pPr>
        <w:ind w:left="3518" w:hanging="425"/>
      </w:pPr>
      <w:rPr>
        <w:rFonts w:hint="default"/>
        <w:lang w:val="en-US" w:eastAsia="en-US" w:bidi="en-US"/>
      </w:rPr>
    </w:lvl>
    <w:lvl w:ilvl="4" w:tplc="6C988698">
      <w:numFmt w:val="bullet"/>
      <w:lvlText w:val="•"/>
      <w:lvlJc w:val="left"/>
      <w:pPr>
        <w:ind w:left="4637" w:hanging="425"/>
      </w:pPr>
      <w:rPr>
        <w:rFonts w:hint="default"/>
        <w:lang w:val="en-US" w:eastAsia="en-US" w:bidi="en-US"/>
      </w:rPr>
    </w:lvl>
    <w:lvl w:ilvl="5" w:tplc="F1B42C7C">
      <w:numFmt w:val="bullet"/>
      <w:lvlText w:val="•"/>
      <w:lvlJc w:val="left"/>
      <w:pPr>
        <w:ind w:left="5756" w:hanging="425"/>
      </w:pPr>
      <w:rPr>
        <w:rFonts w:hint="default"/>
        <w:lang w:val="en-US" w:eastAsia="en-US" w:bidi="en-US"/>
      </w:rPr>
    </w:lvl>
    <w:lvl w:ilvl="6" w:tplc="EBB659A0">
      <w:numFmt w:val="bullet"/>
      <w:lvlText w:val="•"/>
      <w:lvlJc w:val="left"/>
      <w:pPr>
        <w:ind w:left="6875" w:hanging="425"/>
      </w:pPr>
      <w:rPr>
        <w:rFonts w:hint="default"/>
        <w:lang w:val="en-US" w:eastAsia="en-US" w:bidi="en-US"/>
      </w:rPr>
    </w:lvl>
    <w:lvl w:ilvl="7" w:tplc="B41C1F16">
      <w:numFmt w:val="bullet"/>
      <w:lvlText w:val="•"/>
      <w:lvlJc w:val="left"/>
      <w:pPr>
        <w:ind w:left="7994" w:hanging="425"/>
      </w:pPr>
      <w:rPr>
        <w:rFonts w:hint="default"/>
        <w:lang w:val="en-US" w:eastAsia="en-US" w:bidi="en-US"/>
      </w:rPr>
    </w:lvl>
    <w:lvl w:ilvl="8" w:tplc="15CCAC1A">
      <w:numFmt w:val="bullet"/>
      <w:lvlText w:val="•"/>
      <w:lvlJc w:val="left"/>
      <w:pPr>
        <w:ind w:left="9113" w:hanging="425"/>
      </w:pPr>
      <w:rPr>
        <w:rFonts w:hint="default"/>
        <w:lang w:val="en-US" w:eastAsia="en-US" w:bidi="en-US"/>
      </w:rPr>
    </w:lvl>
  </w:abstractNum>
  <w:num w:numId="1" w16cid:durableId="102590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E8B"/>
    <w:rsid w:val="00904E8B"/>
    <w:rsid w:val="00AA21EE"/>
    <w:rsid w:val="00D4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91C7"/>
  <w15:docId w15:val="{B8E7D8A3-C5DD-4A40-948F-C355E86C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83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5"/>
      <w:ind w:left="838" w:hanging="4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43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ncashire.gov.uk/lpds/teaching-and-learning/primary/foundation-subjects/religious-education/right-of-withdrawa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686</Words>
  <Characters>3916</Characters>
  <Application>Microsoft Office Word</Application>
  <DocSecurity>0</DocSecurity>
  <Lines>32</Lines>
  <Paragraphs>9</Paragraphs>
  <ScaleCrop>false</ScaleCrop>
  <Company>Lancashire County Council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LLHF</dc:creator>
  <cp:lastModifiedBy>Hardman, Carol (CYP)</cp:lastModifiedBy>
  <cp:revision>3</cp:revision>
  <dcterms:created xsi:type="dcterms:W3CDTF">2023-12-19T10:34:00Z</dcterms:created>
  <dcterms:modified xsi:type="dcterms:W3CDTF">2023-12-19T10:39:00Z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2023-12-19T00:00:00Z</vt:filetime>
  </property>
</Properties>
</file>