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5D0F" w14:textId="5395AB06" w:rsidR="00FE7418" w:rsidRDefault="003F613F">
      <w:r>
        <w:rPr>
          <w:noProof/>
          <w:lang w:eastAsia="en-GB"/>
        </w:rPr>
        <mc:AlternateContent>
          <mc:Choice Requires="wps">
            <w:drawing>
              <wp:anchor distT="0" distB="0" distL="114300" distR="114300" simplePos="0" relativeHeight="251659264" behindDoc="0" locked="0" layoutInCell="1" allowOverlap="1" wp14:anchorId="2FCEEA1C" wp14:editId="3DF14E18">
                <wp:simplePos x="0" y="0"/>
                <wp:positionH relativeFrom="column">
                  <wp:posOffset>-123825</wp:posOffset>
                </wp:positionH>
                <wp:positionV relativeFrom="paragraph">
                  <wp:posOffset>-704850</wp:posOffset>
                </wp:positionV>
                <wp:extent cx="1962150" cy="6572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62150" cy="657225"/>
                        </a:xfrm>
                        <a:prstGeom prst="rect">
                          <a:avLst/>
                        </a:prstGeom>
                        <a:solidFill>
                          <a:schemeClr val="lt1"/>
                        </a:solidFill>
                        <a:ln w="6350">
                          <a:noFill/>
                        </a:ln>
                      </wps:spPr>
                      <wps:txbx>
                        <w:txbxContent>
                          <w:p w14:paraId="140FE765" w14:textId="671F3B26" w:rsidR="003F613F" w:rsidRDefault="003F613F" w:rsidP="003F613F">
                            <w:pPr>
                              <w:jc w:val="center"/>
                            </w:pPr>
                            <w:r w:rsidRPr="003F613F">
                              <w:rPr>
                                <w:noProof/>
                                <w:lang w:eastAsia="en-GB"/>
                              </w:rPr>
                              <w:drawing>
                                <wp:inline distT="0" distB="0" distL="0" distR="0" wp14:anchorId="7492A624" wp14:editId="7D37F782">
                                  <wp:extent cx="1066800" cy="533400"/>
                                  <wp:effectExtent l="0" t="0" r="0" b="0"/>
                                  <wp:docPr id="3" name="Picture 3" descr="N:\A Final Logo\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Final Logo\Laceb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CEEA1C" id="_x0000_t202" coordsize="21600,21600" o:spt="202" path="m,l,21600r21600,l21600,xe">
                <v:stroke joinstyle="miter"/>
                <v:path gradientshapeok="t" o:connecttype="rect"/>
              </v:shapetype>
              <v:shape id="Text Box 2" o:spid="_x0000_s1026" type="#_x0000_t202" style="position:absolute;margin-left:-9.75pt;margin-top:-55.5pt;width:154.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" fillcolor="white [3201]" stroked="f" strokeweight=".5pt">
                <v:textbox>
                  <w:txbxContent>
                    <w:p w14:paraId="140FE765" w14:textId="671F3B26" w:rsidR="003F613F" w:rsidRDefault="003F613F" w:rsidP="003F613F">
                      <w:pPr>
                        <w:jc w:val="center"/>
                      </w:pPr>
                      <w:r w:rsidRPr="003F613F">
                        <w:rPr>
                          <w:noProof/>
                          <w:lang w:eastAsia="en-GB"/>
                        </w:rPr>
                        <w:drawing>
                          <wp:inline distT="0" distB="0" distL="0" distR="0" wp14:anchorId="7492A624" wp14:editId="7D37F782">
                            <wp:extent cx="1066800" cy="533400"/>
                            <wp:effectExtent l="0" t="0" r="0" b="0"/>
                            <wp:docPr id="3" name="Picture 3" descr="N:\A Final Logo\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Final Logo\Laceby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inline>
                        </w:drawing>
                      </w:r>
                    </w:p>
                  </w:txbxContent>
                </v:textbox>
              </v:shape>
            </w:pict>
          </mc:Fallback>
        </mc:AlternateContent>
      </w:r>
    </w:p>
    <w:p w14:paraId="27E2A0B2" w14:textId="72DA882E" w:rsidR="00036000" w:rsidRPr="00036000" w:rsidRDefault="00036000">
      <w:pPr>
        <w:rPr>
          <w:b/>
        </w:rPr>
      </w:pPr>
      <w:r w:rsidRPr="00036000">
        <w:rPr>
          <w:b/>
        </w:rPr>
        <w:t xml:space="preserve">Narrowing the Gap- Including allocation of </w:t>
      </w:r>
      <w:proofErr w:type="spellStart"/>
      <w:r w:rsidRPr="00036000">
        <w:rPr>
          <w:b/>
        </w:rPr>
        <w:t>DfE</w:t>
      </w:r>
      <w:proofErr w:type="spellEnd"/>
      <w:r w:rsidRPr="00036000">
        <w:rPr>
          <w:b/>
        </w:rPr>
        <w:t xml:space="preserve"> catch-up funding</w:t>
      </w:r>
    </w:p>
    <w:p w14:paraId="3D989113" w14:textId="7737DBC0" w:rsidR="00036000" w:rsidRDefault="00036000"/>
    <w:p w14:paraId="36B78287" w14:textId="122E15BF" w:rsidR="00036000" w:rsidRDefault="00036000" w:rsidP="00036000">
      <w:pPr>
        <w:rPr>
          <w:rFonts w:eastAsia="Times New Roman" w:cstheme="minorHAnsi"/>
          <w:color w:val="0B0C0C"/>
          <w:shd w:val="clear" w:color="auto" w:fill="FFFFFF"/>
        </w:rPr>
      </w:pPr>
      <w:r w:rsidRPr="00036000">
        <w:rPr>
          <w:rFonts w:eastAsia="Times New Roman" w:cstheme="minorHAnsi"/>
          <w:color w:val="0B0C0C"/>
          <w:shd w:val="clear" w:color="auto" w:fill="FFFFFF"/>
        </w:rPr>
        <w:t>The government has announced £1 billion of funding to support children and young people to catch up.</w:t>
      </w:r>
    </w:p>
    <w:p w14:paraId="0D0505D9" w14:textId="77777777" w:rsidR="00036000" w:rsidRPr="00036000" w:rsidRDefault="00036000" w:rsidP="00036000">
      <w:pPr>
        <w:rPr>
          <w:rFonts w:eastAsia="Times New Roman" w:cstheme="minorHAnsi"/>
        </w:rPr>
      </w:pPr>
    </w:p>
    <w:p w14:paraId="030D44DD" w14:textId="5543C302" w:rsidR="00036000" w:rsidRPr="00036000" w:rsidRDefault="00036000" w:rsidP="00036000">
      <w:pPr>
        <w:rPr>
          <w:rFonts w:eastAsia="Times New Roman" w:cstheme="minorHAnsi"/>
        </w:rPr>
      </w:pPr>
      <w:r w:rsidRPr="00036000">
        <w:rPr>
          <w:rFonts w:eastAsia="Times New Roman" w:cstheme="minorHAnsi"/>
          <w:color w:val="0B0C0C"/>
          <w:shd w:val="clear" w:color="auto" w:fill="FFFFFF"/>
        </w:rPr>
        <w:t xml:space="preserve">Schools’ allocations </w:t>
      </w:r>
      <w:r w:rsidR="002706C6">
        <w:rPr>
          <w:rFonts w:eastAsia="Times New Roman" w:cstheme="minorHAnsi"/>
          <w:color w:val="0B0C0C"/>
          <w:shd w:val="clear" w:color="auto" w:fill="FFFFFF"/>
        </w:rPr>
        <w:t>are</w:t>
      </w:r>
      <w:r w:rsidRPr="00036000">
        <w:rPr>
          <w:rFonts w:eastAsia="Times New Roman" w:cstheme="minorHAnsi"/>
          <w:color w:val="0B0C0C"/>
          <w:shd w:val="clear" w:color="auto" w:fill="FFFFFF"/>
        </w:rPr>
        <w:t xml:space="preserve"> calculated on a per pupil basis, providing each mainstream school with a total of £80 for each pupil in years reception through to 6. </w:t>
      </w:r>
      <w:r w:rsidR="00821127">
        <w:rPr>
          <w:rFonts w:eastAsia="Times New Roman" w:cstheme="minorHAnsi"/>
          <w:color w:val="0B0C0C"/>
          <w:shd w:val="clear" w:color="auto" w:fill="FFFFFF"/>
        </w:rPr>
        <w:t>Th</w:t>
      </w:r>
      <w:r w:rsidR="00F206CC">
        <w:rPr>
          <w:rFonts w:eastAsia="Times New Roman" w:cstheme="minorHAnsi"/>
          <w:color w:val="0B0C0C"/>
          <w:shd w:val="clear" w:color="auto" w:fill="FFFFFF"/>
        </w:rPr>
        <w:t>is means we will receive £13,056</w:t>
      </w:r>
      <w:r w:rsidR="002706C6">
        <w:rPr>
          <w:rFonts w:eastAsia="Times New Roman" w:cstheme="minorHAnsi"/>
          <w:color w:val="0B0C0C"/>
          <w:shd w:val="clear" w:color="auto" w:fill="FFFFFF"/>
        </w:rPr>
        <w:t xml:space="preserve"> this year to help us support our pupils. </w:t>
      </w:r>
      <w:r w:rsidRPr="00036000">
        <w:rPr>
          <w:rFonts w:eastAsia="Times New Roman" w:cstheme="minorHAnsi"/>
          <w:color w:val="0B0C0C"/>
          <w:shd w:val="clear" w:color="auto" w:fill="FFFFFF"/>
        </w:rPr>
        <w:t xml:space="preserve">Schools </w:t>
      </w:r>
      <w:r w:rsidR="002706C6">
        <w:rPr>
          <w:rFonts w:eastAsia="Times New Roman" w:cstheme="minorHAnsi"/>
          <w:color w:val="0B0C0C"/>
          <w:shd w:val="clear" w:color="auto" w:fill="FFFFFF"/>
        </w:rPr>
        <w:t>have to</w:t>
      </w:r>
      <w:r w:rsidRPr="00036000">
        <w:rPr>
          <w:rFonts w:eastAsia="Times New Roman" w:cstheme="minorHAnsi"/>
          <w:color w:val="0B0C0C"/>
          <w:shd w:val="clear" w:color="auto" w:fill="FFFFFF"/>
        </w:rPr>
        <w:t xml:space="preserve"> use this funding for specific activities to support their pupils to catch up for lost teaching over the previous months. Schools have the flexibility to spend their funding in the best way for their cohort and circumstances. To support </w:t>
      </w:r>
      <w:r>
        <w:rPr>
          <w:rFonts w:eastAsia="Times New Roman" w:cstheme="minorHAnsi"/>
          <w:color w:val="0B0C0C"/>
          <w:shd w:val="clear" w:color="auto" w:fill="FFFFFF"/>
        </w:rPr>
        <w:t>us</w:t>
      </w:r>
      <w:r w:rsidRPr="00036000">
        <w:rPr>
          <w:rFonts w:eastAsia="Times New Roman" w:cstheme="minorHAnsi"/>
          <w:color w:val="0B0C0C"/>
          <w:shd w:val="clear" w:color="auto" w:fill="FFFFFF"/>
        </w:rPr>
        <w:t xml:space="preserve"> to make the best use of this funding, the Education Endowment Foundation has published </w:t>
      </w:r>
      <w:r w:rsidR="007C7FDE">
        <w:rPr>
          <w:rFonts w:eastAsia="Times New Roman" w:cstheme="minorHAnsi"/>
          <w:color w:val="0B0C0C"/>
          <w:shd w:val="clear" w:color="auto" w:fill="FFFFFF"/>
        </w:rPr>
        <w:t xml:space="preserve"> a support guide for schools </w:t>
      </w:r>
      <w:r w:rsidRPr="00036000">
        <w:rPr>
          <w:rFonts w:eastAsia="Times New Roman" w:cstheme="minorHAnsi"/>
          <w:color w:val="0B0C0C"/>
          <w:shd w:val="clear" w:color="auto" w:fill="FFFFFF"/>
        </w:rPr>
        <w:t xml:space="preserve">with evidence-based approaches to catch up for all </w:t>
      </w:r>
      <w:r>
        <w:rPr>
          <w:rFonts w:eastAsia="Times New Roman" w:cstheme="minorHAnsi"/>
          <w:color w:val="0B0C0C"/>
          <w:shd w:val="clear" w:color="auto" w:fill="FFFFFF"/>
        </w:rPr>
        <w:t>pupils</w:t>
      </w:r>
      <w:r w:rsidRPr="00036000">
        <w:rPr>
          <w:rFonts w:eastAsia="Times New Roman" w:cstheme="minorHAnsi"/>
          <w:color w:val="0B0C0C"/>
          <w:shd w:val="clear" w:color="auto" w:fill="FFFFFF"/>
        </w:rPr>
        <w:t xml:space="preserve">. We have considered this when planning our approach for the use of this funding. </w:t>
      </w:r>
    </w:p>
    <w:p w14:paraId="6DBA81F3" w14:textId="77777777" w:rsidR="00036000" w:rsidRDefault="00036000"/>
    <w:p w14:paraId="7059CDA3" w14:textId="4615958A" w:rsidR="00036000" w:rsidRDefault="00036000"/>
    <w:p w14:paraId="4516A7C6" w14:textId="60D0CB04" w:rsidR="002706C6" w:rsidRPr="002706C6" w:rsidRDefault="002706C6">
      <w:pPr>
        <w:rPr>
          <w:b/>
        </w:rPr>
      </w:pPr>
      <w:r w:rsidRPr="002706C6">
        <w:rPr>
          <w:b/>
        </w:rPr>
        <w:t>The barriers we need to address to help pupils catch up</w:t>
      </w:r>
    </w:p>
    <w:p w14:paraId="45093FDB" w14:textId="71DEF253" w:rsidR="002706C6" w:rsidRPr="00F206CC" w:rsidRDefault="00821127" w:rsidP="00F206CC">
      <w:pPr>
        <w:pStyle w:val="ListParagraph"/>
        <w:numPr>
          <w:ilvl w:val="0"/>
          <w:numId w:val="2"/>
        </w:numPr>
        <w:rPr>
          <w:i/>
        </w:rPr>
      </w:pPr>
      <w:r w:rsidRPr="00F206CC">
        <w:rPr>
          <w:i/>
        </w:rPr>
        <w:t>Gaps in the children’</w:t>
      </w:r>
      <w:r w:rsidR="00857F0B" w:rsidRPr="00F206CC">
        <w:rPr>
          <w:i/>
        </w:rPr>
        <w:t>s phonics knowledge, particularly for those children currently in Year One and Year Two due to the teaching time lost in the Summer Term 2020</w:t>
      </w:r>
    </w:p>
    <w:p w14:paraId="110346A7" w14:textId="21FAC7FE" w:rsidR="00857F0B" w:rsidRPr="00F206CC" w:rsidRDefault="00857F0B" w:rsidP="00F206CC">
      <w:pPr>
        <w:pStyle w:val="ListParagraph"/>
        <w:numPr>
          <w:ilvl w:val="0"/>
          <w:numId w:val="2"/>
        </w:numPr>
        <w:rPr>
          <w:i/>
        </w:rPr>
      </w:pPr>
      <w:r w:rsidRPr="00F206CC">
        <w:rPr>
          <w:i/>
        </w:rPr>
        <w:t>Coverage of the curriculum content</w:t>
      </w:r>
      <w:r w:rsidR="00CB317D" w:rsidRPr="00F206CC">
        <w:rPr>
          <w:i/>
        </w:rPr>
        <w:t xml:space="preserve"> </w:t>
      </w:r>
      <w:r w:rsidRPr="00F206CC">
        <w:rPr>
          <w:i/>
        </w:rPr>
        <w:t>which should have been taught during the Summer Term 2020</w:t>
      </w:r>
    </w:p>
    <w:p w14:paraId="358C0F27" w14:textId="623777EA" w:rsidR="00857F0B" w:rsidRPr="00F206CC" w:rsidRDefault="00857F0B" w:rsidP="00F206CC">
      <w:pPr>
        <w:pStyle w:val="ListParagraph"/>
        <w:numPr>
          <w:ilvl w:val="0"/>
          <w:numId w:val="2"/>
        </w:numPr>
        <w:rPr>
          <w:i/>
        </w:rPr>
      </w:pPr>
      <w:r w:rsidRPr="00F206CC">
        <w:rPr>
          <w:i/>
        </w:rPr>
        <w:t xml:space="preserve">Supporting the well-being of children who were not able to attend school due to the partial closure </w:t>
      </w:r>
    </w:p>
    <w:p w14:paraId="05004240" w14:textId="21B0221A" w:rsidR="00F005E5" w:rsidRPr="00F206CC" w:rsidRDefault="00F005E5" w:rsidP="00F206CC">
      <w:pPr>
        <w:pStyle w:val="ListParagraph"/>
        <w:numPr>
          <w:ilvl w:val="0"/>
          <w:numId w:val="2"/>
        </w:numPr>
        <w:rPr>
          <w:i/>
        </w:rPr>
      </w:pPr>
      <w:r w:rsidRPr="00F206CC">
        <w:rPr>
          <w:i/>
        </w:rPr>
        <w:t>Maintaining high levels of attendance across all year groups</w:t>
      </w:r>
    </w:p>
    <w:p w14:paraId="22926439" w14:textId="24873DBE" w:rsidR="00857F0B" w:rsidRPr="00F206CC" w:rsidRDefault="00857F0B" w:rsidP="00F206CC">
      <w:pPr>
        <w:pStyle w:val="ListParagraph"/>
        <w:numPr>
          <w:ilvl w:val="0"/>
          <w:numId w:val="2"/>
        </w:numPr>
        <w:rPr>
          <w:i/>
        </w:rPr>
      </w:pPr>
      <w:r w:rsidRPr="00F206CC">
        <w:rPr>
          <w:i/>
        </w:rPr>
        <w:t>Reinforcing our learning behaviours to ensure that the children are able to sustain focus and concentration for longer periods of time and developing the children’s resilience to keep going when they become ‘stuck’</w:t>
      </w:r>
    </w:p>
    <w:p w14:paraId="73587292" w14:textId="2D9D7F5D" w:rsidR="00857F0B" w:rsidRPr="00F206CC" w:rsidRDefault="00857F0B" w:rsidP="00F206CC">
      <w:pPr>
        <w:pStyle w:val="ListParagraph"/>
        <w:numPr>
          <w:ilvl w:val="0"/>
          <w:numId w:val="2"/>
        </w:numPr>
        <w:rPr>
          <w:i/>
        </w:rPr>
      </w:pPr>
      <w:r w:rsidRPr="00F206CC">
        <w:rPr>
          <w:i/>
        </w:rPr>
        <w:t>Reinforcing our high expectations with regards to behaviour</w:t>
      </w:r>
    </w:p>
    <w:p w14:paraId="48EC46F8" w14:textId="2B6B83C4" w:rsidR="002706C6" w:rsidRDefault="002706C6"/>
    <w:p w14:paraId="56AAD0B7" w14:textId="099A2A55" w:rsidR="002706C6" w:rsidRDefault="002706C6">
      <w:pPr>
        <w:rPr>
          <w:b/>
        </w:rPr>
      </w:pPr>
      <w:r w:rsidRPr="002706C6">
        <w:rPr>
          <w:b/>
        </w:rPr>
        <w:t>What we plan to do</w:t>
      </w:r>
    </w:p>
    <w:p w14:paraId="7A56C6CF" w14:textId="190BEDFA" w:rsidR="00185893" w:rsidRPr="002706C6" w:rsidRDefault="00185893">
      <w:pPr>
        <w:rPr>
          <w:b/>
        </w:rPr>
      </w:pPr>
    </w:p>
    <w:p w14:paraId="672976CA" w14:textId="27290FAA" w:rsidR="002706C6" w:rsidRPr="00F206CC" w:rsidRDefault="00185893" w:rsidP="00F206CC">
      <w:pPr>
        <w:pStyle w:val="ListParagraph"/>
        <w:numPr>
          <w:ilvl w:val="0"/>
          <w:numId w:val="3"/>
        </w:numPr>
        <w:rPr>
          <w:i/>
        </w:rPr>
      </w:pPr>
      <w:r w:rsidRPr="00F206CC">
        <w:rPr>
          <w:i/>
        </w:rPr>
        <w:t xml:space="preserve">Use the funding to allow members of our staff to deliver timely and successful small group interventions to close identified gaps in </w:t>
      </w:r>
      <w:bookmarkStart w:id="0" w:name="_GoBack"/>
      <w:bookmarkEnd w:id="0"/>
      <w:r w:rsidRPr="00F206CC">
        <w:rPr>
          <w:i/>
        </w:rPr>
        <w:t>learning across all year groups</w:t>
      </w:r>
    </w:p>
    <w:p w14:paraId="4E3171EF" w14:textId="7D18F34B" w:rsidR="00185893" w:rsidRPr="00F206CC" w:rsidRDefault="00185893" w:rsidP="00F206CC">
      <w:pPr>
        <w:pStyle w:val="ListParagraph"/>
        <w:numPr>
          <w:ilvl w:val="0"/>
          <w:numId w:val="3"/>
        </w:numPr>
        <w:rPr>
          <w:i/>
        </w:rPr>
      </w:pPr>
      <w:r w:rsidRPr="00F206CC">
        <w:rPr>
          <w:i/>
        </w:rPr>
        <w:lastRenderedPageBreak/>
        <w:t>To offer emotional well-being support during the school day to those children who may have become anxious during the closure of the school</w:t>
      </w:r>
    </w:p>
    <w:p w14:paraId="413A78C3" w14:textId="4080D4DA" w:rsidR="00F005E5" w:rsidRPr="00F206CC" w:rsidRDefault="00F005E5" w:rsidP="00F206CC">
      <w:pPr>
        <w:pStyle w:val="ListParagraph"/>
        <w:numPr>
          <w:ilvl w:val="0"/>
          <w:numId w:val="3"/>
        </w:numPr>
        <w:rPr>
          <w:i/>
        </w:rPr>
      </w:pPr>
      <w:r w:rsidRPr="00F206CC">
        <w:rPr>
          <w:i/>
        </w:rPr>
        <w:t>To use our chosen online learning platform to support home learning/homework</w:t>
      </w:r>
    </w:p>
    <w:p w14:paraId="29728404" w14:textId="2F712DB9" w:rsidR="00F005E5" w:rsidRPr="00F206CC" w:rsidRDefault="00F005E5" w:rsidP="00F206CC">
      <w:pPr>
        <w:pStyle w:val="ListParagraph"/>
        <w:numPr>
          <w:ilvl w:val="0"/>
          <w:numId w:val="3"/>
        </w:numPr>
        <w:rPr>
          <w:i/>
        </w:rPr>
      </w:pPr>
      <w:r w:rsidRPr="00F206CC">
        <w:rPr>
          <w:i/>
        </w:rPr>
        <w:t>Continue to follow our SEND procedures to ensure that our most vulnerable children make good progress</w:t>
      </w:r>
    </w:p>
    <w:p w14:paraId="23F3D0B3" w14:textId="5D4EE519" w:rsidR="00F005E5" w:rsidRPr="00F206CC" w:rsidRDefault="00F005E5" w:rsidP="00F206CC">
      <w:pPr>
        <w:pStyle w:val="ListParagraph"/>
        <w:numPr>
          <w:ilvl w:val="0"/>
          <w:numId w:val="3"/>
        </w:numPr>
        <w:rPr>
          <w:i/>
        </w:rPr>
      </w:pPr>
      <w:r w:rsidRPr="00F206CC">
        <w:rPr>
          <w:i/>
        </w:rPr>
        <w:t>Monitor the delivery of the curriculum to ensure that the broader curriculum is being covered whilst work is being done to close any gaps in learning in the core subjects</w:t>
      </w:r>
    </w:p>
    <w:p w14:paraId="07448A3D" w14:textId="77777777" w:rsidR="00185893" w:rsidRPr="002706C6" w:rsidRDefault="00185893">
      <w:pPr>
        <w:rPr>
          <w:i/>
        </w:rPr>
      </w:pPr>
    </w:p>
    <w:p w14:paraId="099D1C00" w14:textId="6B47D0A3" w:rsidR="002706C6" w:rsidRDefault="002706C6"/>
    <w:p w14:paraId="3D1BF699" w14:textId="2D38D277" w:rsidR="002706C6" w:rsidRPr="002706C6" w:rsidRDefault="002706C6">
      <w:pPr>
        <w:rPr>
          <w:b/>
        </w:rPr>
      </w:pPr>
      <w:r w:rsidRPr="002706C6">
        <w:rPr>
          <w:b/>
        </w:rPr>
        <w:t>How we will check that our plan is making a difference</w:t>
      </w:r>
    </w:p>
    <w:p w14:paraId="77EEDC25" w14:textId="2A969287" w:rsidR="002706C6" w:rsidRPr="00F206CC" w:rsidRDefault="00F005E5" w:rsidP="00F206CC">
      <w:pPr>
        <w:pStyle w:val="ListParagraph"/>
        <w:numPr>
          <w:ilvl w:val="0"/>
          <w:numId w:val="4"/>
        </w:numPr>
        <w:rPr>
          <w:i/>
        </w:rPr>
      </w:pPr>
      <w:r w:rsidRPr="00F206CC">
        <w:rPr>
          <w:i/>
        </w:rPr>
        <w:t xml:space="preserve">Use of the </w:t>
      </w:r>
      <w:r w:rsidR="0032317F" w:rsidRPr="00F206CC">
        <w:rPr>
          <w:i/>
        </w:rPr>
        <w:t>assessment data collected to track the children’s attainment and progress</w:t>
      </w:r>
    </w:p>
    <w:p w14:paraId="6D801D4E" w14:textId="101D8591" w:rsidR="0032317F" w:rsidRPr="00F206CC" w:rsidRDefault="0032317F" w:rsidP="00F206CC">
      <w:pPr>
        <w:pStyle w:val="ListParagraph"/>
        <w:numPr>
          <w:ilvl w:val="0"/>
          <w:numId w:val="4"/>
        </w:numPr>
        <w:rPr>
          <w:i/>
        </w:rPr>
      </w:pPr>
      <w:r w:rsidRPr="00F206CC">
        <w:rPr>
          <w:i/>
        </w:rPr>
        <w:t>Weekly checks on attendance</w:t>
      </w:r>
    </w:p>
    <w:p w14:paraId="5799CDFD" w14:textId="3EC64469" w:rsidR="0032317F" w:rsidRPr="00F206CC" w:rsidRDefault="0032317F" w:rsidP="00F206CC">
      <w:pPr>
        <w:pStyle w:val="ListParagraph"/>
        <w:numPr>
          <w:ilvl w:val="0"/>
          <w:numId w:val="4"/>
        </w:numPr>
        <w:rPr>
          <w:i/>
        </w:rPr>
      </w:pPr>
      <w:r w:rsidRPr="00F206CC">
        <w:rPr>
          <w:i/>
        </w:rPr>
        <w:t>Close monitoring of interventions delivered through the setting of SMART targets</w:t>
      </w:r>
    </w:p>
    <w:p w14:paraId="573B54EC" w14:textId="1B666E2C" w:rsidR="0032317F" w:rsidRPr="00F206CC" w:rsidRDefault="0032317F" w:rsidP="00F206CC">
      <w:pPr>
        <w:pStyle w:val="ListParagraph"/>
        <w:numPr>
          <w:ilvl w:val="0"/>
          <w:numId w:val="4"/>
        </w:numPr>
        <w:rPr>
          <w:i/>
        </w:rPr>
      </w:pPr>
      <w:r w:rsidRPr="00F206CC">
        <w:rPr>
          <w:i/>
        </w:rPr>
        <w:t>Regular use of low stakes testing to check on knowledge retention</w:t>
      </w:r>
    </w:p>
    <w:p w14:paraId="439D51F2" w14:textId="3BA9170B" w:rsidR="0032317F" w:rsidRPr="00F206CC" w:rsidRDefault="0032317F" w:rsidP="00F206CC">
      <w:pPr>
        <w:pStyle w:val="ListParagraph"/>
        <w:numPr>
          <w:ilvl w:val="0"/>
          <w:numId w:val="4"/>
        </w:numPr>
        <w:rPr>
          <w:i/>
        </w:rPr>
      </w:pPr>
      <w:r w:rsidRPr="00F206CC">
        <w:rPr>
          <w:i/>
        </w:rPr>
        <w:t>Use of formative assessment to inform future planning and possible requirements for further interventions</w:t>
      </w:r>
    </w:p>
    <w:p w14:paraId="60E5D7E9" w14:textId="77777777" w:rsidR="0032317F" w:rsidRDefault="0032317F">
      <w:pPr>
        <w:rPr>
          <w:i/>
        </w:rPr>
      </w:pPr>
    </w:p>
    <w:p w14:paraId="0B08F604" w14:textId="77777777" w:rsidR="0032317F" w:rsidRPr="002706C6" w:rsidRDefault="0032317F">
      <w:pPr>
        <w:rPr>
          <w:i/>
        </w:rPr>
      </w:pPr>
    </w:p>
    <w:p w14:paraId="569ABC36" w14:textId="09333AB0" w:rsidR="002706C6" w:rsidRDefault="002706C6"/>
    <w:p w14:paraId="0D5F27F7" w14:textId="168CE0C9" w:rsidR="002706C6" w:rsidRDefault="002706C6"/>
    <w:p w14:paraId="35983F62" w14:textId="77777777" w:rsidR="002706C6" w:rsidRDefault="002706C6"/>
    <w:p w14:paraId="59BF6F20" w14:textId="77777777" w:rsidR="002706C6" w:rsidRDefault="002706C6"/>
    <w:p w14:paraId="138FA27D" w14:textId="77777777" w:rsidR="00036000" w:rsidRDefault="00036000"/>
    <w:sectPr w:rsidR="00036000" w:rsidSect="00036000">
      <w:head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4DE9E" w14:textId="77777777" w:rsidR="00BE17E0" w:rsidRDefault="00BE17E0" w:rsidP="00036000">
      <w:r>
        <w:separator/>
      </w:r>
    </w:p>
  </w:endnote>
  <w:endnote w:type="continuationSeparator" w:id="0">
    <w:p w14:paraId="0D9FA1C6" w14:textId="77777777" w:rsidR="00BE17E0" w:rsidRDefault="00BE17E0" w:rsidP="0003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C155" w14:textId="77777777" w:rsidR="00BE17E0" w:rsidRDefault="00BE17E0" w:rsidP="00036000">
      <w:r>
        <w:separator/>
      </w:r>
    </w:p>
  </w:footnote>
  <w:footnote w:type="continuationSeparator" w:id="0">
    <w:p w14:paraId="4C6B410A" w14:textId="77777777" w:rsidR="00BE17E0" w:rsidRDefault="00BE17E0" w:rsidP="0003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E3DA" w14:textId="57DA95ED" w:rsidR="00036000" w:rsidRDefault="00036000" w:rsidP="00036000">
    <w:pPr>
      <w:pStyle w:val="Header"/>
      <w:jc w:val="right"/>
    </w:pPr>
    <w:r>
      <w:rPr>
        <w:noProof/>
        <w:lang w:eastAsia="en-GB"/>
      </w:rPr>
      <w:drawing>
        <wp:inline distT="0" distB="0" distL="0" distR="0" wp14:anchorId="77B688C0" wp14:editId="3AEF4763">
          <wp:extent cx="741145" cy="741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748553" cy="748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5C13"/>
    <w:multiLevelType w:val="hybridMultilevel"/>
    <w:tmpl w:val="E0F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3C13"/>
    <w:multiLevelType w:val="hybridMultilevel"/>
    <w:tmpl w:val="A934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740CC"/>
    <w:multiLevelType w:val="hybridMultilevel"/>
    <w:tmpl w:val="7938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24956"/>
    <w:multiLevelType w:val="hybridMultilevel"/>
    <w:tmpl w:val="7AA6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00"/>
    <w:rsid w:val="00036000"/>
    <w:rsid w:val="00185893"/>
    <w:rsid w:val="00221420"/>
    <w:rsid w:val="002706C6"/>
    <w:rsid w:val="0032317F"/>
    <w:rsid w:val="003F613F"/>
    <w:rsid w:val="007C7FDE"/>
    <w:rsid w:val="00821127"/>
    <w:rsid w:val="00857F0B"/>
    <w:rsid w:val="00BE17E0"/>
    <w:rsid w:val="00C91CA0"/>
    <w:rsid w:val="00CB317D"/>
    <w:rsid w:val="00EE1C28"/>
    <w:rsid w:val="00F005E5"/>
    <w:rsid w:val="00F206CC"/>
    <w:rsid w:val="00FE7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8D6C"/>
  <w15:chartTrackingRefBased/>
  <w15:docId w15:val="{7453CF5C-AD78-3548-B791-13144E34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000"/>
    <w:pPr>
      <w:tabs>
        <w:tab w:val="center" w:pos="4513"/>
        <w:tab w:val="right" w:pos="9026"/>
      </w:tabs>
    </w:pPr>
  </w:style>
  <w:style w:type="character" w:customStyle="1" w:styleId="HeaderChar">
    <w:name w:val="Header Char"/>
    <w:basedOn w:val="DefaultParagraphFont"/>
    <w:link w:val="Header"/>
    <w:uiPriority w:val="99"/>
    <w:rsid w:val="00036000"/>
  </w:style>
  <w:style w:type="paragraph" w:styleId="Footer">
    <w:name w:val="footer"/>
    <w:basedOn w:val="Normal"/>
    <w:link w:val="FooterChar"/>
    <w:uiPriority w:val="99"/>
    <w:unhideWhenUsed/>
    <w:rsid w:val="00036000"/>
    <w:pPr>
      <w:tabs>
        <w:tab w:val="center" w:pos="4513"/>
        <w:tab w:val="right" w:pos="9026"/>
      </w:tabs>
    </w:pPr>
  </w:style>
  <w:style w:type="character" w:customStyle="1" w:styleId="FooterChar">
    <w:name w:val="Footer Char"/>
    <w:basedOn w:val="DefaultParagraphFont"/>
    <w:link w:val="Footer"/>
    <w:uiPriority w:val="99"/>
    <w:rsid w:val="00036000"/>
  </w:style>
  <w:style w:type="table" w:styleId="TableGrid">
    <w:name w:val="Table Grid"/>
    <w:basedOn w:val="TableNormal"/>
    <w:uiPriority w:val="39"/>
    <w:rsid w:val="00036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000"/>
    <w:pPr>
      <w:ind w:left="720"/>
      <w:contextualSpacing/>
    </w:pPr>
  </w:style>
  <w:style w:type="character" w:customStyle="1" w:styleId="apple-converted-space">
    <w:name w:val="apple-converted-space"/>
    <w:basedOn w:val="DefaultParagraphFont"/>
    <w:rsid w:val="00036000"/>
  </w:style>
  <w:style w:type="character" w:styleId="Hyperlink">
    <w:name w:val="Hyperlink"/>
    <w:basedOn w:val="DefaultParagraphFont"/>
    <w:uiPriority w:val="99"/>
    <w:semiHidden/>
    <w:unhideWhenUsed/>
    <w:rsid w:val="00036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7131">
      <w:bodyDiv w:val="1"/>
      <w:marLeft w:val="0"/>
      <w:marRight w:val="0"/>
      <w:marTop w:val="0"/>
      <w:marBottom w:val="0"/>
      <w:divBdr>
        <w:top w:val="none" w:sz="0" w:space="0" w:color="auto"/>
        <w:left w:val="none" w:sz="0" w:space="0" w:color="auto"/>
        <w:bottom w:val="none" w:sz="0" w:space="0" w:color="auto"/>
        <w:right w:val="none" w:sz="0" w:space="0" w:color="auto"/>
      </w:divBdr>
    </w:div>
    <w:div w:id="631714534">
      <w:bodyDiv w:val="1"/>
      <w:marLeft w:val="0"/>
      <w:marRight w:val="0"/>
      <w:marTop w:val="0"/>
      <w:marBottom w:val="0"/>
      <w:divBdr>
        <w:top w:val="none" w:sz="0" w:space="0" w:color="auto"/>
        <w:left w:val="none" w:sz="0" w:space="0" w:color="auto"/>
        <w:bottom w:val="none" w:sz="0" w:space="0" w:color="auto"/>
        <w:right w:val="none" w:sz="0" w:space="0" w:color="auto"/>
      </w:divBdr>
    </w:div>
    <w:div w:id="731387677">
      <w:bodyDiv w:val="1"/>
      <w:marLeft w:val="0"/>
      <w:marRight w:val="0"/>
      <w:marTop w:val="0"/>
      <w:marBottom w:val="0"/>
      <w:divBdr>
        <w:top w:val="none" w:sz="0" w:space="0" w:color="auto"/>
        <w:left w:val="none" w:sz="0" w:space="0" w:color="auto"/>
        <w:bottom w:val="none" w:sz="0" w:space="0" w:color="auto"/>
        <w:right w:val="none" w:sz="0" w:space="0" w:color="auto"/>
      </w:divBdr>
    </w:div>
    <w:div w:id="1152217523">
      <w:bodyDiv w:val="1"/>
      <w:marLeft w:val="0"/>
      <w:marRight w:val="0"/>
      <w:marTop w:val="0"/>
      <w:marBottom w:val="0"/>
      <w:divBdr>
        <w:top w:val="none" w:sz="0" w:space="0" w:color="auto"/>
        <w:left w:val="none" w:sz="0" w:space="0" w:color="auto"/>
        <w:bottom w:val="none" w:sz="0" w:space="0" w:color="auto"/>
        <w:right w:val="none" w:sz="0" w:space="0" w:color="auto"/>
      </w:divBdr>
    </w:div>
    <w:div w:id="12008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Holbrook</dc:creator>
  <cp:keywords/>
  <dc:description/>
  <cp:lastModifiedBy>Clapson, Sharon</cp:lastModifiedBy>
  <cp:revision>2</cp:revision>
  <dcterms:created xsi:type="dcterms:W3CDTF">2020-10-19T14:04:00Z</dcterms:created>
  <dcterms:modified xsi:type="dcterms:W3CDTF">2020-10-19T14:04:00Z</dcterms:modified>
</cp:coreProperties>
</file>