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4686" w:rsidRDefault="00415AED">
      <w:r w:rsidRPr="00415AED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00CB" wp14:editId="7DA26966">
                <wp:simplePos x="0" y="0"/>
                <wp:positionH relativeFrom="column">
                  <wp:posOffset>2076450</wp:posOffset>
                </wp:positionH>
                <wp:positionV relativeFrom="paragraph">
                  <wp:posOffset>314325</wp:posOffset>
                </wp:positionV>
                <wp:extent cx="6543675" cy="9620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62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AED" w:rsidRDefault="0028482F" w:rsidP="00415AE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Sports Premium 201</w:t>
                            </w:r>
                            <w:r w:rsidR="00526E0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201</w:t>
                            </w:r>
                            <w:r w:rsidR="00526E0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28482F" w:rsidRPr="00415AED" w:rsidRDefault="0028482F" w:rsidP="00415AE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E300CB" id="Rounded Rectangle 4" o:spid="_x0000_s1026" style="position:absolute;margin-left:163.5pt;margin-top:24.75pt;width:515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" fillcolor="red" strokecolor="#243f60 [1604]" strokeweight="2pt">
                <v:textbox>
                  <w:txbxContent>
                    <w:p w:rsidR="00415AED" w:rsidRDefault="0028482F" w:rsidP="00415AE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Sports Premium 201</w:t>
                      </w:r>
                      <w:r w:rsidR="00526E0A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201</w:t>
                      </w:r>
                      <w:r w:rsidR="00526E0A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  <w:p w:rsidR="0028482F" w:rsidRPr="00415AED" w:rsidRDefault="0028482F" w:rsidP="00415AE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Autumn Term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307A1F" wp14:editId="07C9D1EE">
            <wp:extent cx="1720938" cy="1692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38" cy="1692000"/>
                    </a:xfrm>
                    <a:prstGeom prst="rect">
                      <a:avLst/>
                    </a:prstGeom>
                    <a:noFill/>
                    <a:ln w="381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39"/>
        <w:tblW w:w="15404" w:type="dxa"/>
        <w:tblLook w:val="04A0" w:firstRow="1" w:lastRow="0" w:firstColumn="1" w:lastColumn="0" w:noHBand="0" w:noVBand="1"/>
      </w:tblPr>
      <w:tblGrid>
        <w:gridCol w:w="3256"/>
        <w:gridCol w:w="4443"/>
        <w:gridCol w:w="5050"/>
        <w:gridCol w:w="2655"/>
      </w:tblGrid>
      <w:tr w:rsidR="00EC4E5A" w:rsidTr="003C7CC7">
        <w:trPr>
          <w:trHeight w:val="292"/>
        </w:trPr>
        <w:tc>
          <w:tcPr>
            <w:tcW w:w="3256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Factor</w:t>
            </w:r>
          </w:p>
        </w:tc>
        <w:tc>
          <w:tcPr>
            <w:tcW w:w="4443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How funding has been spent</w:t>
            </w:r>
          </w:p>
        </w:tc>
        <w:tc>
          <w:tcPr>
            <w:tcW w:w="5050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Impact on the quality of learning in PE</w:t>
            </w:r>
          </w:p>
        </w:tc>
        <w:tc>
          <w:tcPr>
            <w:tcW w:w="2655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Cost</w:t>
            </w:r>
          </w:p>
        </w:tc>
      </w:tr>
      <w:tr w:rsidR="00EC4E5A" w:rsidTr="003C7CC7">
        <w:trPr>
          <w:trHeight w:val="1188"/>
        </w:trPr>
        <w:tc>
          <w:tcPr>
            <w:tcW w:w="3256" w:type="dxa"/>
          </w:tcPr>
          <w:p w:rsidR="00EC4E5A" w:rsidRPr="00D02A69" w:rsidRDefault="00D02A69" w:rsidP="00D02A69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</w:t>
            </w:r>
            <w:r w:rsidR="00EC4E5A" w:rsidRPr="00D02A69">
              <w:rPr>
                <w:rFonts w:ascii="Comic Sans MS" w:hAnsi="Comic Sans MS"/>
              </w:rPr>
              <w:t>articipation rates in sustained physical activities at lunchtimes</w:t>
            </w:r>
          </w:p>
        </w:tc>
        <w:tc>
          <w:tcPr>
            <w:tcW w:w="4443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Lunch Time athletics</w:t>
            </w:r>
            <w:r w:rsidR="00D02A69">
              <w:rPr>
                <w:rFonts w:ascii="Comic Sans MS" w:hAnsi="Comic Sans MS"/>
              </w:rPr>
              <w:t>/fun games</w:t>
            </w:r>
            <w:r w:rsidRPr="00D02A69">
              <w:rPr>
                <w:rFonts w:ascii="Comic Sans MS" w:hAnsi="Comic Sans MS"/>
              </w:rPr>
              <w:t xml:space="preserve"> club – every Monday for a total of 12 weeks</w:t>
            </w:r>
            <w:r w:rsidR="00D02A69">
              <w:rPr>
                <w:rFonts w:ascii="Comic Sans MS" w:hAnsi="Comic Sans MS"/>
              </w:rPr>
              <w:t xml:space="preserve"> (2 x 30 mins)</w:t>
            </w:r>
          </w:p>
        </w:tc>
        <w:tc>
          <w:tcPr>
            <w:tcW w:w="5050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Increased stamina and fitness in pupils attending (selected by non-attendance in other clubs/ sessions) </w:t>
            </w:r>
            <w:proofErr w:type="spellStart"/>
            <w:r w:rsidRPr="00D02A69">
              <w:rPr>
                <w:rFonts w:ascii="Comic Sans MS" w:hAnsi="Comic Sans MS"/>
              </w:rPr>
              <w:t>eg</w:t>
            </w:r>
            <w:proofErr w:type="spellEnd"/>
            <w:r w:rsidRPr="00D02A69">
              <w:rPr>
                <w:rFonts w:ascii="Comic Sans MS" w:hAnsi="Comic Sans MS"/>
              </w:rPr>
              <w:t>: throwing, catching, balance, coordination…</w:t>
            </w:r>
          </w:p>
        </w:tc>
        <w:tc>
          <w:tcPr>
            <w:tcW w:w="2655" w:type="dxa"/>
          </w:tcPr>
          <w:p w:rsidR="00EC4E5A" w:rsidRPr="00D02A69" w:rsidRDefault="00EC4E5A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3C7CC7">
        <w:trPr>
          <w:trHeight w:val="2670"/>
        </w:trPr>
        <w:tc>
          <w:tcPr>
            <w:tcW w:w="3256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High Quality teaching and learning in PE</w:t>
            </w:r>
            <w:r w:rsidR="003C7CC7">
              <w:rPr>
                <w:rFonts w:ascii="Comic Sans MS" w:hAnsi="Comic Sans MS"/>
              </w:rPr>
              <w:t>/ assessment and identification of G&amp;T pupils.</w:t>
            </w:r>
          </w:p>
        </w:tc>
        <w:tc>
          <w:tcPr>
            <w:tcW w:w="4443" w:type="dxa"/>
          </w:tcPr>
          <w:p w:rsidR="00EC4E5A" w:rsidRPr="00D02A69" w:rsidRDefault="00EC4E5A" w:rsidP="00D02A69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Curriculum enrichment and CPD for teachers (years 1,2,5,6) with Premiere </w:t>
            </w:r>
            <w:r w:rsidR="00D02A69">
              <w:rPr>
                <w:rFonts w:ascii="Comic Sans MS" w:hAnsi="Comic Sans MS"/>
              </w:rPr>
              <w:t>S</w:t>
            </w:r>
            <w:r w:rsidRPr="00D02A69">
              <w:rPr>
                <w:rFonts w:ascii="Comic Sans MS" w:hAnsi="Comic Sans MS"/>
              </w:rPr>
              <w:t>port providing 1hr/ week  X 2 year groups to develop skills and provide opportunities for competition at the end of each teaching block</w:t>
            </w:r>
          </w:p>
        </w:tc>
        <w:tc>
          <w:tcPr>
            <w:tcW w:w="5050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Improved quality</w:t>
            </w:r>
            <w:r w:rsidR="00EC4E5A" w:rsidRPr="00D02A69">
              <w:rPr>
                <w:rFonts w:ascii="Comic Sans MS" w:hAnsi="Comic Sans MS"/>
              </w:rPr>
              <w:t xml:space="preserve"> teaching</w:t>
            </w:r>
            <w:r>
              <w:rPr>
                <w:rFonts w:ascii="Comic Sans MS" w:hAnsi="Comic Sans MS"/>
              </w:rPr>
              <w:t xml:space="preserve"> and learning</w:t>
            </w:r>
            <w:r w:rsidR="00EC4E5A" w:rsidRPr="00D02A69">
              <w:rPr>
                <w:rFonts w:ascii="Comic Sans MS" w:hAnsi="Comic Sans MS"/>
              </w:rPr>
              <w:t>; increased access to competition for all</w:t>
            </w:r>
            <w:r w:rsidR="003C7CC7">
              <w:rPr>
                <w:rFonts w:ascii="Comic Sans MS" w:hAnsi="Comic Sans MS"/>
              </w:rPr>
              <w:t xml:space="preserve"> pupils in selected year groups. Encouragement to link</w:t>
            </w:r>
            <w:r w:rsidR="00EC4E5A" w:rsidRPr="00D02A69">
              <w:rPr>
                <w:rFonts w:ascii="Comic Sans MS" w:hAnsi="Comic Sans MS"/>
              </w:rPr>
              <w:t xml:space="preserve"> to community clubs to access specific coaching in areas of sport such a</w:t>
            </w:r>
            <w:r w:rsidR="003C7CC7">
              <w:rPr>
                <w:rFonts w:ascii="Comic Sans MS" w:hAnsi="Comic Sans MS"/>
              </w:rPr>
              <w:t xml:space="preserve">s athletics, gymnastics (identification of gifted and talented) Ongoing assessment of pupils before/ after teaching block. </w:t>
            </w:r>
          </w:p>
        </w:tc>
        <w:tc>
          <w:tcPr>
            <w:tcW w:w="2655" w:type="dxa"/>
          </w:tcPr>
          <w:p w:rsidR="00EC4E5A" w:rsidRPr="00D02A69" w:rsidRDefault="00EC4E5A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3C7CC7">
        <w:trPr>
          <w:trHeight w:val="2393"/>
        </w:trPr>
        <w:tc>
          <w:tcPr>
            <w:tcW w:w="3256" w:type="dxa"/>
          </w:tcPr>
          <w:p w:rsidR="00EC4E5A" w:rsidRPr="00D02A69" w:rsidRDefault="00EC4E5A" w:rsidP="00664A2D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Increased breadth of out-of-school provision </w:t>
            </w:r>
            <w:r w:rsidR="00664A2D" w:rsidRPr="00D02A69">
              <w:rPr>
                <w:rFonts w:ascii="Comic Sans MS" w:hAnsi="Comic Sans MS"/>
              </w:rPr>
              <w:t>and</w:t>
            </w:r>
            <w:r w:rsidRPr="00D02A69">
              <w:rPr>
                <w:rFonts w:ascii="Comic Sans MS" w:hAnsi="Comic Sans MS"/>
              </w:rPr>
              <w:t xml:space="preserve"> range of sports offered to pupils</w:t>
            </w:r>
          </w:p>
        </w:tc>
        <w:tc>
          <w:tcPr>
            <w:tcW w:w="4443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After </w:t>
            </w:r>
            <w:r w:rsidR="00664A2D" w:rsidRPr="00D02A69">
              <w:rPr>
                <w:rFonts w:ascii="Comic Sans MS" w:hAnsi="Comic Sans MS"/>
              </w:rPr>
              <w:t>s</w:t>
            </w:r>
            <w:r w:rsidRPr="00D02A69">
              <w:rPr>
                <w:rFonts w:ascii="Comic Sans MS" w:hAnsi="Comic Sans MS"/>
              </w:rPr>
              <w:t xml:space="preserve">chool </w:t>
            </w:r>
            <w:r w:rsidR="00664A2D" w:rsidRPr="00D02A69">
              <w:rPr>
                <w:rFonts w:ascii="Comic Sans MS" w:hAnsi="Comic Sans MS"/>
              </w:rPr>
              <w:t>n</w:t>
            </w:r>
            <w:r w:rsidRPr="00D02A69">
              <w:rPr>
                <w:rFonts w:ascii="Comic Sans MS" w:hAnsi="Comic Sans MS"/>
              </w:rPr>
              <w:t xml:space="preserve">etball </w:t>
            </w:r>
            <w:r w:rsidR="00664A2D" w:rsidRPr="00D02A69">
              <w:rPr>
                <w:rFonts w:ascii="Comic Sans MS" w:hAnsi="Comic Sans MS"/>
              </w:rPr>
              <w:t>c</w:t>
            </w:r>
            <w:r w:rsidRPr="00D02A69">
              <w:rPr>
                <w:rFonts w:ascii="Comic Sans MS" w:hAnsi="Comic Sans MS"/>
              </w:rPr>
              <w:t>lub – every Thursday for a total of 12 weeks</w:t>
            </w:r>
          </w:p>
          <w:p w:rsidR="00664A2D" w:rsidRPr="00D02A69" w:rsidRDefault="00664A2D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After school athletics and gymnastics clubs for pupils in years 2-6 offered every Monday and Wednesday. School Sport Premium to subsidise club to encourage greater participation and inclusion.</w:t>
            </w:r>
          </w:p>
        </w:tc>
        <w:tc>
          <w:tcPr>
            <w:tcW w:w="5050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participation in a wider range of sport; access to high quality equipment</w:t>
            </w:r>
            <w:r w:rsidR="00664A2D" w:rsidRPr="00D02A69">
              <w:rPr>
                <w:rFonts w:ascii="Comic Sans MS" w:hAnsi="Comic Sans MS"/>
              </w:rPr>
              <w:t>, professional coaching</w:t>
            </w:r>
            <w:r w:rsidRPr="00D02A69">
              <w:rPr>
                <w:rFonts w:ascii="Comic Sans MS" w:hAnsi="Comic Sans MS"/>
              </w:rPr>
              <w:t xml:space="preserve"> and links to community clubs/competitions</w:t>
            </w:r>
          </w:p>
          <w:p w:rsidR="00EC4E5A" w:rsidRPr="00D02A69" w:rsidRDefault="00EC4E5A" w:rsidP="00EC4E5A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EC4E5A" w:rsidRPr="00D02A69" w:rsidRDefault="00EC4E5A" w:rsidP="00664A2D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 xml:space="preserve">See </w:t>
            </w:r>
            <w:proofErr w:type="spellStart"/>
            <w:r w:rsidR="00664A2D" w:rsidRPr="00D02A69">
              <w:rPr>
                <w:rFonts w:ascii="Comic Sans MS" w:hAnsi="Comic Sans MS"/>
                <w:color w:val="FF0000"/>
              </w:rPr>
              <w:t>Lincs</w:t>
            </w:r>
            <w:proofErr w:type="spellEnd"/>
            <w:r w:rsidR="00664A2D" w:rsidRPr="00D02A69">
              <w:rPr>
                <w:rFonts w:ascii="Comic Sans MS" w:hAnsi="Comic Sans MS"/>
                <w:color w:val="FF0000"/>
              </w:rPr>
              <w:t xml:space="preserve"> Inspire Invoice</w:t>
            </w:r>
          </w:p>
          <w:p w:rsidR="00664A2D" w:rsidRPr="00D02A69" w:rsidRDefault="00664A2D" w:rsidP="00664A2D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3C7CC7">
        <w:trPr>
          <w:trHeight w:val="1791"/>
        </w:trPr>
        <w:tc>
          <w:tcPr>
            <w:tcW w:w="3256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lastRenderedPageBreak/>
              <w:t>High Quality teaching and learning in Outdoor Adventurous Activities</w:t>
            </w:r>
          </w:p>
        </w:tc>
        <w:tc>
          <w:tcPr>
            <w:tcW w:w="4443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Provide additional funding to cover the cost of transport to PGL for all year 6 pupils, helping to make the visit inclusive.</w:t>
            </w:r>
          </w:p>
        </w:tc>
        <w:tc>
          <w:tcPr>
            <w:tcW w:w="5050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Opportunities to enrich and extend the curriculum for year 6 pupils with a range of outdoor and adventurous activities promoting resilience, teamwork and challenge.</w:t>
            </w:r>
          </w:p>
          <w:p w:rsidR="00EC4E5A" w:rsidRPr="00D02A69" w:rsidRDefault="00EC4E5A" w:rsidP="00EC4E5A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EC4E5A" w:rsidRPr="00D02A69" w:rsidRDefault="00EC4E5A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£200</w:t>
            </w:r>
          </w:p>
        </w:tc>
      </w:tr>
      <w:tr w:rsidR="00EC4E5A" w:rsidTr="003C7CC7">
        <w:trPr>
          <w:trHeight w:val="1481"/>
        </w:trPr>
        <w:tc>
          <w:tcPr>
            <w:tcW w:w="3256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Opportunities to compete</w:t>
            </w:r>
          </w:p>
        </w:tc>
        <w:tc>
          <w:tcPr>
            <w:tcW w:w="4443" w:type="dxa"/>
          </w:tcPr>
          <w:p w:rsidR="00EC4E5A" w:rsidRPr="00D02A69" w:rsidRDefault="00DE6295" w:rsidP="00664A2D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B</w:t>
            </w:r>
            <w:r w:rsidR="00664A2D" w:rsidRPr="00D02A69">
              <w:rPr>
                <w:rFonts w:ascii="Comic Sans MS" w:hAnsi="Comic Sans MS"/>
              </w:rPr>
              <w:t>oys football training weekly (T</w:t>
            </w:r>
            <w:r w:rsidRPr="00D02A69">
              <w:rPr>
                <w:rFonts w:ascii="Comic Sans MS" w:hAnsi="Comic Sans MS"/>
              </w:rPr>
              <w:t>u</w:t>
            </w:r>
            <w:r w:rsidR="00664A2D" w:rsidRPr="00D02A69">
              <w:rPr>
                <w:rFonts w:ascii="Comic Sans MS" w:hAnsi="Comic Sans MS"/>
              </w:rPr>
              <w:t>e</w:t>
            </w:r>
            <w:r w:rsidRPr="00D02A69">
              <w:rPr>
                <w:rFonts w:ascii="Comic Sans MS" w:hAnsi="Comic Sans MS"/>
              </w:rPr>
              <w:t>sdays, 1 hr) and access to competitions (</w:t>
            </w:r>
            <w:proofErr w:type="spellStart"/>
            <w:r w:rsidRPr="00D02A69">
              <w:rPr>
                <w:rFonts w:ascii="Comic Sans MS" w:hAnsi="Comic Sans MS"/>
              </w:rPr>
              <w:t>Lincs</w:t>
            </w:r>
            <w:proofErr w:type="spellEnd"/>
            <w:r w:rsidRPr="00D02A69">
              <w:rPr>
                <w:rFonts w:ascii="Comic Sans MS" w:hAnsi="Comic Sans MS"/>
              </w:rPr>
              <w:t xml:space="preserve"> Inspire)</w:t>
            </w:r>
          </w:p>
        </w:tc>
        <w:tc>
          <w:tcPr>
            <w:tcW w:w="5050" w:type="dxa"/>
          </w:tcPr>
          <w:p w:rsidR="00EC4E5A" w:rsidRPr="00D02A69" w:rsidRDefault="00DE6295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participation in competitive sport; access to specialist coaching and links to community clubs/competitions, opportunities for gifted and talented pupils</w:t>
            </w:r>
          </w:p>
        </w:tc>
        <w:tc>
          <w:tcPr>
            <w:tcW w:w="2655" w:type="dxa"/>
          </w:tcPr>
          <w:p w:rsidR="00EC4E5A" w:rsidRPr="00D02A69" w:rsidRDefault="00664A2D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 xml:space="preserve">See </w:t>
            </w:r>
            <w:proofErr w:type="spellStart"/>
            <w:r w:rsidRPr="00D02A69">
              <w:rPr>
                <w:rFonts w:ascii="Comic Sans MS" w:hAnsi="Comic Sans MS"/>
                <w:color w:val="FF0000"/>
              </w:rPr>
              <w:t>Lincs</w:t>
            </w:r>
            <w:proofErr w:type="spellEnd"/>
            <w:r w:rsidRPr="00D02A69">
              <w:rPr>
                <w:rFonts w:ascii="Comic Sans MS" w:hAnsi="Comic Sans MS"/>
                <w:color w:val="FF0000"/>
              </w:rPr>
              <w:t xml:space="preserve"> Inspire invoice</w:t>
            </w:r>
          </w:p>
        </w:tc>
      </w:tr>
      <w:tr w:rsidR="00EC4E5A" w:rsidTr="003C7CC7">
        <w:trPr>
          <w:trHeight w:val="1774"/>
        </w:trPr>
        <w:tc>
          <w:tcPr>
            <w:tcW w:w="3256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Early Years Provision</w:t>
            </w:r>
          </w:p>
        </w:tc>
        <w:tc>
          <w:tcPr>
            <w:tcW w:w="4443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New equipment to be purchased for outdoor play/ replace damaged or unsafe resources</w:t>
            </w:r>
          </w:p>
        </w:tc>
        <w:tc>
          <w:tcPr>
            <w:tcW w:w="5050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Encourage outdoor play and physical activity; improve balance, co-ordination and agility; involve disengaged pupils in physical activity in a fun, non-competitive environment; help to achieve early learning goals</w:t>
            </w:r>
          </w:p>
        </w:tc>
        <w:tc>
          <w:tcPr>
            <w:tcW w:w="2655" w:type="dxa"/>
          </w:tcPr>
          <w:p w:rsidR="00EC4E5A" w:rsidRPr="00D02A69" w:rsidRDefault="00D02A69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£300</w:t>
            </w:r>
          </w:p>
        </w:tc>
      </w:tr>
      <w:tr w:rsidR="00EC4E5A" w:rsidTr="003C7CC7">
        <w:trPr>
          <w:trHeight w:val="1481"/>
        </w:trPr>
        <w:tc>
          <w:tcPr>
            <w:tcW w:w="3256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Equipment</w:t>
            </w:r>
          </w:p>
        </w:tc>
        <w:tc>
          <w:tcPr>
            <w:tcW w:w="4443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New playground equipment for all pupils in phases 2 and 3, to be taken out daily by play leaders and changed each week</w:t>
            </w:r>
          </w:p>
        </w:tc>
        <w:tc>
          <w:tcPr>
            <w:tcW w:w="5050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 fitness levels of all pupils; improve balance, co-ordination and agility; involve disengaged pupils in physical activity in a fun, non-competitive environment</w:t>
            </w:r>
          </w:p>
        </w:tc>
        <w:tc>
          <w:tcPr>
            <w:tcW w:w="2655" w:type="dxa"/>
          </w:tcPr>
          <w:p w:rsidR="00EC4E5A" w:rsidRPr="00D02A69" w:rsidRDefault="00D02A69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£300</w:t>
            </w:r>
          </w:p>
        </w:tc>
      </w:tr>
    </w:tbl>
    <w:p w:rsidR="00415AED" w:rsidRDefault="00415AED"/>
    <w:p w:rsidR="00664A2D" w:rsidRPr="00D02A69" w:rsidRDefault="007E00BC" w:rsidP="00FF1B8D">
      <w:pPr>
        <w:rPr>
          <w:rFonts w:ascii="Comic Sans MS" w:hAnsi="Comic Sans MS"/>
          <w:b/>
          <w:color w:val="FF0000"/>
          <w:sz w:val="24"/>
          <w:szCs w:val="24"/>
        </w:rPr>
      </w:pPr>
      <w:r w:rsidRPr="00D02A69">
        <w:rPr>
          <w:rFonts w:ascii="Comic Sans MS" w:hAnsi="Comic Sans MS"/>
          <w:b/>
          <w:color w:val="FF0000"/>
          <w:sz w:val="24"/>
          <w:szCs w:val="24"/>
        </w:rPr>
        <w:t>Premiere Sport Invoice: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 xml:space="preserve"> 2 x</w:t>
      </w:r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 xml:space="preserve">termly ‘3 hour Clubs Package’ plus ‘2 </w:t>
      </w:r>
      <w:proofErr w:type="gramStart"/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>hours</w:t>
      </w:r>
      <w:proofErr w:type="gramEnd"/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 xml:space="preserve"> curriculum support’:</w:t>
      </w:r>
      <w:r w:rsidR="008870CC">
        <w:rPr>
          <w:rFonts w:ascii="Comic Sans MS" w:hAnsi="Comic Sans MS"/>
          <w:b/>
          <w:color w:val="FF0000"/>
          <w:sz w:val="24"/>
          <w:szCs w:val="24"/>
        </w:rPr>
        <w:t>£870</w:t>
      </w:r>
    </w:p>
    <w:p w:rsidR="004F3DDF" w:rsidRPr="00D02A69" w:rsidRDefault="00664A2D" w:rsidP="00FF1B8D">
      <w:pPr>
        <w:rPr>
          <w:rFonts w:ascii="Comic Sans MS" w:hAnsi="Comic Sans MS"/>
          <w:b/>
          <w:color w:val="FF0000"/>
          <w:sz w:val="24"/>
          <w:szCs w:val="24"/>
        </w:rPr>
      </w:pPr>
      <w:proofErr w:type="spellStart"/>
      <w:r w:rsidRPr="00D02A69">
        <w:rPr>
          <w:rFonts w:ascii="Comic Sans MS" w:hAnsi="Comic Sans MS"/>
          <w:b/>
          <w:color w:val="FF0000"/>
          <w:sz w:val="24"/>
          <w:szCs w:val="24"/>
        </w:rPr>
        <w:t>Lincs</w:t>
      </w:r>
      <w:proofErr w:type="spellEnd"/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Inspire invoice: 10 weeks x £50 (Netball and football): £500</w:t>
      </w:r>
    </w:p>
    <w:p w:rsidR="00664A2D" w:rsidRDefault="00664A2D" w:rsidP="00FF1B8D"/>
    <w:p w:rsidR="004F3DDF" w:rsidRDefault="004F3DDF" w:rsidP="00FF1B8D"/>
    <w:p w:rsidR="004F3DDF" w:rsidRPr="00411A1A" w:rsidRDefault="004F3DDF" w:rsidP="004F3DD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Total Spend for the Autumn Term: £</w:t>
      </w:r>
      <w:r w:rsidR="008870CC">
        <w:rPr>
          <w:rFonts w:ascii="Comic Sans MS" w:hAnsi="Comic Sans MS"/>
          <w:b/>
          <w:color w:val="FF0000"/>
          <w:sz w:val="32"/>
          <w:szCs w:val="32"/>
        </w:rPr>
        <w:t>2170</w:t>
      </w:r>
    </w:p>
    <w:p w:rsidR="004F3DDF" w:rsidRDefault="004F3DDF" w:rsidP="00FF1B8D"/>
    <w:p w:rsidR="004F3DDF" w:rsidRDefault="004F3DDF" w:rsidP="00FF1B8D"/>
    <w:sectPr w:rsidR="004F3DDF" w:rsidSect="003C7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ED"/>
    <w:rsid w:val="000D3EB4"/>
    <w:rsid w:val="00105E6A"/>
    <w:rsid w:val="001D4686"/>
    <w:rsid w:val="0028482F"/>
    <w:rsid w:val="00341C76"/>
    <w:rsid w:val="003843B5"/>
    <w:rsid w:val="00387175"/>
    <w:rsid w:val="003C7CC7"/>
    <w:rsid w:val="00411A1A"/>
    <w:rsid w:val="00415AED"/>
    <w:rsid w:val="00491169"/>
    <w:rsid w:val="004F3DDF"/>
    <w:rsid w:val="00526E0A"/>
    <w:rsid w:val="00664A2D"/>
    <w:rsid w:val="006E1670"/>
    <w:rsid w:val="007E00BC"/>
    <w:rsid w:val="008870CC"/>
    <w:rsid w:val="00D02A69"/>
    <w:rsid w:val="00DE6295"/>
    <w:rsid w:val="00EC4E5A"/>
    <w:rsid w:val="00F03456"/>
    <w:rsid w:val="00FB6827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Clapson</dc:creator>
  <cp:lastModifiedBy>Sharon Clapson</cp:lastModifiedBy>
  <cp:revision>2</cp:revision>
  <cp:lastPrinted>2016-10-19T07:19:00Z</cp:lastPrinted>
  <dcterms:created xsi:type="dcterms:W3CDTF">2016-10-19T08:42:00Z</dcterms:created>
  <dcterms:modified xsi:type="dcterms:W3CDTF">2016-10-19T08:42:00Z</dcterms:modified>
</cp:coreProperties>
</file>