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4754" w14:textId="3C8E6A40" w:rsidR="00AF04A4" w:rsidRPr="003355FE" w:rsidRDefault="003355FE">
      <w:pPr>
        <w:jc w:val="center"/>
        <w:rPr>
          <w:b/>
          <w:bCs/>
          <w:sz w:val="48"/>
          <w:szCs w:val="48"/>
        </w:rPr>
      </w:pPr>
      <w:r w:rsidRPr="003355FE">
        <w:rPr>
          <w:b/>
          <w:bCs/>
          <w:sz w:val="48"/>
          <w:szCs w:val="48"/>
        </w:rPr>
        <w:t>Learn and Prosper School</w:t>
      </w:r>
    </w:p>
    <w:p w14:paraId="01864806" w14:textId="77777777" w:rsidR="00AF04A4" w:rsidRDefault="00AF04A4"/>
    <w:p w14:paraId="1785ADE1" w14:textId="77777777" w:rsidR="00AF04A4" w:rsidRDefault="00000000">
      <w:pPr>
        <w:pStyle w:val="Heading1"/>
      </w:pPr>
      <w:r>
        <w:t>Admissions Policy Framework</w:t>
      </w:r>
    </w:p>
    <w:p w14:paraId="7E6C3DD8" w14:textId="77777777" w:rsidR="00AF04A4" w:rsidRDefault="00000000">
      <w:pPr>
        <w:pStyle w:val="Heading2"/>
      </w:pPr>
      <w:r>
        <w:t>1. Introduction</w:t>
      </w:r>
    </w:p>
    <w:p w14:paraId="198D7A26" w14:textId="77777777" w:rsidR="00AF04A4" w:rsidRDefault="00000000">
      <w:pPr>
        <w:pStyle w:val="Heading3"/>
      </w:pPr>
      <w:r>
        <w:t>Purpose of the Policy</w:t>
      </w:r>
    </w:p>
    <w:p w14:paraId="6393CA9C" w14:textId="77777777" w:rsidR="00AF04A4" w:rsidRDefault="00000000">
      <w:r>
        <w:t>The purpose of this policy is to set out the principles and procedures the school will follow when admitting pupils. It ensures that our admissions arrangements are fair, objective, and transparent, enabling all applicants to understand how places are allocated. The policy reflects our commitment to equity, inclusion, and the law.</w:t>
      </w:r>
    </w:p>
    <w:p w14:paraId="37D0B576" w14:textId="77777777" w:rsidR="00AF04A4" w:rsidRDefault="00000000">
      <w:pPr>
        <w:pStyle w:val="Heading3"/>
      </w:pPr>
      <w:r>
        <w:t>Legislative and Statutory Framework</w:t>
      </w:r>
    </w:p>
    <w:p w14:paraId="5CCE5432" w14:textId="77777777" w:rsidR="00AF04A4" w:rsidRDefault="00000000">
      <w:r>
        <w:t>This policy operates in accordance with the statutory requirements established by:</w:t>
      </w:r>
    </w:p>
    <w:p w14:paraId="7280E451" w14:textId="77777777" w:rsidR="00AF04A4" w:rsidRDefault="00000000">
      <w:pPr>
        <w:numPr>
          <w:ilvl w:val="0"/>
          <w:numId w:val="1"/>
        </w:numPr>
      </w:pPr>
      <w:r>
        <w:t>The School Standards and Framework Act 1998</w:t>
      </w:r>
    </w:p>
    <w:p w14:paraId="55C3F5AE" w14:textId="77777777" w:rsidR="00AF04A4" w:rsidRDefault="00000000">
      <w:pPr>
        <w:numPr>
          <w:ilvl w:val="0"/>
          <w:numId w:val="1"/>
        </w:numPr>
      </w:pPr>
      <w:r>
        <w:t>The School Admissions Code (Department for Education, September 2021)</w:t>
      </w:r>
    </w:p>
    <w:p w14:paraId="59B4F099" w14:textId="77777777" w:rsidR="00AF04A4" w:rsidRDefault="00000000">
      <w:pPr>
        <w:numPr>
          <w:ilvl w:val="0"/>
          <w:numId w:val="1"/>
        </w:numPr>
      </w:pPr>
      <w:r>
        <w:t>The School Admission Appeals Code (Department for Education, October 2022)</w:t>
      </w:r>
    </w:p>
    <w:p w14:paraId="0D7EF600" w14:textId="77777777" w:rsidR="00AF04A4" w:rsidRDefault="00000000">
      <w:pPr>
        <w:numPr>
          <w:ilvl w:val="0"/>
          <w:numId w:val="1"/>
        </w:numPr>
      </w:pPr>
      <w:r>
        <w:t>The Equality Act 2010</w:t>
      </w:r>
    </w:p>
    <w:p w14:paraId="5AB01E5D" w14:textId="77777777" w:rsidR="00AF04A4" w:rsidRDefault="00000000">
      <w:pPr>
        <w:numPr>
          <w:ilvl w:val="0"/>
          <w:numId w:val="1"/>
        </w:numPr>
      </w:pPr>
      <w:r>
        <w:t>The Human Rights Act 1998</w:t>
      </w:r>
    </w:p>
    <w:p w14:paraId="3189B0C0" w14:textId="77777777" w:rsidR="00AF04A4" w:rsidRDefault="00000000">
      <w:pPr>
        <w:numPr>
          <w:ilvl w:val="0"/>
          <w:numId w:val="1"/>
        </w:numPr>
      </w:pPr>
      <w:r>
        <w:t>The Children and Families Act 2014</w:t>
      </w:r>
    </w:p>
    <w:p w14:paraId="0A4E7CDC" w14:textId="77777777" w:rsidR="00AF04A4" w:rsidRDefault="00000000">
      <w:pPr>
        <w:numPr>
          <w:ilvl w:val="0"/>
          <w:numId w:val="1"/>
        </w:numPr>
      </w:pPr>
      <w:r>
        <w:t>The Special Educational Needs and Disability Code of Practice: 0 to 25 years (Jan 2015)</w:t>
      </w:r>
    </w:p>
    <w:p w14:paraId="0018C5DD" w14:textId="77777777" w:rsidR="00AF04A4" w:rsidRDefault="00000000">
      <w:r>
        <w:t>These frameworks mandate that admissions authorities must not discriminate against or disadvantage children applying for a place based on protected characteristics or special educational needs or disabilities (SEND).</w:t>
      </w:r>
    </w:p>
    <w:p w14:paraId="516B5CC4" w14:textId="77777777" w:rsidR="00AF04A4" w:rsidRDefault="00000000">
      <w:pPr>
        <w:pStyle w:val="Heading2"/>
      </w:pPr>
      <w:r>
        <w:t>2. Aims and Principles</w:t>
      </w:r>
    </w:p>
    <w:p w14:paraId="1ED2AEDD" w14:textId="77777777" w:rsidR="00AF04A4" w:rsidRDefault="00000000">
      <w:pPr>
        <w:pStyle w:val="Heading3"/>
      </w:pPr>
      <w:r>
        <w:t>Equality and Inclusion</w:t>
      </w:r>
    </w:p>
    <w:p w14:paraId="138B055E" w14:textId="77777777" w:rsidR="00AF04A4" w:rsidRDefault="00000000">
      <w:r>
        <w:t xml:space="preserve">We are committed to equal opportunities for all members of the school community and to ensuring that admission practices do not disadvantage any group or individual. The school </w:t>
      </w:r>
      <w:r>
        <w:lastRenderedPageBreak/>
        <w:t>complies fully with the Equality Act 2010 in relation to disability, gender reassignment, pregnancy and maternity, race, religion or belief, sex, and sexual orientation.</w:t>
      </w:r>
    </w:p>
    <w:p w14:paraId="575999A6" w14:textId="77777777" w:rsidR="00AF04A4" w:rsidRDefault="00000000">
      <w:pPr>
        <w:pStyle w:val="Heading3"/>
      </w:pPr>
      <w:r>
        <w:t>Transparency and Fairness</w:t>
      </w:r>
    </w:p>
    <w:p w14:paraId="23685F7B" w14:textId="77777777" w:rsidR="00AF04A4" w:rsidRDefault="00000000">
      <w:r>
        <w:t>Our admissions process is designed to be clear and easy to understand. Places are allocated strictly according to the published admissions criteria, and all applicants are treated consistently and fairly.</w:t>
      </w:r>
    </w:p>
    <w:p w14:paraId="7623B3EB" w14:textId="77777777" w:rsidR="00AF04A4" w:rsidRDefault="00000000">
      <w:pPr>
        <w:pStyle w:val="Heading3"/>
      </w:pPr>
      <w:r>
        <w:t>Parental Choice</w:t>
      </w:r>
    </w:p>
    <w:p w14:paraId="52BA2E17" w14:textId="77777777" w:rsidR="00AF04A4" w:rsidRDefault="00000000">
      <w:r>
        <w:t>We support the right of parents to express a preference for the school they wish their child to attend. Where the school is oversubscribed, places will be allocated in accordance with the oversubscription criteria set out in this document.</w:t>
      </w:r>
    </w:p>
    <w:p w14:paraId="4B86FB9A" w14:textId="77777777" w:rsidR="00AF04A4" w:rsidRDefault="00000000">
      <w:pPr>
        <w:pStyle w:val="Heading2"/>
      </w:pPr>
      <w:r>
        <w:t>3. Scope of the Policy</w:t>
      </w:r>
    </w:p>
    <w:p w14:paraId="146F1538" w14:textId="77777777" w:rsidR="00AF04A4" w:rsidRDefault="00000000">
      <w:pPr>
        <w:pStyle w:val="Heading3"/>
      </w:pPr>
      <w:r>
        <w:t>Type of School</w:t>
      </w:r>
    </w:p>
    <w:p w14:paraId="048DC9C2" w14:textId="77777777" w:rsidR="00AF04A4" w:rsidRDefault="00000000">
      <w:r>
        <w:t>This policy applies to [insert school name], which is a [state category: e.g., community, foundation, voluntary aided, academy or free school]. The school is its own admissions authority/local authority is the admissions authority [delete as appropriate].</w:t>
      </w:r>
    </w:p>
    <w:p w14:paraId="4E81C4BC" w14:textId="77777777" w:rsidR="00AF04A4" w:rsidRDefault="00000000">
      <w:pPr>
        <w:pStyle w:val="Heading3"/>
      </w:pPr>
      <w:r>
        <w:t>Age Range and Year Groups</w:t>
      </w:r>
    </w:p>
    <w:p w14:paraId="63652F0B" w14:textId="77777777" w:rsidR="00AF04A4" w:rsidRDefault="00000000">
      <w:r>
        <w:t xml:space="preserve">The school accepts applications for pupils in the following </w:t>
      </w:r>
      <w:proofErr w:type="gramStart"/>
      <w:r>
        <w:t>year</w:t>
      </w:r>
      <w:proofErr w:type="gramEnd"/>
      <w:r>
        <w:t xml:space="preserve"> groups:</w:t>
      </w:r>
    </w:p>
    <w:p w14:paraId="3BCAB587" w14:textId="69282F94" w:rsidR="00AF04A4" w:rsidRDefault="00AF04A4" w:rsidP="00F44C8B">
      <w:pPr>
        <w:ind w:left="720"/>
      </w:pPr>
    </w:p>
    <w:p w14:paraId="6AA2D189" w14:textId="036478B4" w:rsidR="00AF04A4" w:rsidRDefault="00000000">
      <w:pPr>
        <w:numPr>
          <w:ilvl w:val="0"/>
          <w:numId w:val="2"/>
        </w:numPr>
      </w:pPr>
      <w:r>
        <w:t xml:space="preserve">Year </w:t>
      </w:r>
      <w:r w:rsidR="00F44C8B">
        <w:t>3</w:t>
      </w:r>
      <w:r>
        <w:t xml:space="preserve"> to Year 6</w:t>
      </w:r>
    </w:p>
    <w:p w14:paraId="034D5847" w14:textId="1FA533F1" w:rsidR="00AF04A4" w:rsidRDefault="00000000">
      <w:pPr>
        <w:numPr>
          <w:ilvl w:val="0"/>
          <w:numId w:val="2"/>
        </w:numPr>
      </w:pPr>
      <w:r>
        <w:t xml:space="preserve">Year 7 to Year </w:t>
      </w:r>
      <w:r w:rsidR="00F44C8B">
        <w:t>9</w:t>
      </w:r>
      <w:r>
        <w:t xml:space="preserve"> </w:t>
      </w:r>
    </w:p>
    <w:p w14:paraId="446FCD42" w14:textId="77777777" w:rsidR="00AF04A4" w:rsidRDefault="00000000">
      <w:pPr>
        <w:pStyle w:val="Heading3"/>
      </w:pPr>
      <w:r>
        <w:t>Catchment Area (if applicable)</w:t>
      </w:r>
    </w:p>
    <w:p w14:paraId="102225CF" w14:textId="77777777" w:rsidR="00AF04A4" w:rsidRDefault="00000000">
      <w:r>
        <w:t>Where applicable, priority will be given to pupils residing within a defined catchment area. A map of the catchment area is available on the school website and from the school office upon request.</w:t>
      </w:r>
    </w:p>
    <w:p w14:paraId="09113EF5" w14:textId="77777777" w:rsidR="00AF04A4" w:rsidRDefault="00000000">
      <w:pPr>
        <w:pStyle w:val="Heading2"/>
      </w:pPr>
      <w:r>
        <w:t>4. Admission Arrangements</w:t>
      </w:r>
    </w:p>
    <w:p w14:paraId="75A8FECA" w14:textId="77777777" w:rsidR="00AF04A4" w:rsidRDefault="00000000">
      <w:pPr>
        <w:pStyle w:val="Heading3"/>
      </w:pPr>
      <w:r>
        <w:t>Published Admission Number (PAN)</w:t>
      </w:r>
    </w:p>
    <w:p w14:paraId="6F4377A7" w14:textId="53AA1EDF" w:rsidR="00AF04A4" w:rsidRDefault="00000000">
      <w:r>
        <w:lastRenderedPageBreak/>
        <w:t xml:space="preserve">The school has a published admission number (PAN) of </w:t>
      </w:r>
      <w:r w:rsidR="00F44C8B">
        <w:t>32</w:t>
      </w:r>
      <w:r>
        <w:t xml:space="preserve"> for entry into [insert relevant year group]. This is the maximum number of pupils that will be admitted to that </w:t>
      </w:r>
      <w:proofErr w:type="gramStart"/>
      <w:r>
        <w:t>year</w:t>
      </w:r>
      <w:proofErr w:type="gramEnd"/>
      <w:r>
        <w:t xml:space="preserve"> group during the normal admissions round.</w:t>
      </w:r>
    </w:p>
    <w:p w14:paraId="0A522DA5" w14:textId="77777777" w:rsidR="00AF04A4" w:rsidRDefault="00000000">
      <w:pPr>
        <w:pStyle w:val="Heading3"/>
      </w:pPr>
      <w:r>
        <w:t>Oversubscription Criteria</w:t>
      </w:r>
    </w:p>
    <w:p w14:paraId="0DADBCAE" w14:textId="77777777" w:rsidR="00AF04A4" w:rsidRDefault="00000000">
      <w:r>
        <w:t>When the number of applications exceeds the number of available places, the following oversubscription criteria will be applied in order:</w:t>
      </w:r>
    </w:p>
    <w:p w14:paraId="5D2C195B" w14:textId="77777777" w:rsidR="00AF04A4" w:rsidRDefault="00000000">
      <w:pPr>
        <w:numPr>
          <w:ilvl w:val="0"/>
          <w:numId w:val="3"/>
        </w:numPr>
      </w:pPr>
      <w:r>
        <w:rPr>
          <w:b/>
          <w:bCs/>
        </w:rPr>
        <w:t>Looked after children and previously looked after children</w:t>
      </w:r>
      <w:r>
        <w:t xml:space="preserve"> – Children who are in the care of a local authority or were previously and then adopted or placed under a special guardianship or residence order (as required by para 1.7 of the School Admissions Code 2021).</w:t>
      </w:r>
    </w:p>
    <w:p w14:paraId="7FD59019" w14:textId="77777777" w:rsidR="00AF04A4" w:rsidRDefault="00000000">
      <w:pPr>
        <w:numPr>
          <w:ilvl w:val="0"/>
          <w:numId w:val="3"/>
        </w:numPr>
      </w:pPr>
      <w:r>
        <w:rPr>
          <w:b/>
          <w:bCs/>
        </w:rPr>
        <w:t>Children with exceptional medical or social needs</w:t>
      </w:r>
      <w:r>
        <w:t xml:space="preserve"> – Applications must be supported by relevant professional documentation and will be considered on a case-by-case basis by the admissions panel.</w:t>
      </w:r>
    </w:p>
    <w:p w14:paraId="3F05F955" w14:textId="77777777" w:rsidR="00AF04A4" w:rsidRDefault="00000000">
      <w:pPr>
        <w:numPr>
          <w:ilvl w:val="0"/>
          <w:numId w:val="3"/>
        </w:numPr>
      </w:pPr>
      <w:r>
        <w:rPr>
          <w:b/>
          <w:bCs/>
        </w:rPr>
        <w:t>Siblings already at the school</w:t>
      </w:r>
      <w:r>
        <w:t xml:space="preserve"> – Children with a sibling on roll at the school at the time of application and who will still be on roll at the date of admission.</w:t>
      </w:r>
    </w:p>
    <w:p w14:paraId="633AFB3B" w14:textId="77777777" w:rsidR="00AF04A4" w:rsidRDefault="00000000">
      <w:pPr>
        <w:numPr>
          <w:ilvl w:val="0"/>
          <w:numId w:val="3"/>
        </w:numPr>
      </w:pPr>
      <w:r>
        <w:rPr>
          <w:b/>
          <w:bCs/>
        </w:rPr>
        <w:t>Children living in the catchment area</w:t>
      </w:r>
      <w:r>
        <w:t xml:space="preserve"> – Priority will be given to applicants residing within the specified catchment area.</w:t>
      </w:r>
    </w:p>
    <w:p w14:paraId="68C4FFF7" w14:textId="77777777" w:rsidR="00AF04A4" w:rsidRDefault="00000000">
      <w:pPr>
        <w:numPr>
          <w:ilvl w:val="0"/>
          <w:numId w:val="3"/>
        </w:numPr>
      </w:pPr>
      <w:r>
        <w:rPr>
          <w:b/>
          <w:bCs/>
        </w:rPr>
        <w:t>Children attending a named feeder school</w:t>
      </w:r>
      <w:r>
        <w:t xml:space="preserve"> – Where applicable.</w:t>
      </w:r>
    </w:p>
    <w:p w14:paraId="689C9865" w14:textId="77777777" w:rsidR="00AF04A4" w:rsidRDefault="00000000">
      <w:pPr>
        <w:numPr>
          <w:ilvl w:val="0"/>
          <w:numId w:val="3"/>
        </w:numPr>
      </w:pPr>
      <w:r>
        <w:rPr>
          <w:b/>
          <w:bCs/>
        </w:rPr>
        <w:t>Distance from the school</w:t>
      </w:r>
      <w:r>
        <w:t xml:space="preserve"> – Priority will be given to children who live closest to the school, measured as a straight-line distance from the home address to the main school gate or entrance.</w:t>
      </w:r>
    </w:p>
    <w:p w14:paraId="5A8F4995" w14:textId="77777777" w:rsidR="00AF04A4" w:rsidRDefault="00000000">
      <w:pPr>
        <w:pStyle w:val="Heading3"/>
      </w:pPr>
      <w:proofErr w:type="gramStart"/>
      <w:r>
        <w:t>Tie-Breakers</w:t>
      </w:r>
      <w:proofErr w:type="gramEnd"/>
    </w:p>
    <w:p w14:paraId="4606D2BD" w14:textId="77777777" w:rsidR="00AF04A4" w:rsidRDefault="00000000">
      <w:r>
        <w:t>If the school is oversubscribed within any of the above categories, priority will be given to children living nearest the school, measured in a straight line from the school address to the child's home.</w:t>
      </w:r>
    </w:p>
    <w:p w14:paraId="22EC94EE" w14:textId="77777777" w:rsidR="00AF04A4" w:rsidRDefault="00000000">
      <w:pPr>
        <w:pStyle w:val="Heading2"/>
      </w:pPr>
      <w:r>
        <w:t>5. Coordination of Admissions</w:t>
      </w:r>
    </w:p>
    <w:p w14:paraId="691A43F4" w14:textId="77777777" w:rsidR="00AF04A4" w:rsidRDefault="00000000">
      <w:pPr>
        <w:pStyle w:val="Heading3"/>
      </w:pPr>
      <w:r>
        <w:t>Normal Admissions Round</w:t>
      </w:r>
    </w:p>
    <w:p w14:paraId="2FADCB26" w14:textId="77777777" w:rsidR="00AF04A4" w:rsidRDefault="00000000">
      <w:r>
        <w:t>Applications for entry into the Reception Year [or Year 7 for secondary] must be made through the local authority's coordinated admissions process. The relevant local authority guide and website will contain timelines and instructions.</w:t>
      </w:r>
    </w:p>
    <w:p w14:paraId="30F5660F" w14:textId="77777777" w:rsidR="00F44C8B" w:rsidRDefault="00F44C8B"/>
    <w:p w14:paraId="39572CAC" w14:textId="77777777" w:rsidR="00AF04A4" w:rsidRDefault="00000000">
      <w:pPr>
        <w:pStyle w:val="Heading3"/>
      </w:pPr>
      <w:r>
        <w:lastRenderedPageBreak/>
        <w:t>In-Year Admissions</w:t>
      </w:r>
    </w:p>
    <w:p w14:paraId="6059A158" w14:textId="77777777" w:rsidR="00AF04A4" w:rsidRDefault="00000000">
      <w:r>
        <w:t>For applications during the academic year (i.e., outside the normal admissions round), parents should contact the school directly or the local authority, depending on who acts as the admissions authority. In all cases, completed in-year admission forms and evidence of residence must be submitted.</w:t>
      </w:r>
    </w:p>
    <w:p w14:paraId="698F8528" w14:textId="77777777" w:rsidR="00AF04A4" w:rsidRDefault="00000000">
      <w:pPr>
        <w:pStyle w:val="Heading3"/>
      </w:pPr>
      <w:r>
        <w:t>Waiting Lists</w:t>
      </w:r>
    </w:p>
    <w:p w14:paraId="41F447B7" w14:textId="77777777" w:rsidR="00AF04A4" w:rsidRDefault="00000000">
      <w:r>
        <w:t>Children who have not been offered a place will be placed on a waiting list ranked in accordance with the oversubscription criteria. The waiting list will be maintained until [specify, e.g., end of the academic year], and places will be reallocated if they become available.</w:t>
      </w:r>
    </w:p>
    <w:p w14:paraId="53701ECE" w14:textId="77777777" w:rsidR="00AF04A4" w:rsidRDefault="00000000">
      <w:pPr>
        <w:pStyle w:val="Heading2"/>
      </w:pPr>
      <w:r>
        <w:t>6. Right of Appeal</w:t>
      </w:r>
    </w:p>
    <w:p w14:paraId="0F5AB12F" w14:textId="77777777" w:rsidR="00AF04A4" w:rsidRDefault="00000000">
      <w:r>
        <w:t>If an application for admission is unsuccessful, parents have the legal right to appeal the decision. Appeals will be heard by an independent panel in accordance with the School Admission Appeals Code (2022). Appeal requests must be submitted in writing and within the timeframe outlined on the school's or local authority's website.</w:t>
      </w:r>
    </w:p>
    <w:p w14:paraId="254C2494" w14:textId="77777777" w:rsidR="00AF04A4" w:rsidRDefault="00000000">
      <w:r>
        <w:t>Details about deadlines, documentation requirements, and the appeals timetable will be made available annually on the school website.</w:t>
      </w:r>
    </w:p>
    <w:p w14:paraId="752406B2" w14:textId="77777777" w:rsidR="00AF04A4" w:rsidRDefault="00000000">
      <w:pPr>
        <w:pStyle w:val="Heading2"/>
      </w:pPr>
      <w:r>
        <w:t>7. Children with Special Educational Needs and Disabilities (SEND)</w:t>
      </w:r>
    </w:p>
    <w:p w14:paraId="0221DF11" w14:textId="77777777" w:rsidR="00AF04A4" w:rsidRDefault="00000000">
      <w:pPr>
        <w:pStyle w:val="Heading3"/>
      </w:pPr>
      <w:r>
        <w:t>Children with an Education, Health and Care Plan</w:t>
      </w:r>
    </w:p>
    <w:p w14:paraId="68774127" w14:textId="77777777" w:rsidR="00AF04A4" w:rsidRDefault="00000000">
      <w:r>
        <w:t>Children with an Education, Health and Care (EHC) Plan that names the school will be admitted without reference to the oversubscription criteria. Admission is arranged by the local authority in consultation with the school.</w:t>
      </w:r>
    </w:p>
    <w:p w14:paraId="420B54EE" w14:textId="77777777" w:rsidR="00AF04A4" w:rsidRDefault="00000000">
      <w:pPr>
        <w:pStyle w:val="Heading3"/>
      </w:pPr>
      <w:r>
        <w:t>Support for SEND Applicants</w:t>
      </w:r>
    </w:p>
    <w:p w14:paraId="47C5FE2F" w14:textId="77777777" w:rsidR="00AF04A4" w:rsidRDefault="00000000">
      <w:r>
        <w:t>Applicants with SEND who do not have an EHC Plan will be considered alongside all other applications using the oversubscription criteria. Reasonable adjustments will be made to support access and participation during the application and transition process.</w:t>
      </w:r>
    </w:p>
    <w:p w14:paraId="11B5351B" w14:textId="77777777" w:rsidR="00AF04A4" w:rsidRDefault="00000000">
      <w:r>
        <w:t>The school is committed to working with parents and local agencies to ensure appropriate support is in place.</w:t>
      </w:r>
    </w:p>
    <w:p w14:paraId="641155E1" w14:textId="77777777" w:rsidR="00F44C8B" w:rsidRDefault="00F44C8B"/>
    <w:p w14:paraId="6FC31317" w14:textId="77777777" w:rsidR="00AF04A4" w:rsidRDefault="00000000">
      <w:pPr>
        <w:pStyle w:val="Heading2"/>
      </w:pPr>
      <w:r>
        <w:lastRenderedPageBreak/>
        <w:t>8. Fair Access Protocol</w:t>
      </w:r>
    </w:p>
    <w:p w14:paraId="29C041BB" w14:textId="77777777" w:rsidR="00AF04A4" w:rsidRDefault="00000000">
      <w:r>
        <w:t xml:space="preserve">We participate in the local authority’s Fair Access Protocol. This ensures that unplaced children, especially the most vulnerable, are offered a place at a suitable school as quickly as possible. Pupils admitted under this protocol may be </w:t>
      </w:r>
      <w:proofErr w:type="spellStart"/>
      <w:r>
        <w:t>prioritised</w:t>
      </w:r>
      <w:proofErr w:type="spellEnd"/>
      <w:r>
        <w:t xml:space="preserve"> for admission, even if the school is full.</w:t>
      </w:r>
    </w:p>
    <w:p w14:paraId="21F380F2" w14:textId="4FA07D45" w:rsidR="00AF04A4" w:rsidRDefault="00F44C8B">
      <w:pPr>
        <w:pStyle w:val="Heading2"/>
      </w:pPr>
      <w:r>
        <w:t>9. Policy Review and Monitoring</w:t>
      </w:r>
    </w:p>
    <w:p w14:paraId="15A676A5" w14:textId="77777777" w:rsidR="00AF04A4" w:rsidRDefault="00000000">
      <w:pPr>
        <w:pStyle w:val="Heading3"/>
      </w:pPr>
      <w:r>
        <w:t>Review Cycle</w:t>
      </w:r>
    </w:p>
    <w:p w14:paraId="2E224A4B" w14:textId="77777777" w:rsidR="00AF04A4" w:rsidRDefault="00000000">
      <w:r>
        <w:t>This policy will be reviewed annually by the governing body or trust board and updated where necessary to reflect statutory guidance and best practice.</w:t>
      </w:r>
    </w:p>
    <w:p w14:paraId="7488FB7B" w14:textId="77777777" w:rsidR="00AF04A4" w:rsidRDefault="00000000">
      <w:pPr>
        <w:pStyle w:val="Heading3"/>
      </w:pPr>
      <w:r>
        <w:t>Consultation Requirements</w:t>
      </w:r>
    </w:p>
    <w:p w14:paraId="46248E87" w14:textId="77777777" w:rsidR="00AF04A4" w:rsidRDefault="00000000">
      <w:r>
        <w:t>In accordance with paragraph 1.42 of the School Admissions Code (2021), the admission authority will consult on the admissions arrangements at least once every seven years, or more frequently if any changes are proposed. Consultation will last for a minimum of six weeks and will include:</w:t>
      </w:r>
    </w:p>
    <w:p w14:paraId="037C99CD" w14:textId="77777777" w:rsidR="00AF04A4" w:rsidRDefault="00000000">
      <w:pPr>
        <w:numPr>
          <w:ilvl w:val="0"/>
          <w:numId w:val="5"/>
        </w:numPr>
      </w:pPr>
      <w:r>
        <w:t>Parents and carers of children between the ages of two and 18</w:t>
      </w:r>
    </w:p>
    <w:p w14:paraId="5E250F42" w14:textId="77777777" w:rsidR="00AF04A4" w:rsidRDefault="00000000">
      <w:pPr>
        <w:numPr>
          <w:ilvl w:val="0"/>
          <w:numId w:val="5"/>
        </w:numPr>
      </w:pPr>
      <w:r>
        <w:t>Other schools in the area</w:t>
      </w:r>
    </w:p>
    <w:p w14:paraId="4EC7433F" w14:textId="77777777" w:rsidR="00AF04A4" w:rsidRDefault="00000000">
      <w:pPr>
        <w:numPr>
          <w:ilvl w:val="0"/>
          <w:numId w:val="5"/>
        </w:numPr>
      </w:pPr>
      <w:r>
        <w:t>The local authority</w:t>
      </w:r>
    </w:p>
    <w:p w14:paraId="4D6BB3C8" w14:textId="77777777" w:rsidR="00AF04A4" w:rsidRDefault="00000000">
      <w:pPr>
        <w:numPr>
          <w:ilvl w:val="0"/>
          <w:numId w:val="5"/>
        </w:numPr>
      </w:pPr>
      <w:r>
        <w:t>Diocesan bodies (where applicable)</w:t>
      </w:r>
    </w:p>
    <w:p w14:paraId="37DCEF13" w14:textId="2712D5F3" w:rsidR="00AF04A4" w:rsidRDefault="00000000">
      <w:pPr>
        <w:pStyle w:val="Heading2"/>
      </w:pPr>
      <w:r>
        <w:t>1</w:t>
      </w:r>
      <w:r w:rsidR="00F44C8B">
        <w:t>0</w:t>
      </w:r>
      <w:r>
        <w:t>. Publication and Accessibility</w:t>
      </w:r>
    </w:p>
    <w:p w14:paraId="31CC8990" w14:textId="77777777" w:rsidR="00AF04A4" w:rsidRDefault="00000000">
      <w:pPr>
        <w:pStyle w:val="Heading3"/>
      </w:pPr>
      <w:r>
        <w:t>Availability of Policy</w:t>
      </w:r>
    </w:p>
    <w:p w14:paraId="0EC6351A" w14:textId="77777777" w:rsidR="00AF04A4" w:rsidRDefault="00000000">
      <w:r>
        <w:t>This policy is published on the school website in line with the DfE’s guidance on statutory policies for schools (2022). Printed copies can also be obtained from the school office upon request.</w:t>
      </w:r>
    </w:p>
    <w:p w14:paraId="64EFED7A" w14:textId="77777777" w:rsidR="00AF04A4" w:rsidRDefault="00000000">
      <w:pPr>
        <w:pStyle w:val="Heading3"/>
      </w:pPr>
      <w:r>
        <w:t>Translation and Accessibility Requests</w:t>
      </w:r>
    </w:p>
    <w:p w14:paraId="637642A6" w14:textId="77777777" w:rsidR="00AF04A4" w:rsidRDefault="00000000">
      <w:r>
        <w:t>We are committed to making the policy accessible. Upon request, the admissions policy will be translated into other languages or offered in alternative formats (such as large print or audio) to meet the needs of applicants.</w:t>
      </w:r>
    </w:p>
    <w:p w14:paraId="4AE7D8A2" w14:textId="4708DBE5" w:rsidR="00AF04A4" w:rsidRDefault="00000000">
      <w:pPr>
        <w:pStyle w:val="Heading2"/>
      </w:pPr>
      <w:r>
        <w:t>1</w:t>
      </w:r>
      <w:r w:rsidR="00F44C8B">
        <w:t>1</w:t>
      </w:r>
      <w:r>
        <w:t>. Contact Information</w:t>
      </w:r>
    </w:p>
    <w:p w14:paraId="3B6EA222" w14:textId="77777777" w:rsidR="00AF04A4" w:rsidRDefault="00000000">
      <w:pPr>
        <w:pStyle w:val="Heading3"/>
      </w:pPr>
      <w:r>
        <w:lastRenderedPageBreak/>
        <w:t>School Admissions Contact</w:t>
      </w:r>
    </w:p>
    <w:p w14:paraId="1E4EBFAE" w14:textId="77777777" w:rsidR="00AF04A4" w:rsidRDefault="00000000">
      <w:r>
        <w:t>For further information about our admissions arrangements, please contact:</w:t>
      </w:r>
    </w:p>
    <w:p w14:paraId="4E1C3B12" w14:textId="20979629" w:rsidR="00AF04A4" w:rsidRDefault="00822D95">
      <w:r>
        <w:rPr>
          <w:b/>
          <w:bCs/>
        </w:rPr>
        <w:t>Paul Adams</w:t>
      </w:r>
      <w:r>
        <w:br/>
        <w:t>Admissions Officer</w:t>
      </w:r>
      <w:r>
        <w:br/>
        <w:t>Learn and Prosper School</w:t>
      </w:r>
      <w:r>
        <w:br/>
        <w:t>180 Old Road</w:t>
      </w:r>
      <w:r>
        <w:br/>
        <w:t>07747022549</w:t>
      </w:r>
      <w:r>
        <w:br/>
        <w:t>Paul.adams@learnandprosper.co.uk</w:t>
      </w:r>
    </w:p>
    <w:p w14:paraId="2C12F89B" w14:textId="77777777" w:rsidR="00AF04A4" w:rsidRDefault="00000000">
      <w:pPr>
        <w:pStyle w:val="Heading3"/>
      </w:pPr>
      <w:r>
        <w:t>Local Authority Admissions Team</w:t>
      </w:r>
    </w:p>
    <w:p w14:paraId="6ED82EB1" w14:textId="77777777" w:rsidR="00AF04A4" w:rsidRDefault="00000000">
      <w:r>
        <w:t>For coordinated admission enquiries, please contact:</w:t>
      </w:r>
    </w:p>
    <w:p w14:paraId="1B9BFEB1" w14:textId="77777777" w:rsidR="00822D95" w:rsidRDefault="00822D95">
      <w:r>
        <w:rPr>
          <w:b/>
          <w:bCs/>
        </w:rPr>
        <w:t>Essex County Council Children and Families</w:t>
      </w:r>
      <w:r>
        <w:br/>
        <w:t>E3 Zone 2 County Hall</w:t>
      </w:r>
    </w:p>
    <w:p w14:paraId="54CC5ABB" w14:textId="6B5449B1" w:rsidR="00822D95" w:rsidRDefault="00822D95">
      <w:r>
        <w:t>Chelmsford</w:t>
      </w:r>
    </w:p>
    <w:p w14:paraId="31229C08" w14:textId="77777777" w:rsidR="00822D95" w:rsidRDefault="00822D95">
      <w:r>
        <w:t>Essex</w:t>
      </w:r>
    </w:p>
    <w:p w14:paraId="76843B14" w14:textId="3D31E2E7" w:rsidR="00AF04A4" w:rsidRDefault="00822D95">
      <w:r>
        <w:t>CM1 1QH</w:t>
      </w:r>
      <w:r>
        <w:br/>
        <w:t>03330137485</w:t>
      </w:r>
      <w:r>
        <w:br/>
        <w:t>Helen.strutt@essex.gov.uk</w:t>
      </w:r>
    </w:p>
    <w:p w14:paraId="49DB54FE" w14:textId="77777777" w:rsidR="00AF04A4" w:rsidRDefault="00AF04A4">
      <w:pPr>
        <w:pBdr>
          <w:bottom w:val="single" w:sz="1" w:space="0" w:color="000000"/>
        </w:pBdr>
        <w:spacing w:before="120" w:line="240" w:lineRule="auto"/>
      </w:pPr>
    </w:p>
    <w:p w14:paraId="7E586F4F" w14:textId="77777777" w:rsidR="00AF04A4" w:rsidRDefault="00000000">
      <w:r>
        <w:rPr>
          <w:b/>
          <w:bCs/>
        </w:rPr>
        <w:t>Key References:</w:t>
      </w:r>
    </w:p>
    <w:p w14:paraId="21B31E24" w14:textId="77777777" w:rsidR="00AF04A4" w:rsidRDefault="00AF04A4">
      <w:pPr>
        <w:numPr>
          <w:ilvl w:val="0"/>
          <w:numId w:val="6"/>
        </w:numPr>
      </w:pPr>
      <w:hyperlink r:id="rId5" w:history="1">
        <w:r>
          <w:rPr>
            <w:color w:val="0000FF"/>
            <w:u w:val="single"/>
          </w:rPr>
          <w:t>DfE School Admissions Code (2021)</w:t>
        </w:r>
      </w:hyperlink>
    </w:p>
    <w:p w14:paraId="6F98090B" w14:textId="77777777" w:rsidR="00AF04A4" w:rsidRDefault="00AF04A4">
      <w:pPr>
        <w:numPr>
          <w:ilvl w:val="0"/>
          <w:numId w:val="6"/>
        </w:numPr>
      </w:pPr>
      <w:hyperlink r:id="rId6" w:history="1">
        <w:r>
          <w:rPr>
            <w:color w:val="0000FF"/>
            <w:u w:val="single"/>
          </w:rPr>
          <w:t>The Equality Act 2010: Guidance for Schools</w:t>
        </w:r>
      </w:hyperlink>
    </w:p>
    <w:p w14:paraId="369FCD27" w14:textId="77777777" w:rsidR="00AF04A4" w:rsidRDefault="00AF04A4">
      <w:pPr>
        <w:numPr>
          <w:ilvl w:val="0"/>
          <w:numId w:val="6"/>
        </w:numPr>
      </w:pPr>
      <w:hyperlink r:id="rId7" w:history="1">
        <w:r>
          <w:rPr>
            <w:color w:val="0000FF"/>
            <w:u w:val="single"/>
          </w:rPr>
          <w:t>Ofsted School Inspection Handbook (2023)</w:t>
        </w:r>
      </w:hyperlink>
    </w:p>
    <w:p w14:paraId="2B8E2936" w14:textId="77777777" w:rsidR="00AF04A4" w:rsidRDefault="00AF04A4">
      <w:pPr>
        <w:numPr>
          <w:ilvl w:val="0"/>
          <w:numId w:val="6"/>
        </w:numPr>
      </w:pPr>
      <w:hyperlink r:id="rId8" w:history="1">
        <w:r>
          <w:rPr>
            <w:color w:val="0000FF"/>
            <w:u w:val="single"/>
          </w:rPr>
          <w:t>SEND Code of Practice (2015)</w:t>
        </w:r>
      </w:hyperlink>
    </w:p>
    <w:p w14:paraId="07CFC082" w14:textId="77777777" w:rsidR="00AF04A4" w:rsidRDefault="00000000">
      <w:r>
        <w:t>This policy ensures compliance with statutory guidance and DfE expectations and reflects our commitment to fairness, clarity, and educational inclusion.</w:t>
      </w:r>
    </w:p>
    <w:sectPr w:rsidR="00AF04A4">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51975"/>
    <w:multiLevelType w:val="multilevel"/>
    <w:tmpl w:val="1CD470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A9B6DA5"/>
    <w:multiLevelType w:val="hybridMultilevel"/>
    <w:tmpl w:val="C56067BC"/>
    <w:lvl w:ilvl="0" w:tplc="32789C9C">
      <w:start w:val="1"/>
      <w:numFmt w:val="bullet"/>
      <w:lvlText w:val=""/>
      <w:lvlJc w:val="left"/>
      <w:pPr>
        <w:tabs>
          <w:tab w:val="num" w:pos="720"/>
        </w:tabs>
        <w:ind w:left="720" w:hanging="360"/>
      </w:pPr>
      <w:rPr>
        <w:rFonts w:ascii="Symbol" w:hAnsi="Symbol" w:cs="Symbol" w:hint="default"/>
      </w:rPr>
    </w:lvl>
    <w:lvl w:ilvl="1" w:tplc="95542422">
      <w:start w:val="1"/>
      <w:numFmt w:val="bullet"/>
      <w:lvlText w:val="o"/>
      <w:lvlJc w:val="left"/>
      <w:pPr>
        <w:tabs>
          <w:tab w:val="num" w:pos="1440"/>
        </w:tabs>
        <w:ind w:left="1440" w:hanging="360"/>
      </w:pPr>
      <w:rPr>
        <w:rFonts w:ascii="Courier New" w:hAnsi="Courier New" w:cs="Courier New" w:hint="default"/>
      </w:rPr>
    </w:lvl>
    <w:lvl w:ilvl="2" w:tplc="95C4268E">
      <w:start w:val="1"/>
      <w:numFmt w:val="bullet"/>
      <w:lvlText w:val=""/>
      <w:lvlJc w:val="left"/>
      <w:pPr>
        <w:tabs>
          <w:tab w:val="num" w:pos="2160"/>
        </w:tabs>
        <w:ind w:left="2160" w:hanging="360"/>
      </w:pPr>
      <w:rPr>
        <w:rFonts w:ascii="Wingdings" w:hAnsi="Wingdings" w:cs="Wingdings" w:hint="default"/>
      </w:rPr>
    </w:lvl>
    <w:lvl w:ilvl="3" w:tplc="687E0EFE">
      <w:start w:val="1"/>
      <w:numFmt w:val="bullet"/>
      <w:lvlText w:val=""/>
      <w:lvlJc w:val="left"/>
      <w:pPr>
        <w:tabs>
          <w:tab w:val="num" w:pos="2880"/>
        </w:tabs>
        <w:ind w:left="2880" w:hanging="360"/>
      </w:pPr>
      <w:rPr>
        <w:rFonts w:ascii="Symbol" w:hAnsi="Symbol" w:cs="Symbol" w:hint="default"/>
      </w:rPr>
    </w:lvl>
    <w:lvl w:ilvl="4" w:tplc="6A6C4C86">
      <w:start w:val="1"/>
      <w:numFmt w:val="bullet"/>
      <w:lvlText w:val="o"/>
      <w:lvlJc w:val="left"/>
      <w:pPr>
        <w:tabs>
          <w:tab w:val="num" w:pos="3600"/>
        </w:tabs>
        <w:ind w:left="3600" w:hanging="360"/>
      </w:pPr>
      <w:rPr>
        <w:rFonts w:ascii="Courier New" w:hAnsi="Courier New" w:cs="Courier New" w:hint="default"/>
      </w:rPr>
    </w:lvl>
    <w:lvl w:ilvl="5" w:tplc="3CDAED5E">
      <w:start w:val="1"/>
      <w:numFmt w:val="bullet"/>
      <w:lvlText w:val=""/>
      <w:lvlJc w:val="left"/>
      <w:pPr>
        <w:tabs>
          <w:tab w:val="num" w:pos="4320"/>
        </w:tabs>
        <w:ind w:left="4320" w:hanging="360"/>
      </w:pPr>
      <w:rPr>
        <w:rFonts w:ascii="Wingdings" w:hAnsi="Wingdings" w:cs="Wingdings" w:hint="default"/>
      </w:rPr>
    </w:lvl>
    <w:lvl w:ilvl="6" w:tplc="EBF6F47C">
      <w:start w:val="1"/>
      <w:numFmt w:val="bullet"/>
      <w:lvlText w:val=""/>
      <w:lvlJc w:val="left"/>
      <w:pPr>
        <w:tabs>
          <w:tab w:val="num" w:pos="5040"/>
        </w:tabs>
        <w:ind w:left="5040" w:hanging="360"/>
      </w:pPr>
      <w:rPr>
        <w:rFonts w:ascii="Symbol" w:hAnsi="Symbol" w:cs="Symbol" w:hint="default"/>
      </w:rPr>
    </w:lvl>
    <w:lvl w:ilvl="7" w:tplc="BA0C00F4">
      <w:start w:val="1"/>
      <w:numFmt w:val="bullet"/>
      <w:lvlText w:val="o"/>
      <w:lvlJc w:val="left"/>
      <w:pPr>
        <w:tabs>
          <w:tab w:val="num" w:pos="5760"/>
        </w:tabs>
        <w:ind w:left="5760" w:hanging="360"/>
      </w:pPr>
      <w:rPr>
        <w:rFonts w:ascii="Courier New" w:hAnsi="Courier New" w:cs="Courier New" w:hint="default"/>
      </w:rPr>
    </w:lvl>
    <w:lvl w:ilvl="8" w:tplc="CAFEFE4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441F06B"/>
    <w:multiLevelType w:val="hybridMultilevel"/>
    <w:tmpl w:val="2EF0F7FE"/>
    <w:lvl w:ilvl="0" w:tplc="6D9A460E">
      <w:start w:val="1"/>
      <w:numFmt w:val="bullet"/>
      <w:lvlText w:val=""/>
      <w:lvlJc w:val="left"/>
      <w:pPr>
        <w:tabs>
          <w:tab w:val="num" w:pos="720"/>
        </w:tabs>
        <w:ind w:left="720" w:hanging="360"/>
      </w:pPr>
      <w:rPr>
        <w:rFonts w:ascii="Symbol" w:hAnsi="Symbol" w:cs="Symbol" w:hint="default"/>
      </w:rPr>
    </w:lvl>
    <w:lvl w:ilvl="1" w:tplc="FA68F9B4">
      <w:start w:val="1"/>
      <w:numFmt w:val="bullet"/>
      <w:lvlText w:val="o"/>
      <w:lvlJc w:val="left"/>
      <w:pPr>
        <w:tabs>
          <w:tab w:val="num" w:pos="1440"/>
        </w:tabs>
        <w:ind w:left="1440" w:hanging="360"/>
      </w:pPr>
      <w:rPr>
        <w:rFonts w:ascii="Courier New" w:hAnsi="Courier New" w:cs="Courier New" w:hint="default"/>
      </w:rPr>
    </w:lvl>
    <w:lvl w:ilvl="2" w:tplc="2C82BB2A">
      <w:start w:val="1"/>
      <w:numFmt w:val="bullet"/>
      <w:lvlText w:val=""/>
      <w:lvlJc w:val="left"/>
      <w:pPr>
        <w:tabs>
          <w:tab w:val="num" w:pos="2160"/>
        </w:tabs>
        <w:ind w:left="2160" w:hanging="360"/>
      </w:pPr>
      <w:rPr>
        <w:rFonts w:ascii="Wingdings" w:hAnsi="Wingdings" w:cs="Wingdings" w:hint="default"/>
      </w:rPr>
    </w:lvl>
    <w:lvl w:ilvl="3" w:tplc="E1621C1C">
      <w:start w:val="1"/>
      <w:numFmt w:val="bullet"/>
      <w:lvlText w:val=""/>
      <w:lvlJc w:val="left"/>
      <w:pPr>
        <w:tabs>
          <w:tab w:val="num" w:pos="2880"/>
        </w:tabs>
        <w:ind w:left="2880" w:hanging="360"/>
      </w:pPr>
      <w:rPr>
        <w:rFonts w:ascii="Symbol" w:hAnsi="Symbol" w:cs="Symbol" w:hint="default"/>
      </w:rPr>
    </w:lvl>
    <w:lvl w:ilvl="4" w:tplc="D04C8D1A">
      <w:start w:val="1"/>
      <w:numFmt w:val="bullet"/>
      <w:lvlText w:val="o"/>
      <w:lvlJc w:val="left"/>
      <w:pPr>
        <w:tabs>
          <w:tab w:val="num" w:pos="3600"/>
        </w:tabs>
        <w:ind w:left="3600" w:hanging="360"/>
      </w:pPr>
      <w:rPr>
        <w:rFonts w:ascii="Courier New" w:hAnsi="Courier New" w:cs="Courier New" w:hint="default"/>
      </w:rPr>
    </w:lvl>
    <w:lvl w:ilvl="5" w:tplc="A57AAD2A">
      <w:start w:val="1"/>
      <w:numFmt w:val="bullet"/>
      <w:lvlText w:val=""/>
      <w:lvlJc w:val="left"/>
      <w:pPr>
        <w:tabs>
          <w:tab w:val="num" w:pos="4320"/>
        </w:tabs>
        <w:ind w:left="4320" w:hanging="360"/>
      </w:pPr>
      <w:rPr>
        <w:rFonts w:ascii="Wingdings" w:hAnsi="Wingdings" w:cs="Wingdings" w:hint="default"/>
      </w:rPr>
    </w:lvl>
    <w:lvl w:ilvl="6" w:tplc="9E8283C8">
      <w:start w:val="1"/>
      <w:numFmt w:val="bullet"/>
      <w:lvlText w:val=""/>
      <w:lvlJc w:val="left"/>
      <w:pPr>
        <w:tabs>
          <w:tab w:val="num" w:pos="5040"/>
        </w:tabs>
        <w:ind w:left="5040" w:hanging="360"/>
      </w:pPr>
      <w:rPr>
        <w:rFonts w:ascii="Symbol" w:hAnsi="Symbol" w:cs="Symbol" w:hint="default"/>
      </w:rPr>
    </w:lvl>
    <w:lvl w:ilvl="7" w:tplc="2AB6F3E6">
      <w:start w:val="1"/>
      <w:numFmt w:val="bullet"/>
      <w:lvlText w:val="o"/>
      <w:lvlJc w:val="left"/>
      <w:pPr>
        <w:tabs>
          <w:tab w:val="num" w:pos="5760"/>
        </w:tabs>
        <w:ind w:left="5760" w:hanging="360"/>
      </w:pPr>
      <w:rPr>
        <w:rFonts w:ascii="Courier New" w:hAnsi="Courier New" w:cs="Courier New" w:hint="default"/>
      </w:rPr>
    </w:lvl>
    <w:lvl w:ilvl="8" w:tplc="82187B4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11C6159"/>
    <w:multiLevelType w:val="multilevel"/>
    <w:tmpl w:val="A76696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7E0EF1E"/>
    <w:multiLevelType w:val="hybridMultilevel"/>
    <w:tmpl w:val="AAF89986"/>
    <w:lvl w:ilvl="0" w:tplc="55ECA312">
      <w:start w:val="1"/>
      <w:numFmt w:val="bullet"/>
      <w:lvlText w:val=""/>
      <w:lvlJc w:val="left"/>
      <w:pPr>
        <w:tabs>
          <w:tab w:val="num" w:pos="720"/>
        </w:tabs>
        <w:ind w:left="720" w:hanging="360"/>
      </w:pPr>
      <w:rPr>
        <w:rFonts w:ascii="Symbol" w:hAnsi="Symbol" w:cs="Symbol" w:hint="default"/>
      </w:rPr>
    </w:lvl>
    <w:lvl w:ilvl="1" w:tplc="7B6EC936">
      <w:start w:val="1"/>
      <w:numFmt w:val="bullet"/>
      <w:lvlText w:val="o"/>
      <w:lvlJc w:val="left"/>
      <w:pPr>
        <w:tabs>
          <w:tab w:val="num" w:pos="1440"/>
        </w:tabs>
        <w:ind w:left="1440" w:hanging="360"/>
      </w:pPr>
      <w:rPr>
        <w:rFonts w:ascii="Courier New" w:hAnsi="Courier New" w:cs="Courier New" w:hint="default"/>
      </w:rPr>
    </w:lvl>
    <w:lvl w:ilvl="2" w:tplc="C01C6DF6">
      <w:start w:val="1"/>
      <w:numFmt w:val="bullet"/>
      <w:lvlText w:val=""/>
      <w:lvlJc w:val="left"/>
      <w:pPr>
        <w:tabs>
          <w:tab w:val="num" w:pos="2160"/>
        </w:tabs>
        <w:ind w:left="2160" w:hanging="360"/>
      </w:pPr>
      <w:rPr>
        <w:rFonts w:ascii="Wingdings" w:hAnsi="Wingdings" w:cs="Wingdings" w:hint="default"/>
      </w:rPr>
    </w:lvl>
    <w:lvl w:ilvl="3" w:tplc="0EF4F162">
      <w:start w:val="1"/>
      <w:numFmt w:val="bullet"/>
      <w:lvlText w:val=""/>
      <w:lvlJc w:val="left"/>
      <w:pPr>
        <w:tabs>
          <w:tab w:val="num" w:pos="2880"/>
        </w:tabs>
        <w:ind w:left="2880" w:hanging="360"/>
      </w:pPr>
      <w:rPr>
        <w:rFonts w:ascii="Symbol" w:hAnsi="Symbol" w:cs="Symbol" w:hint="default"/>
      </w:rPr>
    </w:lvl>
    <w:lvl w:ilvl="4" w:tplc="EF7AAF80">
      <w:start w:val="1"/>
      <w:numFmt w:val="bullet"/>
      <w:lvlText w:val="o"/>
      <w:lvlJc w:val="left"/>
      <w:pPr>
        <w:tabs>
          <w:tab w:val="num" w:pos="3600"/>
        </w:tabs>
        <w:ind w:left="3600" w:hanging="360"/>
      </w:pPr>
      <w:rPr>
        <w:rFonts w:ascii="Courier New" w:hAnsi="Courier New" w:cs="Courier New" w:hint="default"/>
      </w:rPr>
    </w:lvl>
    <w:lvl w:ilvl="5" w:tplc="313411A2">
      <w:start w:val="1"/>
      <w:numFmt w:val="bullet"/>
      <w:lvlText w:val=""/>
      <w:lvlJc w:val="left"/>
      <w:pPr>
        <w:tabs>
          <w:tab w:val="num" w:pos="4320"/>
        </w:tabs>
        <w:ind w:left="4320" w:hanging="360"/>
      </w:pPr>
      <w:rPr>
        <w:rFonts w:ascii="Wingdings" w:hAnsi="Wingdings" w:cs="Wingdings" w:hint="default"/>
      </w:rPr>
    </w:lvl>
    <w:lvl w:ilvl="6" w:tplc="E9726E7C">
      <w:start w:val="1"/>
      <w:numFmt w:val="bullet"/>
      <w:lvlText w:val=""/>
      <w:lvlJc w:val="left"/>
      <w:pPr>
        <w:tabs>
          <w:tab w:val="num" w:pos="5040"/>
        </w:tabs>
        <w:ind w:left="5040" w:hanging="360"/>
      </w:pPr>
      <w:rPr>
        <w:rFonts w:ascii="Symbol" w:hAnsi="Symbol" w:cs="Symbol" w:hint="default"/>
      </w:rPr>
    </w:lvl>
    <w:lvl w:ilvl="7" w:tplc="03866554">
      <w:start w:val="1"/>
      <w:numFmt w:val="bullet"/>
      <w:lvlText w:val="o"/>
      <w:lvlJc w:val="left"/>
      <w:pPr>
        <w:tabs>
          <w:tab w:val="num" w:pos="5760"/>
        </w:tabs>
        <w:ind w:left="5760" w:hanging="360"/>
      </w:pPr>
      <w:rPr>
        <w:rFonts w:ascii="Courier New" w:hAnsi="Courier New" w:cs="Courier New" w:hint="default"/>
      </w:rPr>
    </w:lvl>
    <w:lvl w:ilvl="8" w:tplc="A232CCA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9552BB9"/>
    <w:multiLevelType w:val="hybridMultilevel"/>
    <w:tmpl w:val="B95EDF0E"/>
    <w:lvl w:ilvl="0" w:tplc="D35034DE">
      <w:start w:val="1"/>
      <w:numFmt w:val="bullet"/>
      <w:lvlText w:val=""/>
      <w:lvlJc w:val="left"/>
      <w:pPr>
        <w:tabs>
          <w:tab w:val="num" w:pos="720"/>
        </w:tabs>
        <w:ind w:left="720" w:hanging="360"/>
      </w:pPr>
      <w:rPr>
        <w:rFonts w:ascii="Symbol" w:hAnsi="Symbol" w:cs="Symbol" w:hint="default"/>
      </w:rPr>
    </w:lvl>
    <w:lvl w:ilvl="1" w:tplc="8112150E">
      <w:start w:val="1"/>
      <w:numFmt w:val="bullet"/>
      <w:lvlText w:val="o"/>
      <w:lvlJc w:val="left"/>
      <w:pPr>
        <w:tabs>
          <w:tab w:val="num" w:pos="1440"/>
        </w:tabs>
        <w:ind w:left="1440" w:hanging="360"/>
      </w:pPr>
      <w:rPr>
        <w:rFonts w:ascii="Courier New" w:hAnsi="Courier New" w:cs="Courier New" w:hint="default"/>
      </w:rPr>
    </w:lvl>
    <w:lvl w:ilvl="2" w:tplc="FBFEDD4E">
      <w:start w:val="1"/>
      <w:numFmt w:val="bullet"/>
      <w:lvlText w:val=""/>
      <w:lvlJc w:val="left"/>
      <w:pPr>
        <w:tabs>
          <w:tab w:val="num" w:pos="2160"/>
        </w:tabs>
        <w:ind w:left="2160" w:hanging="360"/>
      </w:pPr>
      <w:rPr>
        <w:rFonts w:ascii="Wingdings" w:hAnsi="Wingdings" w:cs="Wingdings" w:hint="default"/>
      </w:rPr>
    </w:lvl>
    <w:lvl w:ilvl="3" w:tplc="AF9EDB4C">
      <w:start w:val="1"/>
      <w:numFmt w:val="bullet"/>
      <w:lvlText w:val=""/>
      <w:lvlJc w:val="left"/>
      <w:pPr>
        <w:tabs>
          <w:tab w:val="num" w:pos="2880"/>
        </w:tabs>
        <w:ind w:left="2880" w:hanging="360"/>
      </w:pPr>
      <w:rPr>
        <w:rFonts w:ascii="Symbol" w:hAnsi="Symbol" w:cs="Symbol" w:hint="default"/>
      </w:rPr>
    </w:lvl>
    <w:lvl w:ilvl="4" w:tplc="70DC1396">
      <w:start w:val="1"/>
      <w:numFmt w:val="bullet"/>
      <w:lvlText w:val="o"/>
      <w:lvlJc w:val="left"/>
      <w:pPr>
        <w:tabs>
          <w:tab w:val="num" w:pos="3600"/>
        </w:tabs>
        <w:ind w:left="3600" w:hanging="360"/>
      </w:pPr>
      <w:rPr>
        <w:rFonts w:ascii="Courier New" w:hAnsi="Courier New" w:cs="Courier New" w:hint="default"/>
      </w:rPr>
    </w:lvl>
    <w:lvl w:ilvl="5" w:tplc="E1C02D84">
      <w:start w:val="1"/>
      <w:numFmt w:val="bullet"/>
      <w:lvlText w:val=""/>
      <w:lvlJc w:val="left"/>
      <w:pPr>
        <w:tabs>
          <w:tab w:val="num" w:pos="4320"/>
        </w:tabs>
        <w:ind w:left="4320" w:hanging="360"/>
      </w:pPr>
      <w:rPr>
        <w:rFonts w:ascii="Wingdings" w:hAnsi="Wingdings" w:cs="Wingdings" w:hint="default"/>
      </w:rPr>
    </w:lvl>
    <w:lvl w:ilvl="6" w:tplc="7ACA2F00">
      <w:start w:val="1"/>
      <w:numFmt w:val="bullet"/>
      <w:lvlText w:val=""/>
      <w:lvlJc w:val="left"/>
      <w:pPr>
        <w:tabs>
          <w:tab w:val="num" w:pos="5040"/>
        </w:tabs>
        <w:ind w:left="5040" w:hanging="360"/>
      </w:pPr>
      <w:rPr>
        <w:rFonts w:ascii="Symbol" w:hAnsi="Symbol" w:cs="Symbol" w:hint="default"/>
      </w:rPr>
    </w:lvl>
    <w:lvl w:ilvl="7" w:tplc="93407CF2">
      <w:start w:val="1"/>
      <w:numFmt w:val="bullet"/>
      <w:lvlText w:val="o"/>
      <w:lvlJc w:val="left"/>
      <w:pPr>
        <w:tabs>
          <w:tab w:val="num" w:pos="5760"/>
        </w:tabs>
        <w:ind w:left="5760" w:hanging="360"/>
      </w:pPr>
      <w:rPr>
        <w:rFonts w:ascii="Courier New" w:hAnsi="Courier New" w:cs="Courier New" w:hint="default"/>
      </w:rPr>
    </w:lvl>
    <w:lvl w:ilvl="8" w:tplc="B0D69D92">
      <w:start w:val="1"/>
      <w:numFmt w:val="bullet"/>
      <w:lvlText w:val=""/>
      <w:lvlJc w:val="left"/>
      <w:pPr>
        <w:tabs>
          <w:tab w:val="num" w:pos="6480"/>
        </w:tabs>
        <w:ind w:left="6480" w:hanging="360"/>
      </w:pPr>
      <w:rPr>
        <w:rFonts w:ascii="Wingdings" w:hAnsi="Wingdings" w:cs="Wingdings" w:hint="default"/>
      </w:rPr>
    </w:lvl>
  </w:abstractNum>
  <w:num w:numId="1" w16cid:durableId="664941273">
    <w:abstractNumId w:val="1"/>
  </w:num>
  <w:num w:numId="2" w16cid:durableId="2105959012">
    <w:abstractNumId w:val="2"/>
  </w:num>
  <w:num w:numId="3" w16cid:durableId="2073382287">
    <w:abstractNumId w:val="0"/>
  </w:num>
  <w:num w:numId="4" w16cid:durableId="907570087">
    <w:abstractNumId w:val="3"/>
  </w:num>
  <w:num w:numId="5" w16cid:durableId="1425417081">
    <w:abstractNumId w:val="4"/>
  </w:num>
  <w:num w:numId="6" w16cid:durableId="292905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4A4"/>
    <w:rsid w:val="003355FE"/>
    <w:rsid w:val="00822D95"/>
    <w:rsid w:val="00AB20BB"/>
    <w:rsid w:val="00AF04A4"/>
    <w:rsid w:val="00E874C4"/>
    <w:rsid w:val="00F025ED"/>
    <w:rsid w:val="00F4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B79B"/>
  <w15:docId w15:val="{C6D1E73B-58A1-41CF-9622-8805DA6D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 w:type="character" w:styleId="Hyperlink">
    <w:name w:val="Hyperlink"/>
    <w:basedOn w:val="DefaultParagraphFont"/>
    <w:uiPriority w:val="99"/>
    <w:unhideWhenUsed/>
    <w:rsid w:val="00822D95"/>
    <w:rPr>
      <w:color w:val="0000FF" w:themeColor="hyperlink"/>
      <w:u w:val="single"/>
    </w:rPr>
  </w:style>
  <w:style w:type="character" w:styleId="UnresolvedMention">
    <w:name w:val="Unresolved Mention"/>
    <w:basedOn w:val="DefaultParagraphFont"/>
    <w:uiPriority w:val="99"/>
    <w:semiHidden/>
    <w:unhideWhenUsed/>
    <w:rsid w:val="00822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hyperlink" Target="https://www.gov.uk/government/publications/school-inspection-handbook-e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quality-act-2010-advice-for-schools" TargetMode="External"/><Relationship Id="rId5" Type="http://schemas.openxmlformats.org/officeDocument/2006/relationships/hyperlink" Target="https://www.gov.uk/government/publications/school-admissions-code--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1319</Words>
  <Characters>7389</Characters>
  <Application>Microsoft Office Word</Application>
  <DocSecurity>0</DocSecurity>
  <Lines>166</Lines>
  <Paragraphs>92</Paragraphs>
  <ScaleCrop>false</ScaleCrop>
  <Manager/>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6</cp:revision>
  <dcterms:created xsi:type="dcterms:W3CDTF">2025-09-03T14:08:00Z</dcterms:created>
  <dcterms:modified xsi:type="dcterms:W3CDTF">2025-12-23T08:38:00Z</dcterms:modified>
  <cp:category/>
</cp:coreProperties>
</file>