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DC952" w14:textId="665291CA" w:rsidR="007F0F1B" w:rsidRDefault="007B63CA" w:rsidP="007B63CA">
      <w:pPr>
        <w:tabs>
          <w:tab w:val="left" w:pos="1215"/>
        </w:tabs>
        <w:jc w:val="both"/>
      </w:pPr>
      <w:r>
        <w:tab/>
      </w:r>
    </w:p>
    <w:p w14:paraId="07B107E3" w14:textId="77777777" w:rsidR="007F0F1B" w:rsidRDefault="007F0F1B">
      <w:pPr>
        <w:rPr>
          <w:rFonts w:ascii="Times New Roman" w:eastAsia="Times New Roman" w:hAnsi="Times New Roman" w:cs="Times New Roman"/>
          <w:sz w:val="20"/>
          <w:szCs w:val="20"/>
        </w:rPr>
      </w:pPr>
    </w:p>
    <w:p w14:paraId="2D8852AD" w14:textId="77777777" w:rsidR="007F0F1B" w:rsidRDefault="007F0F1B">
      <w:pPr>
        <w:spacing w:after="0"/>
        <w:rPr>
          <w:sz w:val="20"/>
          <w:szCs w:val="20"/>
        </w:rPr>
      </w:pPr>
    </w:p>
    <w:p w14:paraId="61D88E10" w14:textId="77777777" w:rsidR="007F0F1B" w:rsidRDefault="007F0F1B">
      <w:pPr>
        <w:spacing w:after="0"/>
        <w:rPr>
          <w:sz w:val="20"/>
          <w:szCs w:val="20"/>
        </w:rPr>
      </w:pPr>
    </w:p>
    <w:p w14:paraId="4BCEE623" w14:textId="77777777" w:rsidR="007F0F1B" w:rsidRDefault="007F0F1B">
      <w:pPr>
        <w:spacing w:after="0"/>
        <w:jc w:val="center"/>
        <w:rPr>
          <w:sz w:val="20"/>
          <w:szCs w:val="20"/>
        </w:rPr>
      </w:pPr>
    </w:p>
    <w:p w14:paraId="5B5F9CE3" w14:textId="77777777" w:rsidR="007F0F1B" w:rsidRDefault="007F0F1B">
      <w:pPr>
        <w:spacing w:after="0"/>
        <w:rPr>
          <w:sz w:val="20"/>
          <w:szCs w:val="20"/>
        </w:rPr>
      </w:pPr>
    </w:p>
    <w:p w14:paraId="7E1297F0" w14:textId="77777777" w:rsidR="007F0F1B" w:rsidRDefault="00BE159B">
      <w:pPr>
        <w:spacing w:after="0"/>
        <w:jc w:val="center"/>
        <w:rPr>
          <w:sz w:val="20"/>
          <w:szCs w:val="20"/>
        </w:rPr>
      </w:pPr>
      <w:r>
        <w:rPr>
          <w:noProof/>
          <w:color w:val="008000"/>
          <w:sz w:val="96"/>
          <w:szCs w:val="96"/>
        </w:rPr>
        <w:drawing>
          <wp:inline distT="0" distB="0" distL="0" distR="0" wp14:anchorId="2AE5A165" wp14:editId="466D7410">
            <wp:extent cx="2466975" cy="1047750"/>
            <wp:effectExtent l="0" t="0" r="0" b="0"/>
            <wp:docPr id="7" name="image1.png" descr="G:\.shortcut-targets-by-id\1QrlBkJa95C8MxbTiJ8shx0REzKRAbRzT\LPS Home Drive\JAQ - LOGOS\logo.png"/>
            <wp:cNvGraphicFramePr/>
            <a:graphic xmlns:a="http://schemas.openxmlformats.org/drawingml/2006/main">
              <a:graphicData uri="http://schemas.openxmlformats.org/drawingml/2006/picture">
                <pic:pic xmlns:pic="http://schemas.openxmlformats.org/drawingml/2006/picture">
                  <pic:nvPicPr>
                    <pic:cNvPr id="0" name="image1.png" descr="G:\.shortcut-targets-by-id\1QrlBkJa95C8MxbTiJ8shx0REzKRAbRzT\LPS Home Drive\JAQ - LOGOS\logo.png"/>
                    <pic:cNvPicPr preferRelativeResize="0"/>
                  </pic:nvPicPr>
                  <pic:blipFill>
                    <a:blip r:embed="rId8"/>
                    <a:srcRect/>
                    <a:stretch>
                      <a:fillRect/>
                    </a:stretch>
                  </pic:blipFill>
                  <pic:spPr>
                    <a:xfrm>
                      <a:off x="0" y="0"/>
                      <a:ext cx="2466975" cy="1047750"/>
                    </a:xfrm>
                    <a:prstGeom prst="rect">
                      <a:avLst/>
                    </a:prstGeom>
                    <a:ln/>
                  </pic:spPr>
                </pic:pic>
              </a:graphicData>
            </a:graphic>
          </wp:inline>
        </w:drawing>
      </w:r>
    </w:p>
    <w:p w14:paraId="2A5BCC79" w14:textId="77777777" w:rsidR="007F0F1B" w:rsidRDefault="007F0F1B">
      <w:pPr>
        <w:spacing w:after="0"/>
        <w:rPr>
          <w:sz w:val="20"/>
          <w:szCs w:val="20"/>
        </w:rPr>
      </w:pPr>
    </w:p>
    <w:p w14:paraId="1EC00238" w14:textId="77777777" w:rsidR="007F0F1B" w:rsidRDefault="007F0F1B">
      <w:pPr>
        <w:spacing w:after="0"/>
        <w:jc w:val="center"/>
        <w:rPr>
          <w:b/>
          <w:sz w:val="32"/>
          <w:szCs w:val="32"/>
          <w:u w:val="single"/>
        </w:rPr>
      </w:pPr>
    </w:p>
    <w:p w14:paraId="4721E407" w14:textId="77777777" w:rsidR="007F0F1B" w:rsidRDefault="007F0F1B">
      <w:pPr>
        <w:spacing w:after="0"/>
        <w:jc w:val="center"/>
        <w:rPr>
          <w:b/>
          <w:sz w:val="32"/>
          <w:szCs w:val="32"/>
          <w:u w:val="single"/>
        </w:rPr>
      </w:pPr>
    </w:p>
    <w:p w14:paraId="7A35B788" w14:textId="77777777" w:rsidR="007F0F1B" w:rsidRDefault="007F0F1B">
      <w:pPr>
        <w:spacing w:after="0"/>
        <w:jc w:val="center"/>
        <w:rPr>
          <w:b/>
          <w:sz w:val="32"/>
          <w:szCs w:val="32"/>
          <w:u w:val="single"/>
        </w:rPr>
      </w:pPr>
    </w:p>
    <w:p w14:paraId="79CED82F" w14:textId="77777777" w:rsidR="007F0F1B" w:rsidRDefault="007F0F1B">
      <w:pPr>
        <w:spacing w:after="0"/>
        <w:jc w:val="center"/>
        <w:rPr>
          <w:b/>
          <w:sz w:val="32"/>
          <w:szCs w:val="32"/>
          <w:u w:val="single"/>
        </w:rPr>
      </w:pPr>
    </w:p>
    <w:p w14:paraId="0F4885FA" w14:textId="77777777" w:rsidR="007F0F1B" w:rsidRDefault="007F0F1B">
      <w:pPr>
        <w:spacing w:after="0"/>
        <w:jc w:val="center"/>
        <w:rPr>
          <w:b/>
          <w:sz w:val="32"/>
          <w:szCs w:val="32"/>
          <w:u w:val="single"/>
        </w:rPr>
      </w:pPr>
    </w:p>
    <w:p w14:paraId="6C4887E2" w14:textId="77777777" w:rsidR="007F0F1B" w:rsidRDefault="007F0F1B">
      <w:pPr>
        <w:spacing w:after="0"/>
        <w:jc w:val="center"/>
        <w:rPr>
          <w:b/>
          <w:sz w:val="32"/>
          <w:szCs w:val="32"/>
          <w:u w:val="single"/>
        </w:rPr>
      </w:pPr>
    </w:p>
    <w:p w14:paraId="3591CE8E" w14:textId="77777777" w:rsidR="007F0F1B" w:rsidRDefault="00BE159B">
      <w:pPr>
        <w:spacing w:after="120"/>
        <w:jc w:val="center"/>
        <w:rPr>
          <w:b/>
          <w:color w:val="00B0F0"/>
          <w:sz w:val="96"/>
          <w:szCs w:val="96"/>
        </w:rPr>
      </w:pPr>
      <w:r>
        <w:rPr>
          <w:b/>
          <w:color w:val="00B0F0"/>
          <w:sz w:val="96"/>
          <w:szCs w:val="96"/>
        </w:rPr>
        <w:t>Careers Policy</w:t>
      </w:r>
    </w:p>
    <w:p w14:paraId="35ADF554" w14:textId="77777777" w:rsidR="007F0F1B" w:rsidRDefault="00BE159B">
      <w:pPr>
        <w:spacing w:after="120"/>
        <w:jc w:val="center"/>
        <w:rPr>
          <w:b/>
          <w:color w:val="00B0F0"/>
          <w:sz w:val="56"/>
          <w:szCs w:val="56"/>
        </w:rPr>
      </w:pPr>
      <w:r>
        <w:rPr>
          <w:b/>
          <w:color w:val="00B0F0"/>
          <w:sz w:val="56"/>
          <w:szCs w:val="56"/>
        </w:rPr>
        <w:t>(CEIAG)</w:t>
      </w:r>
    </w:p>
    <w:p w14:paraId="6DA965E3" w14:textId="77777777" w:rsidR="007F0F1B" w:rsidRDefault="007F0F1B">
      <w:pPr>
        <w:spacing w:after="0"/>
        <w:jc w:val="center"/>
        <w:rPr>
          <w:b/>
          <w:sz w:val="52"/>
          <w:szCs w:val="52"/>
          <w:u w:val="single"/>
        </w:rPr>
      </w:pPr>
    </w:p>
    <w:p w14:paraId="16B6B585" w14:textId="77777777" w:rsidR="007F0F1B" w:rsidRDefault="007F0F1B">
      <w:pPr>
        <w:spacing w:after="0"/>
        <w:jc w:val="center"/>
        <w:rPr>
          <w:b/>
          <w:sz w:val="52"/>
          <w:szCs w:val="52"/>
          <w:u w:val="single"/>
        </w:rPr>
      </w:pPr>
    </w:p>
    <w:p w14:paraId="7A5E7320" w14:textId="77777777" w:rsidR="007F0F1B" w:rsidRDefault="007F0F1B">
      <w:pPr>
        <w:spacing w:after="0"/>
        <w:jc w:val="center"/>
        <w:rPr>
          <w:b/>
          <w:sz w:val="52"/>
          <w:szCs w:val="52"/>
          <w:u w:val="single"/>
        </w:rPr>
      </w:pPr>
    </w:p>
    <w:p w14:paraId="14737B3A" w14:textId="77777777" w:rsidR="007F0F1B" w:rsidRDefault="00BE159B">
      <w:pPr>
        <w:spacing w:after="0"/>
        <w:jc w:val="center"/>
        <w:rPr>
          <w:sz w:val="52"/>
          <w:szCs w:val="52"/>
        </w:rPr>
      </w:pPr>
      <w:r>
        <w:br w:type="column"/>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4"/>
        <w:gridCol w:w="6242"/>
      </w:tblGrid>
      <w:tr w:rsidR="007F0F1B" w14:paraId="37810DC5" w14:textId="77777777">
        <w:tc>
          <w:tcPr>
            <w:tcW w:w="9016" w:type="dxa"/>
            <w:gridSpan w:val="2"/>
          </w:tcPr>
          <w:p w14:paraId="2D4B296D" w14:textId="77777777" w:rsidR="007F0F1B" w:rsidRDefault="00BE159B">
            <w:pPr>
              <w:spacing w:after="0"/>
              <w:ind w:left="360"/>
              <w:rPr>
                <w:b/>
                <w:sz w:val="24"/>
                <w:szCs w:val="24"/>
              </w:rPr>
            </w:pPr>
            <w:r>
              <w:rPr>
                <w:b/>
                <w:sz w:val="24"/>
                <w:szCs w:val="24"/>
              </w:rPr>
              <w:t>Schedule for Development, Monitoring and Review</w:t>
            </w:r>
          </w:p>
        </w:tc>
      </w:tr>
      <w:tr w:rsidR="007F0F1B" w14:paraId="36723FBE" w14:textId="77777777">
        <w:tc>
          <w:tcPr>
            <w:tcW w:w="2774" w:type="dxa"/>
          </w:tcPr>
          <w:p w14:paraId="6CFA09DE" w14:textId="77777777" w:rsidR="007F0F1B" w:rsidRDefault="00BE159B">
            <w:pPr>
              <w:spacing w:after="0"/>
              <w:ind w:left="360"/>
              <w:rPr>
                <w:sz w:val="24"/>
                <w:szCs w:val="24"/>
              </w:rPr>
            </w:pPr>
            <w:r>
              <w:rPr>
                <w:sz w:val="24"/>
                <w:szCs w:val="24"/>
              </w:rPr>
              <w:t>Approved by governors on:</w:t>
            </w:r>
          </w:p>
        </w:tc>
        <w:tc>
          <w:tcPr>
            <w:tcW w:w="6242" w:type="dxa"/>
          </w:tcPr>
          <w:p w14:paraId="4F59788B" w14:textId="77777777" w:rsidR="007F0F1B" w:rsidRDefault="00BE159B">
            <w:pPr>
              <w:spacing w:after="0"/>
              <w:ind w:left="360"/>
              <w:rPr>
                <w:sz w:val="24"/>
                <w:szCs w:val="24"/>
              </w:rPr>
            </w:pPr>
            <w:r>
              <w:rPr>
                <w:sz w:val="24"/>
                <w:szCs w:val="24"/>
              </w:rPr>
              <w:t>18</w:t>
            </w:r>
            <w:r>
              <w:rPr>
                <w:sz w:val="24"/>
                <w:szCs w:val="24"/>
                <w:vertAlign w:val="superscript"/>
              </w:rPr>
              <w:t>th</w:t>
            </w:r>
            <w:r>
              <w:rPr>
                <w:sz w:val="24"/>
                <w:szCs w:val="24"/>
              </w:rPr>
              <w:t xml:space="preserve"> March 2021</w:t>
            </w:r>
          </w:p>
        </w:tc>
      </w:tr>
      <w:tr w:rsidR="007F0F1B" w14:paraId="0C023971" w14:textId="77777777">
        <w:trPr>
          <w:trHeight w:val="717"/>
        </w:trPr>
        <w:tc>
          <w:tcPr>
            <w:tcW w:w="2774" w:type="dxa"/>
          </w:tcPr>
          <w:p w14:paraId="58042E4B" w14:textId="77777777" w:rsidR="007F0F1B" w:rsidRDefault="00BE159B">
            <w:pPr>
              <w:spacing w:after="0"/>
              <w:ind w:left="360"/>
              <w:rPr>
                <w:sz w:val="24"/>
                <w:szCs w:val="24"/>
              </w:rPr>
            </w:pPr>
            <w:r>
              <w:rPr>
                <w:sz w:val="24"/>
                <w:szCs w:val="24"/>
              </w:rPr>
              <w:t>Implementation monitored by:</w:t>
            </w:r>
          </w:p>
        </w:tc>
        <w:tc>
          <w:tcPr>
            <w:tcW w:w="6242" w:type="dxa"/>
          </w:tcPr>
          <w:p w14:paraId="3370DE05" w14:textId="77777777" w:rsidR="007F0F1B" w:rsidRDefault="00BE159B">
            <w:pPr>
              <w:spacing w:after="0"/>
              <w:ind w:left="360"/>
              <w:rPr>
                <w:sz w:val="24"/>
                <w:szCs w:val="24"/>
              </w:rPr>
            </w:pPr>
            <w:r>
              <w:t>Drew Barrett and Thomas Liney</w:t>
            </w:r>
          </w:p>
        </w:tc>
      </w:tr>
      <w:tr w:rsidR="007F0F1B" w14:paraId="153B722D" w14:textId="77777777">
        <w:tc>
          <w:tcPr>
            <w:tcW w:w="2774" w:type="dxa"/>
          </w:tcPr>
          <w:p w14:paraId="4C624C70" w14:textId="77777777" w:rsidR="007F0F1B" w:rsidRDefault="00BE159B">
            <w:pPr>
              <w:spacing w:after="0"/>
              <w:ind w:left="360"/>
              <w:rPr>
                <w:sz w:val="20"/>
                <w:szCs w:val="20"/>
              </w:rPr>
            </w:pPr>
            <w:r>
              <w:rPr>
                <w:sz w:val="20"/>
                <w:szCs w:val="20"/>
              </w:rPr>
              <w:t>Review arrangements:</w:t>
            </w:r>
          </w:p>
          <w:p w14:paraId="721B3ADA" w14:textId="77777777" w:rsidR="007F0F1B" w:rsidRDefault="007F0F1B">
            <w:pPr>
              <w:spacing w:after="0"/>
              <w:ind w:left="360"/>
              <w:rPr>
                <w:sz w:val="20"/>
                <w:szCs w:val="20"/>
              </w:rPr>
            </w:pPr>
          </w:p>
        </w:tc>
        <w:tc>
          <w:tcPr>
            <w:tcW w:w="6242" w:type="dxa"/>
          </w:tcPr>
          <w:p w14:paraId="19ADB90E" w14:textId="77777777" w:rsidR="007F0F1B" w:rsidRDefault="00BE159B">
            <w:pPr>
              <w:spacing w:after="0"/>
              <w:ind w:left="360"/>
              <w:rPr>
                <w:sz w:val="20"/>
                <w:szCs w:val="20"/>
              </w:rPr>
            </w:pPr>
            <w:r>
              <w:rPr>
                <w:sz w:val="20"/>
                <w:szCs w:val="20"/>
              </w:rPr>
              <w:t>Annually</w:t>
            </w:r>
          </w:p>
          <w:p w14:paraId="38A10B4E" w14:textId="319098DB" w:rsidR="007F0F1B" w:rsidRDefault="00BE159B">
            <w:pPr>
              <w:spacing w:after="0"/>
              <w:ind w:left="360"/>
              <w:rPr>
                <w:sz w:val="20"/>
                <w:szCs w:val="20"/>
              </w:rPr>
            </w:pPr>
            <w:r>
              <w:rPr>
                <w:sz w:val="20"/>
                <w:szCs w:val="20"/>
              </w:rPr>
              <w:t xml:space="preserve">All policies will be reviewed if there are any </w:t>
            </w:r>
            <w:r w:rsidR="007B63CA">
              <w:rPr>
                <w:sz w:val="20"/>
                <w:szCs w:val="20"/>
              </w:rPr>
              <w:t>significant developments</w:t>
            </w:r>
            <w:r>
              <w:rPr>
                <w:sz w:val="20"/>
                <w:szCs w:val="20"/>
              </w:rPr>
              <w:t xml:space="preserve"> or changes to legislation</w:t>
            </w:r>
          </w:p>
        </w:tc>
      </w:tr>
      <w:tr w:rsidR="007F0F1B" w14:paraId="53256BCD" w14:textId="77777777">
        <w:tc>
          <w:tcPr>
            <w:tcW w:w="2774" w:type="dxa"/>
          </w:tcPr>
          <w:p w14:paraId="2497DCB9" w14:textId="77777777" w:rsidR="007F0F1B" w:rsidRDefault="00BE159B">
            <w:pPr>
              <w:spacing w:after="0"/>
              <w:ind w:left="360"/>
              <w:rPr>
                <w:sz w:val="20"/>
                <w:szCs w:val="20"/>
              </w:rPr>
            </w:pPr>
            <w:r>
              <w:rPr>
                <w:sz w:val="20"/>
                <w:szCs w:val="20"/>
              </w:rPr>
              <w:t>Reviewed:</w:t>
            </w:r>
          </w:p>
          <w:p w14:paraId="70FB7DC5" w14:textId="77777777" w:rsidR="007F0F1B" w:rsidRDefault="007F0F1B">
            <w:pPr>
              <w:spacing w:after="0"/>
              <w:ind w:left="360"/>
              <w:rPr>
                <w:sz w:val="20"/>
                <w:szCs w:val="20"/>
              </w:rPr>
            </w:pPr>
          </w:p>
          <w:p w14:paraId="7B14E33A" w14:textId="77777777" w:rsidR="007F0F1B" w:rsidRDefault="007F0F1B">
            <w:pPr>
              <w:spacing w:after="0"/>
              <w:ind w:left="360"/>
              <w:rPr>
                <w:sz w:val="20"/>
                <w:szCs w:val="20"/>
              </w:rPr>
            </w:pPr>
          </w:p>
          <w:p w14:paraId="6B5E213A" w14:textId="77777777" w:rsidR="007F0F1B" w:rsidRDefault="007F0F1B">
            <w:pPr>
              <w:spacing w:after="0"/>
              <w:ind w:left="360"/>
              <w:rPr>
                <w:sz w:val="20"/>
                <w:szCs w:val="20"/>
              </w:rPr>
            </w:pPr>
          </w:p>
          <w:p w14:paraId="152DA356" w14:textId="77777777" w:rsidR="007F0F1B" w:rsidRDefault="007F0F1B">
            <w:pPr>
              <w:spacing w:after="0"/>
              <w:ind w:left="360"/>
              <w:rPr>
                <w:sz w:val="20"/>
                <w:szCs w:val="20"/>
              </w:rPr>
            </w:pPr>
          </w:p>
          <w:p w14:paraId="12DFD810" w14:textId="77777777" w:rsidR="007F0F1B" w:rsidRDefault="007F0F1B">
            <w:pPr>
              <w:spacing w:after="0"/>
              <w:ind w:left="360"/>
              <w:rPr>
                <w:sz w:val="20"/>
                <w:szCs w:val="20"/>
              </w:rPr>
            </w:pPr>
          </w:p>
          <w:p w14:paraId="30708BAB" w14:textId="77777777" w:rsidR="007F0F1B" w:rsidRDefault="00BE159B">
            <w:pPr>
              <w:spacing w:after="0"/>
              <w:ind w:left="360"/>
              <w:rPr>
                <w:sz w:val="20"/>
                <w:szCs w:val="20"/>
              </w:rPr>
            </w:pPr>
            <w:r>
              <w:rPr>
                <w:sz w:val="20"/>
                <w:szCs w:val="20"/>
              </w:rPr>
              <w:t>The next review of this policy:</w:t>
            </w:r>
          </w:p>
        </w:tc>
        <w:tc>
          <w:tcPr>
            <w:tcW w:w="6242" w:type="dxa"/>
          </w:tcPr>
          <w:p w14:paraId="68AAFF40" w14:textId="620A162E" w:rsidR="007F0F1B" w:rsidRPr="007B63CA" w:rsidRDefault="009D04F9">
            <w:pPr>
              <w:spacing w:after="0"/>
              <w:ind w:left="360"/>
              <w:rPr>
                <w:b/>
                <w:bCs/>
                <w:sz w:val="20"/>
                <w:szCs w:val="20"/>
              </w:rPr>
            </w:pPr>
            <w:r>
              <w:rPr>
                <w:b/>
                <w:bCs/>
                <w:sz w:val="20"/>
                <w:szCs w:val="20"/>
              </w:rPr>
              <w:t>October</w:t>
            </w:r>
            <w:r w:rsidR="00BE159B" w:rsidRPr="007B63CA">
              <w:rPr>
                <w:b/>
                <w:bCs/>
                <w:sz w:val="20"/>
                <w:szCs w:val="20"/>
              </w:rPr>
              <w:t xml:space="preserve"> 202</w:t>
            </w:r>
            <w:r w:rsidR="00E20F6B">
              <w:rPr>
                <w:b/>
                <w:bCs/>
                <w:sz w:val="20"/>
                <w:szCs w:val="20"/>
              </w:rPr>
              <w:t>5</w:t>
            </w:r>
          </w:p>
          <w:p w14:paraId="030F3C2E" w14:textId="77777777" w:rsidR="007F0F1B" w:rsidRDefault="007F0F1B">
            <w:pPr>
              <w:spacing w:after="0"/>
              <w:ind w:left="360"/>
              <w:rPr>
                <w:b/>
                <w:sz w:val="20"/>
                <w:szCs w:val="20"/>
              </w:rPr>
            </w:pPr>
          </w:p>
          <w:p w14:paraId="7A8462D6" w14:textId="77777777" w:rsidR="007F0F1B" w:rsidRDefault="007F0F1B">
            <w:pPr>
              <w:spacing w:after="0"/>
              <w:ind w:left="360"/>
              <w:rPr>
                <w:b/>
                <w:sz w:val="20"/>
                <w:szCs w:val="20"/>
              </w:rPr>
            </w:pPr>
          </w:p>
          <w:p w14:paraId="43D09971" w14:textId="77777777" w:rsidR="007F0F1B" w:rsidRDefault="007F0F1B">
            <w:pPr>
              <w:spacing w:after="0"/>
              <w:ind w:left="360"/>
              <w:rPr>
                <w:b/>
                <w:sz w:val="20"/>
                <w:szCs w:val="20"/>
              </w:rPr>
            </w:pPr>
          </w:p>
          <w:p w14:paraId="349B4B9C" w14:textId="77777777" w:rsidR="007F0F1B" w:rsidRDefault="007F0F1B">
            <w:pPr>
              <w:spacing w:after="0"/>
              <w:ind w:left="360"/>
              <w:rPr>
                <w:b/>
                <w:sz w:val="20"/>
                <w:szCs w:val="20"/>
              </w:rPr>
            </w:pPr>
          </w:p>
          <w:p w14:paraId="44B0650E" w14:textId="77777777" w:rsidR="007F0F1B" w:rsidRDefault="007F0F1B">
            <w:pPr>
              <w:spacing w:after="0"/>
              <w:ind w:left="360"/>
              <w:rPr>
                <w:b/>
                <w:sz w:val="20"/>
                <w:szCs w:val="20"/>
              </w:rPr>
            </w:pPr>
          </w:p>
          <w:p w14:paraId="3E21AB91" w14:textId="47FBD37E" w:rsidR="007F0F1B" w:rsidRDefault="009D04F9">
            <w:pPr>
              <w:spacing w:after="0"/>
              <w:ind w:left="360"/>
              <w:rPr>
                <w:b/>
                <w:sz w:val="20"/>
                <w:szCs w:val="20"/>
              </w:rPr>
            </w:pPr>
            <w:r>
              <w:rPr>
                <w:b/>
                <w:sz w:val="20"/>
                <w:szCs w:val="20"/>
              </w:rPr>
              <w:t>October</w:t>
            </w:r>
            <w:r w:rsidR="00BE159B">
              <w:rPr>
                <w:b/>
                <w:sz w:val="20"/>
                <w:szCs w:val="20"/>
              </w:rPr>
              <w:t xml:space="preserve"> 20</w:t>
            </w:r>
            <w:r w:rsidR="00E20F6B">
              <w:rPr>
                <w:b/>
                <w:sz w:val="20"/>
                <w:szCs w:val="20"/>
              </w:rPr>
              <w:t>26</w:t>
            </w:r>
          </w:p>
          <w:p w14:paraId="2CBFBF94" w14:textId="77777777" w:rsidR="007F0F1B" w:rsidRDefault="007F0F1B">
            <w:pPr>
              <w:spacing w:after="0"/>
              <w:ind w:left="360"/>
              <w:rPr>
                <w:sz w:val="20"/>
                <w:szCs w:val="20"/>
              </w:rPr>
            </w:pPr>
          </w:p>
        </w:tc>
      </w:tr>
    </w:tbl>
    <w:p w14:paraId="5DA58BE9" w14:textId="77777777" w:rsidR="007F0F1B" w:rsidRDefault="00BE159B">
      <w:pPr>
        <w:rPr>
          <w:rFonts w:ascii="Arial" w:eastAsia="Arial" w:hAnsi="Arial" w:cs="Arial"/>
          <w:sz w:val="16"/>
          <w:szCs w:val="16"/>
        </w:rPr>
      </w:pPr>
      <w:r>
        <w:br w:type="page"/>
      </w:r>
    </w:p>
    <w:p w14:paraId="32F54DD3" w14:textId="77777777" w:rsidR="007F0F1B" w:rsidRDefault="00BE159B">
      <w:pPr>
        <w:rPr>
          <w:b/>
          <w:u w:val="single"/>
        </w:rPr>
      </w:pPr>
      <w:bookmarkStart w:id="0" w:name="_heading=h.gjdgxs" w:colFirst="0" w:colLast="0"/>
      <w:bookmarkEnd w:id="0"/>
      <w:r>
        <w:rPr>
          <w:b/>
          <w:sz w:val="28"/>
          <w:szCs w:val="28"/>
        </w:rPr>
        <w:lastRenderedPageBreak/>
        <w:t>Careers Education Policy</w:t>
      </w:r>
    </w:p>
    <w:p w14:paraId="07B76BE0" w14:textId="77777777" w:rsidR="007F0F1B" w:rsidRDefault="00BE159B">
      <w:pPr>
        <w:jc w:val="both"/>
        <w:rPr>
          <w:b/>
        </w:rPr>
      </w:pPr>
      <w:r>
        <w:rPr>
          <w:b/>
        </w:rPr>
        <w:t xml:space="preserve">Background: </w:t>
      </w:r>
    </w:p>
    <w:p w14:paraId="22B22A26" w14:textId="77777777" w:rsidR="007F0F1B" w:rsidRDefault="00BE159B">
      <w:pPr>
        <w:jc w:val="both"/>
      </w:pPr>
      <w:r>
        <w:t xml:space="preserve">At Leicester Partnership School; we feel that careers education, information, advice and guidance </w:t>
      </w:r>
      <w:proofErr w:type="gramStart"/>
      <w:r>
        <w:t>helps</w:t>
      </w:r>
      <w:proofErr w:type="gramEnd"/>
      <w:r>
        <w:t xml:space="preserve"> make a major contribution to preparing young people for the opportunities, responsibilities and experiences they will encounter at school, in further education and in working life. Our Careers Education Programme aims to help all students make a successful transition to adulthood by:</w:t>
      </w:r>
    </w:p>
    <w:p w14:paraId="5B6D886F" w14:textId="77777777" w:rsidR="00F6161A" w:rsidRPr="00153E50" w:rsidRDefault="00F6161A" w:rsidP="00F6161A">
      <w:pPr>
        <w:numPr>
          <w:ilvl w:val="0"/>
          <w:numId w:val="6"/>
        </w:numPr>
      </w:pPr>
      <w:r w:rsidRPr="00153E50">
        <w:t xml:space="preserve">To provide all pupils with access to high-quality, impartial careers education and guidance, regardless of the length or timing of their stay at </w:t>
      </w:r>
      <w:r>
        <w:t>school</w:t>
      </w:r>
      <w:r w:rsidRPr="00153E50">
        <w:t>.</w:t>
      </w:r>
    </w:p>
    <w:p w14:paraId="1417F626" w14:textId="77777777" w:rsidR="00F6161A" w:rsidRPr="00153E50" w:rsidRDefault="00F6161A" w:rsidP="00F6161A">
      <w:pPr>
        <w:numPr>
          <w:ilvl w:val="0"/>
          <w:numId w:val="6"/>
        </w:numPr>
      </w:pPr>
      <w:r w:rsidRPr="00153E50">
        <w:t>To support students in recognising their strengths, developing aspirations, and planning realistic pathways to post-16 destinations.</w:t>
      </w:r>
    </w:p>
    <w:p w14:paraId="764AD1E3" w14:textId="77777777" w:rsidR="00F6161A" w:rsidRPr="00153E50" w:rsidRDefault="00F6161A" w:rsidP="00F6161A">
      <w:pPr>
        <w:numPr>
          <w:ilvl w:val="0"/>
          <w:numId w:val="6"/>
        </w:numPr>
      </w:pPr>
      <w:r w:rsidRPr="00153E50">
        <w:t>To equip pupils with the knowledge and skills necessary to navigate transitions and make informed decisions about education, employment, or training.</w:t>
      </w:r>
    </w:p>
    <w:p w14:paraId="2F62F99C" w14:textId="77777777" w:rsidR="00F6161A" w:rsidRPr="00153E50" w:rsidRDefault="00F6161A" w:rsidP="00F6161A">
      <w:pPr>
        <w:numPr>
          <w:ilvl w:val="0"/>
          <w:numId w:val="6"/>
        </w:numPr>
      </w:pPr>
      <w:r w:rsidRPr="00153E50">
        <w:t>To provide meaningful encounters with employers, training providers, and further education through flexible and tailored provision.</w:t>
      </w:r>
    </w:p>
    <w:p w14:paraId="030EB12A" w14:textId="77777777" w:rsidR="00F6161A" w:rsidRPr="00153E50" w:rsidRDefault="00F6161A" w:rsidP="00F6161A">
      <w:pPr>
        <w:numPr>
          <w:ilvl w:val="0"/>
          <w:numId w:val="6"/>
        </w:numPr>
      </w:pPr>
      <w:r w:rsidRPr="00153E50">
        <w:t>To embed careers education within the PSHE curriculum and across subjects, enabling students to connect learning with future opportunities.</w:t>
      </w:r>
    </w:p>
    <w:p w14:paraId="65AF436A" w14:textId="77777777" w:rsidR="00F6161A" w:rsidRPr="00153E50" w:rsidRDefault="00F6161A" w:rsidP="00F6161A">
      <w:pPr>
        <w:numPr>
          <w:ilvl w:val="0"/>
          <w:numId w:val="6"/>
        </w:numPr>
      </w:pPr>
      <w:r w:rsidRPr="00153E50">
        <w:t>To promote equality of opportunity and raise awareness of routes for all learners, including those with SEND or additional barriers.</w:t>
      </w:r>
    </w:p>
    <w:p w14:paraId="485531F7" w14:textId="00CA3477" w:rsidR="007F0F1B" w:rsidRDefault="00BE159B">
      <w:pPr>
        <w:jc w:val="both"/>
      </w:pPr>
      <w:r>
        <w:t>Our Careers Education Programme</w:t>
      </w:r>
      <w:r w:rsidR="003375D5">
        <w:t xml:space="preserve">, which supports the Careers Policy, </w:t>
      </w:r>
      <w:r>
        <w:t xml:space="preserve">aims to enable young people so that they can access employment, volunteering or further education. It is designed </w:t>
      </w:r>
      <w:r w:rsidR="0088319E">
        <w:t>to</w:t>
      </w:r>
      <w:r>
        <w:t xml:space="preserve"> support</w:t>
      </w:r>
      <w:r w:rsidR="009E30B6">
        <w:t xml:space="preserve"> students t</w:t>
      </w:r>
      <w:r>
        <w:t>o achieve economic and personal wellbeing for the rest of their lives.</w:t>
      </w:r>
    </w:p>
    <w:p w14:paraId="076AB583" w14:textId="77777777" w:rsidR="007F0F1B" w:rsidRDefault="00BE159B">
      <w:pPr>
        <w:jc w:val="both"/>
      </w:pPr>
      <w:r>
        <w:t>The Careers Education Programme at The Leicester Partnership School follows the principles of the Gatsby benchmarks which sets out a framework of good practice:</w:t>
      </w:r>
    </w:p>
    <w:p w14:paraId="23C221D5" w14:textId="77777777" w:rsidR="007F0F1B" w:rsidRDefault="00BE159B">
      <w:pPr>
        <w:jc w:val="both"/>
      </w:pPr>
      <w:r>
        <w:t>1. A stable and embedded programme of careers education and guidance</w:t>
      </w:r>
    </w:p>
    <w:p w14:paraId="6998A78B" w14:textId="77777777" w:rsidR="007F0F1B" w:rsidRDefault="00BE159B">
      <w:pPr>
        <w:jc w:val="both"/>
      </w:pPr>
      <w:r>
        <w:t>2. Good quality information about future study options, jobs and the labour market</w:t>
      </w:r>
    </w:p>
    <w:p w14:paraId="20605E0F" w14:textId="77777777" w:rsidR="007F0F1B" w:rsidRDefault="00BE159B">
      <w:pPr>
        <w:jc w:val="both"/>
      </w:pPr>
      <w:r>
        <w:t>3. Opportunities for advice and support tailored to young people’s needs</w:t>
      </w:r>
    </w:p>
    <w:p w14:paraId="2C0521C5" w14:textId="77777777" w:rsidR="007F0F1B" w:rsidRDefault="00BE159B">
      <w:pPr>
        <w:jc w:val="both"/>
      </w:pPr>
      <w:r>
        <w:t>4. Subject teaching linked to careers</w:t>
      </w:r>
    </w:p>
    <w:p w14:paraId="5BED3E82" w14:textId="77777777" w:rsidR="007F0F1B" w:rsidRDefault="00BE159B">
      <w:pPr>
        <w:jc w:val="both"/>
      </w:pPr>
      <w:r>
        <w:t>5. Several opportunities to learn from employers and employees</w:t>
      </w:r>
    </w:p>
    <w:p w14:paraId="3783E70E" w14:textId="77777777" w:rsidR="007F0F1B" w:rsidRDefault="00BE159B">
      <w:pPr>
        <w:jc w:val="both"/>
      </w:pPr>
      <w:r>
        <w:t>6. Experiences of workplaces</w:t>
      </w:r>
    </w:p>
    <w:p w14:paraId="5A43D827" w14:textId="77777777" w:rsidR="007F0F1B" w:rsidRDefault="00BE159B">
      <w:pPr>
        <w:jc w:val="both"/>
      </w:pPr>
      <w:r>
        <w:t>7. Opportunities to hear from representatives of FE, HE and apprenticeship providers</w:t>
      </w:r>
    </w:p>
    <w:p w14:paraId="77C848B9" w14:textId="77777777" w:rsidR="007F0F1B" w:rsidRDefault="00BE159B">
      <w:pPr>
        <w:jc w:val="both"/>
      </w:pPr>
      <w:r>
        <w:t>8. Personal guidance from a professionally qualified careers adviser, at the right time.</w:t>
      </w:r>
    </w:p>
    <w:p w14:paraId="599AEB60" w14:textId="77777777" w:rsidR="007F0F1B" w:rsidRDefault="007F0F1B">
      <w:pPr>
        <w:jc w:val="both"/>
      </w:pPr>
    </w:p>
    <w:p w14:paraId="2744999E" w14:textId="77777777" w:rsidR="007F0F1B" w:rsidRDefault="00BE159B">
      <w:pPr>
        <w:jc w:val="both"/>
        <w:rPr>
          <w:b/>
        </w:rPr>
      </w:pPr>
      <w:r>
        <w:rPr>
          <w:b/>
        </w:rPr>
        <w:t xml:space="preserve">Purpose: </w:t>
      </w:r>
    </w:p>
    <w:p w14:paraId="6E553759" w14:textId="793EE376" w:rsidR="00C84B59" w:rsidRDefault="00BE159B" w:rsidP="00C84B59">
      <w:r>
        <w:t xml:space="preserve">Leicester Partnership School is committed to career, employability and enterprise learning and development and fulfils their statutory obligations by providing best practice careers service to all </w:t>
      </w:r>
      <w:r>
        <w:lastRenderedPageBreak/>
        <w:t xml:space="preserve">students. </w:t>
      </w:r>
      <w:r w:rsidR="00C84B59" w:rsidRPr="00BB3A5E">
        <w:t>Recognising the unique setting of a Pupil Referral Unit (PRU), th</w:t>
      </w:r>
      <w:r w:rsidR="00C84B59">
        <w:t>e Careers P</w:t>
      </w:r>
      <w:r w:rsidR="00C84B59" w:rsidRPr="00BB3A5E">
        <w:t>rogramme is structured flexibly, allowing students to engage with relevant elements based on their stage rather than age. Students may enter or leave at various points, and provision is grouped by key stage rather than individual year.</w:t>
      </w:r>
    </w:p>
    <w:p w14:paraId="0DC610C7" w14:textId="2E618406" w:rsidR="007F0F1B" w:rsidRDefault="00C84B59">
      <w:pPr>
        <w:jc w:val="both"/>
      </w:pPr>
      <w:r>
        <w:t xml:space="preserve"> </w:t>
      </w:r>
    </w:p>
    <w:p w14:paraId="027E559F" w14:textId="77777777" w:rsidR="007F0F1B" w:rsidRDefault="00BE159B">
      <w:pPr>
        <w:jc w:val="both"/>
        <w:rPr>
          <w:b/>
        </w:rPr>
      </w:pPr>
      <w:r>
        <w:rPr>
          <w:b/>
        </w:rPr>
        <w:t>Commitment to Careers Education:</w:t>
      </w:r>
    </w:p>
    <w:p w14:paraId="43A7787F" w14:textId="56A83EAE" w:rsidR="007F0F1B" w:rsidRDefault="00BE159B">
      <w:pPr>
        <w:jc w:val="both"/>
      </w:pPr>
      <w:r>
        <w:t>The Leicester Partnership School is committed to providing a planned programme of careers education activities to all year groups</w:t>
      </w:r>
      <w:r w:rsidR="005F6A9C">
        <w:t>. This is clearly demonstrated in the supporting Careers Programme</w:t>
      </w:r>
      <w:r>
        <w:t xml:space="preserve">. The Leicester Partnership School is also committed to </w:t>
      </w:r>
      <w:r w:rsidR="005F6A9C">
        <w:t>maximising</w:t>
      </w:r>
      <w:r>
        <w:t xml:space="preserve"> the benefits for all students by adopting a whole school approach involving parents, carers, external IAG providers, employers and other local agencies, the wider community and FE and HE establishments.</w:t>
      </w:r>
      <w:r w:rsidR="005F6A9C">
        <w:t xml:space="preserve"> A programme of </w:t>
      </w:r>
      <w:r w:rsidR="003E5490">
        <w:t xml:space="preserve">planned </w:t>
      </w:r>
      <w:r w:rsidR="005F6A9C">
        <w:t xml:space="preserve">engagement </w:t>
      </w:r>
      <w:r w:rsidR="003E5490">
        <w:t xml:space="preserve">is included within the Careers Programme and assessed through the annual Careers Advice. The Careers Programme is audited again by Compass Plus and the CDI Framework. </w:t>
      </w:r>
      <w:r w:rsidR="005F6A9C">
        <w:t xml:space="preserve"> </w:t>
      </w:r>
    </w:p>
    <w:p w14:paraId="0AC681C6" w14:textId="77777777" w:rsidR="007F0F1B" w:rsidRDefault="00BE159B">
      <w:pPr>
        <w:jc w:val="both"/>
      </w:pPr>
      <w:r>
        <w:t>The school will provide resources for the successful implementation of this policy through securing:</w:t>
      </w:r>
    </w:p>
    <w:p w14:paraId="7C6D470B" w14:textId="77777777" w:rsidR="007F0F1B" w:rsidRDefault="00BE159B">
      <w:pPr>
        <w:numPr>
          <w:ilvl w:val="0"/>
          <w:numId w:val="4"/>
        </w:numPr>
        <w:pBdr>
          <w:top w:val="nil"/>
          <w:left w:val="nil"/>
          <w:bottom w:val="nil"/>
          <w:right w:val="nil"/>
          <w:between w:val="nil"/>
        </w:pBdr>
        <w:spacing w:after="0"/>
        <w:jc w:val="both"/>
        <w:rPr>
          <w:color w:val="000000"/>
        </w:rPr>
      </w:pPr>
      <w:r>
        <w:rPr>
          <w:color w:val="000000"/>
        </w:rPr>
        <w:t>An annual budget to cover internal needs, CPD training opportunities and commissioning of external sources</w:t>
      </w:r>
    </w:p>
    <w:p w14:paraId="074B6118" w14:textId="77777777" w:rsidR="007F0F1B" w:rsidRDefault="00BE159B">
      <w:pPr>
        <w:numPr>
          <w:ilvl w:val="0"/>
          <w:numId w:val="4"/>
        </w:numPr>
        <w:pBdr>
          <w:top w:val="nil"/>
          <w:left w:val="nil"/>
          <w:bottom w:val="nil"/>
          <w:right w:val="nil"/>
          <w:between w:val="nil"/>
        </w:pBdr>
        <w:spacing w:after="0"/>
        <w:jc w:val="both"/>
        <w:rPr>
          <w:color w:val="000000"/>
        </w:rPr>
      </w:pPr>
      <w:r>
        <w:rPr>
          <w:color w:val="000000"/>
        </w:rPr>
        <w:t>Adequate staffing</w:t>
      </w:r>
    </w:p>
    <w:p w14:paraId="71D87F00" w14:textId="77777777" w:rsidR="007F0F1B" w:rsidRDefault="00BE159B">
      <w:pPr>
        <w:numPr>
          <w:ilvl w:val="0"/>
          <w:numId w:val="4"/>
        </w:numPr>
        <w:pBdr>
          <w:top w:val="nil"/>
          <w:left w:val="nil"/>
          <w:bottom w:val="nil"/>
          <w:right w:val="nil"/>
          <w:between w:val="nil"/>
        </w:pBdr>
        <w:spacing w:after="0"/>
        <w:jc w:val="both"/>
        <w:rPr>
          <w:color w:val="000000"/>
        </w:rPr>
      </w:pPr>
      <w:r>
        <w:rPr>
          <w:color w:val="000000"/>
        </w:rPr>
        <w:t>Student and staff access to information (electronic and hardcopy)</w:t>
      </w:r>
    </w:p>
    <w:p w14:paraId="198D266D" w14:textId="77777777" w:rsidR="007F0F1B" w:rsidRDefault="00BE159B">
      <w:pPr>
        <w:numPr>
          <w:ilvl w:val="0"/>
          <w:numId w:val="4"/>
        </w:numPr>
        <w:pBdr>
          <w:top w:val="nil"/>
          <w:left w:val="nil"/>
          <w:bottom w:val="nil"/>
          <w:right w:val="nil"/>
          <w:between w:val="nil"/>
        </w:pBdr>
        <w:jc w:val="both"/>
        <w:rPr>
          <w:color w:val="000000"/>
        </w:rPr>
      </w:pPr>
      <w:r>
        <w:rPr>
          <w:color w:val="000000"/>
        </w:rPr>
        <w:t>Designated space for individual, group and research sessions</w:t>
      </w:r>
    </w:p>
    <w:p w14:paraId="1EF678F3" w14:textId="44BF2EDC" w:rsidR="00FD70CC" w:rsidRDefault="00BE159B" w:rsidP="00FD70CC">
      <w:r>
        <w:t xml:space="preserve">In compliance with the </w:t>
      </w:r>
      <w:r w:rsidR="00FD70CC" w:rsidRPr="00BB3A5E">
        <w:t xml:space="preserve">statutory guidance outlined in the </w:t>
      </w:r>
      <w:r w:rsidR="00FD70CC" w:rsidRPr="00BB3A5E">
        <w:rPr>
          <w:i/>
          <w:iCs/>
        </w:rPr>
        <w:t>Careers Guidance and Access for Education and Training Providers</w:t>
      </w:r>
      <w:r w:rsidR="00FD70CC" w:rsidRPr="00BB3A5E">
        <w:t xml:space="preserve"> (DfE, 2023) and updated 2025 guidance. It aligns fully with the eight Gatsby Benchmarks and the Career Development Institute (CDI) Framework. </w:t>
      </w:r>
    </w:p>
    <w:p w14:paraId="5707EE26" w14:textId="5995663F" w:rsidR="007F0F1B" w:rsidRDefault="00BE159B">
      <w:pPr>
        <w:jc w:val="both"/>
      </w:pPr>
      <w:r>
        <w:t>The Leicester Partnership School will:</w:t>
      </w:r>
    </w:p>
    <w:p w14:paraId="66481DBD" w14:textId="77777777" w:rsidR="007F0F1B" w:rsidRDefault="00BE159B">
      <w:pPr>
        <w:numPr>
          <w:ilvl w:val="0"/>
          <w:numId w:val="5"/>
        </w:numPr>
        <w:pBdr>
          <w:top w:val="nil"/>
          <w:left w:val="nil"/>
          <w:bottom w:val="nil"/>
          <w:right w:val="nil"/>
          <w:between w:val="nil"/>
        </w:pBdr>
        <w:spacing w:after="0"/>
        <w:jc w:val="both"/>
        <w:rPr>
          <w:color w:val="000000"/>
        </w:rPr>
      </w:pPr>
      <w:r>
        <w:rPr>
          <w:color w:val="000000"/>
        </w:rPr>
        <w:t>Ensure that students are aware of the full range of career opportunities available</w:t>
      </w:r>
    </w:p>
    <w:p w14:paraId="77A9D81D" w14:textId="77777777" w:rsidR="007F0F1B" w:rsidRDefault="00BE159B">
      <w:pPr>
        <w:numPr>
          <w:ilvl w:val="0"/>
          <w:numId w:val="5"/>
        </w:numPr>
        <w:pBdr>
          <w:top w:val="nil"/>
          <w:left w:val="nil"/>
          <w:bottom w:val="nil"/>
          <w:right w:val="nil"/>
          <w:between w:val="nil"/>
        </w:pBdr>
        <w:spacing w:after="0"/>
        <w:jc w:val="both"/>
        <w:rPr>
          <w:color w:val="000000"/>
        </w:rPr>
      </w:pPr>
      <w:r>
        <w:rPr>
          <w:color w:val="000000"/>
        </w:rPr>
        <w:t>Learn from employers about valued workplace skills and have first-hand workplace experience.</w:t>
      </w:r>
    </w:p>
    <w:p w14:paraId="49D4C56C" w14:textId="77777777" w:rsidR="007F0F1B" w:rsidRDefault="00BE159B">
      <w:pPr>
        <w:numPr>
          <w:ilvl w:val="0"/>
          <w:numId w:val="5"/>
        </w:numPr>
        <w:pBdr>
          <w:top w:val="nil"/>
          <w:left w:val="nil"/>
          <w:bottom w:val="nil"/>
          <w:right w:val="nil"/>
          <w:between w:val="nil"/>
        </w:pBdr>
        <w:spacing w:after="0"/>
        <w:jc w:val="both"/>
        <w:rPr>
          <w:color w:val="000000"/>
        </w:rPr>
      </w:pPr>
      <w:r>
        <w:rPr>
          <w:color w:val="000000"/>
        </w:rPr>
        <w:t>Offer an excellent programme of advice and guidance delivered by qualified advisers with support tailored to the individual</w:t>
      </w:r>
    </w:p>
    <w:p w14:paraId="02A6A7DD" w14:textId="77777777" w:rsidR="007F0F1B" w:rsidRDefault="00BE159B">
      <w:pPr>
        <w:numPr>
          <w:ilvl w:val="0"/>
          <w:numId w:val="5"/>
        </w:numPr>
        <w:pBdr>
          <w:top w:val="nil"/>
          <w:left w:val="nil"/>
          <w:bottom w:val="nil"/>
          <w:right w:val="nil"/>
          <w:between w:val="nil"/>
        </w:pBdr>
        <w:spacing w:after="0"/>
        <w:jc w:val="both"/>
        <w:rPr>
          <w:color w:val="000000"/>
        </w:rPr>
      </w:pPr>
      <w:r>
        <w:rPr>
          <w:color w:val="000000"/>
        </w:rPr>
        <w:t>Provide information needed to understand job and career opportunities available and how knowledge and skills can help towards particular career paths</w:t>
      </w:r>
    </w:p>
    <w:p w14:paraId="4E8284C7" w14:textId="77777777" w:rsidR="007F0F1B" w:rsidRDefault="00BE159B">
      <w:pPr>
        <w:numPr>
          <w:ilvl w:val="0"/>
          <w:numId w:val="5"/>
        </w:numPr>
        <w:pBdr>
          <w:top w:val="nil"/>
          <w:left w:val="nil"/>
          <w:bottom w:val="nil"/>
          <w:right w:val="nil"/>
          <w:between w:val="nil"/>
        </w:pBdr>
        <w:spacing w:after="0"/>
        <w:jc w:val="both"/>
        <w:rPr>
          <w:color w:val="000000"/>
        </w:rPr>
      </w:pPr>
      <w:r>
        <w:rPr>
          <w:color w:val="000000"/>
        </w:rPr>
        <w:t>Give a range of providers of technical education and apprenticeships the opportunity to access all pupils</w:t>
      </w:r>
    </w:p>
    <w:p w14:paraId="002CA8AE" w14:textId="77777777" w:rsidR="007F0F1B" w:rsidRDefault="00BE159B">
      <w:pPr>
        <w:numPr>
          <w:ilvl w:val="0"/>
          <w:numId w:val="5"/>
        </w:numPr>
        <w:pBdr>
          <w:top w:val="nil"/>
          <w:left w:val="nil"/>
          <w:bottom w:val="nil"/>
          <w:right w:val="nil"/>
          <w:between w:val="nil"/>
        </w:pBdr>
        <w:spacing w:after="0"/>
        <w:jc w:val="both"/>
        <w:rPr>
          <w:color w:val="000000"/>
        </w:rPr>
      </w:pPr>
      <w:r>
        <w:rPr>
          <w:color w:val="000000"/>
        </w:rPr>
        <w:t>Publish details of career programmes for young people and parents</w:t>
      </w:r>
    </w:p>
    <w:p w14:paraId="4C4FD248" w14:textId="77777777" w:rsidR="007F0F1B" w:rsidRDefault="00BE159B">
      <w:pPr>
        <w:numPr>
          <w:ilvl w:val="0"/>
          <w:numId w:val="5"/>
        </w:numPr>
        <w:pBdr>
          <w:top w:val="nil"/>
          <w:left w:val="nil"/>
          <w:bottom w:val="nil"/>
          <w:right w:val="nil"/>
          <w:between w:val="nil"/>
        </w:pBdr>
        <w:spacing w:after="0"/>
        <w:jc w:val="both"/>
        <w:rPr>
          <w:color w:val="000000"/>
        </w:rPr>
      </w:pPr>
      <w:r>
        <w:rPr>
          <w:color w:val="000000"/>
        </w:rPr>
        <w:t>Ensure students have at least 1 meaningful encounter with employers per year</w:t>
      </w:r>
    </w:p>
    <w:p w14:paraId="2D430168" w14:textId="77777777" w:rsidR="007F0F1B" w:rsidRDefault="007F0F1B">
      <w:pPr>
        <w:pBdr>
          <w:top w:val="nil"/>
          <w:left w:val="nil"/>
          <w:bottom w:val="nil"/>
          <w:right w:val="nil"/>
          <w:between w:val="nil"/>
        </w:pBdr>
        <w:ind w:left="720"/>
        <w:jc w:val="both"/>
        <w:rPr>
          <w:color w:val="000000"/>
        </w:rPr>
      </w:pPr>
    </w:p>
    <w:p w14:paraId="7E99AE32" w14:textId="77777777" w:rsidR="007F0F1B" w:rsidRDefault="00BE159B">
      <w:pPr>
        <w:jc w:val="both"/>
        <w:rPr>
          <w:b/>
        </w:rPr>
      </w:pPr>
      <w:r>
        <w:rPr>
          <w:b/>
        </w:rPr>
        <w:t>Communication with External Stakeholders and Provider Access</w:t>
      </w:r>
    </w:p>
    <w:p w14:paraId="68BCB5F0" w14:textId="77777777" w:rsidR="007F0F1B" w:rsidRDefault="00BE159B">
      <w:pPr>
        <w:numPr>
          <w:ilvl w:val="0"/>
          <w:numId w:val="1"/>
        </w:numPr>
        <w:pBdr>
          <w:top w:val="nil"/>
          <w:left w:val="nil"/>
          <w:bottom w:val="nil"/>
          <w:right w:val="nil"/>
          <w:between w:val="nil"/>
        </w:pBdr>
        <w:spacing w:after="0"/>
        <w:jc w:val="both"/>
        <w:rPr>
          <w:color w:val="000000"/>
        </w:rPr>
      </w:pPr>
      <w:r>
        <w:rPr>
          <w:color w:val="000000"/>
        </w:rPr>
        <w:t>This policy and current CEIAG relevant information will be accessible on the school website that is regulated by our CEIAG partners LLEP.</w:t>
      </w:r>
    </w:p>
    <w:p w14:paraId="57104062" w14:textId="74363FFC" w:rsidR="007F0F1B" w:rsidRDefault="00BE159B">
      <w:pPr>
        <w:numPr>
          <w:ilvl w:val="0"/>
          <w:numId w:val="1"/>
        </w:numPr>
        <w:pBdr>
          <w:top w:val="nil"/>
          <w:left w:val="nil"/>
          <w:bottom w:val="nil"/>
          <w:right w:val="nil"/>
          <w:between w:val="nil"/>
        </w:pBdr>
        <w:spacing w:after="0"/>
        <w:jc w:val="both"/>
        <w:rPr>
          <w:color w:val="000000"/>
        </w:rPr>
      </w:pPr>
      <w:r>
        <w:rPr>
          <w:color w:val="000000"/>
        </w:rPr>
        <w:t xml:space="preserve">Information on open days, careers and </w:t>
      </w:r>
      <w:r w:rsidR="007B63CA">
        <w:rPr>
          <w:color w:val="000000"/>
        </w:rPr>
        <w:t>skills is</w:t>
      </w:r>
      <w:r>
        <w:rPr>
          <w:color w:val="000000"/>
        </w:rPr>
        <w:t xml:space="preserve"> given out to students, parents and on the website</w:t>
      </w:r>
    </w:p>
    <w:p w14:paraId="2582C5B2" w14:textId="485DDF78" w:rsidR="007F0F1B" w:rsidRDefault="00BE159B">
      <w:pPr>
        <w:numPr>
          <w:ilvl w:val="0"/>
          <w:numId w:val="1"/>
        </w:numPr>
        <w:pBdr>
          <w:top w:val="nil"/>
          <w:left w:val="nil"/>
          <w:bottom w:val="nil"/>
          <w:right w:val="nil"/>
          <w:between w:val="nil"/>
        </w:pBdr>
        <w:spacing w:after="0"/>
        <w:jc w:val="both"/>
        <w:rPr>
          <w:color w:val="000000"/>
        </w:rPr>
      </w:pPr>
      <w:r>
        <w:rPr>
          <w:color w:val="000000"/>
        </w:rPr>
        <w:lastRenderedPageBreak/>
        <w:t xml:space="preserve">Those engaged with the school will be kept in touch of The Leicester Partnership Schools Careers provision as and when appropriate including Work Experience providers and business volunteers. </w:t>
      </w:r>
    </w:p>
    <w:p w14:paraId="5452D848" w14:textId="77777777" w:rsidR="00A93C73" w:rsidRDefault="00A93C73" w:rsidP="00A93C73">
      <w:pPr>
        <w:pBdr>
          <w:top w:val="nil"/>
          <w:left w:val="nil"/>
          <w:bottom w:val="nil"/>
          <w:right w:val="nil"/>
          <w:between w:val="nil"/>
        </w:pBdr>
        <w:spacing w:after="0"/>
        <w:ind w:left="720"/>
        <w:jc w:val="both"/>
        <w:rPr>
          <w:color w:val="000000"/>
        </w:rPr>
      </w:pPr>
    </w:p>
    <w:p w14:paraId="24E70C31" w14:textId="77777777" w:rsidR="007F0F1B" w:rsidRDefault="00BE159B">
      <w:pPr>
        <w:jc w:val="both"/>
        <w:rPr>
          <w:b/>
        </w:rPr>
      </w:pPr>
      <w:r>
        <w:rPr>
          <w:b/>
        </w:rPr>
        <w:t>Management of provider access requests</w:t>
      </w:r>
    </w:p>
    <w:p w14:paraId="4ECB7510" w14:textId="267B24BC" w:rsidR="007F0F1B" w:rsidRDefault="00BE159B">
      <w:pPr>
        <w:pBdr>
          <w:top w:val="nil"/>
          <w:left w:val="nil"/>
          <w:bottom w:val="nil"/>
          <w:right w:val="nil"/>
          <w:between w:val="nil"/>
        </w:pBdr>
        <w:spacing w:after="0" w:line="240" w:lineRule="auto"/>
        <w:jc w:val="both"/>
        <w:rPr>
          <w:color w:val="000000"/>
        </w:rPr>
      </w:pPr>
      <w:r>
        <w:rPr>
          <w:color w:val="000000"/>
        </w:rPr>
        <w:t xml:space="preserve">Our provision includes various opportunities for students to access a range of events. These are integrated into the careers programme and curriculum as well as hosting or attending one off </w:t>
      </w:r>
      <w:proofErr w:type="gramStart"/>
      <w:r>
        <w:rPr>
          <w:color w:val="000000"/>
        </w:rPr>
        <w:t>events</w:t>
      </w:r>
      <w:proofErr w:type="gramEnd"/>
      <w:r>
        <w:rPr>
          <w:color w:val="000000"/>
        </w:rPr>
        <w:t xml:space="preserve"> that provide such opportunities. The integrated events are usually delivered internally, with contribution from external providers where necessary. The </w:t>
      </w:r>
      <w:r w:rsidR="007B63CA">
        <w:rPr>
          <w:color w:val="000000"/>
        </w:rPr>
        <w:t>one-off</w:t>
      </w:r>
      <w:r>
        <w:rPr>
          <w:color w:val="000000"/>
        </w:rPr>
        <w:t xml:space="preserve"> events are promoted with our students and key information is shared with parents. Where appropriate we will arrange visits, during the </w:t>
      </w:r>
      <w:r w:rsidR="007B63CA">
        <w:rPr>
          <w:color w:val="000000"/>
        </w:rPr>
        <w:t>school</w:t>
      </w:r>
      <w:r>
        <w:rPr>
          <w:color w:val="000000"/>
        </w:rPr>
        <w:t xml:space="preserve"> day, for a select group of students to attend. We aim to provide access which is inclusive and appropriate to all our students and those with SEND needs. </w:t>
      </w:r>
    </w:p>
    <w:p w14:paraId="6E56C8AB" w14:textId="77777777" w:rsidR="007F0F1B" w:rsidRDefault="007F0F1B">
      <w:pPr>
        <w:pBdr>
          <w:top w:val="nil"/>
          <w:left w:val="nil"/>
          <w:bottom w:val="nil"/>
          <w:right w:val="nil"/>
          <w:between w:val="nil"/>
        </w:pBdr>
        <w:spacing w:after="0" w:line="240" w:lineRule="auto"/>
        <w:jc w:val="both"/>
        <w:rPr>
          <w:color w:val="000000"/>
        </w:rPr>
      </w:pPr>
    </w:p>
    <w:p w14:paraId="125D2A81" w14:textId="70C74C88" w:rsidR="007F0F1B" w:rsidRDefault="00BE159B">
      <w:pPr>
        <w:pBdr>
          <w:top w:val="nil"/>
          <w:left w:val="nil"/>
          <w:bottom w:val="nil"/>
          <w:right w:val="nil"/>
          <w:between w:val="nil"/>
        </w:pBdr>
        <w:spacing w:after="0" w:line="240" w:lineRule="auto"/>
        <w:jc w:val="both"/>
        <w:rPr>
          <w:color w:val="000000"/>
        </w:rPr>
      </w:pPr>
      <w:r>
        <w:rPr>
          <w:color w:val="000000"/>
        </w:rPr>
        <w:t xml:space="preserve">The </w:t>
      </w:r>
      <w:r w:rsidR="007B63CA">
        <w:rPr>
          <w:color w:val="000000"/>
        </w:rPr>
        <w:t>school</w:t>
      </w:r>
      <w:r>
        <w:rPr>
          <w:color w:val="000000"/>
        </w:rPr>
        <w:t xml:space="preserve"> employs an independent and impartial careers adviser who works with Key Stage 3 and Key Stage 4 to ensure they are able to make an informed choice about their next steps. Our year 11 students have the opportunity for a </w:t>
      </w:r>
      <w:r w:rsidR="007B63CA">
        <w:rPr>
          <w:color w:val="000000"/>
        </w:rPr>
        <w:t>one-to-one</w:t>
      </w:r>
      <w:r>
        <w:rPr>
          <w:color w:val="000000"/>
        </w:rPr>
        <w:t xml:space="preserve"> appointment with a qualified careers adviser supplied by Connexions. Teachers will deliver advice on CV writing within key stage 4. Certain groups within key stage 3 and key stage 4 will have access to weekly careers lessons to develop skills and knowledge of career education. This will be delivered by a level 6 qualified careers professional. </w:t>
      </w:r>
    </w:p>
    <w:p w14:paraId="1B345D60" w14:textId="77777777" w:rsidR="007F0F1B" w:rsidRDefault="007F0F1B">
      <w:pPr>
        <w:pBdr>
          <w:top w:val="nil"/>
          <w:left w:val="nil"/>
          <w:bottom w:val="nil"/>
          <w:right w:val="nil"/>
          <w:between w:val="nil"/>
        </w:pBdr>
        <w:spacing w:after="0" w:line="240" w:lineRule="auto"/>
        <w:jc w:val="both"/>
        <w:rPr>
          <w:color w:val="000000"/>
        </w:rPr>
      </w:pPr>
    </w:p>
    <w:p w14:paraId="42EEDC6E" w14:textId="77777777" w:rsidR="007F0F1B" w:rsidRPr="0004448C" w:rsidRDefault="00BE159B">
      <w:pPr>
        <w:pBdr>
          <w:top w:val="nil"/>
          <w:left w:val="nil"/>
          <w:bottom w:val="nil"/>
          <w:right w:val="nil"/>
          <w:between w:val="nil"/>
        </w:pBdr>
        <w:spacing w:after="0" w:line="240" w:lineRule="auto"/>
        <w:jc w:val="both"/>
        <w:rPr>
          <w:b/>
          <w:bCs/>
          <w:color w:val="000000"/>
        </w:rPr>
      </w:pPr>
      <w:r w:rsidRPr="0004448C">
        <w:rPr>
          <w:b/>
          <w:bCs/>
          <w:color w:val="000000"/>
        </w:rPr>
        <w:t xml:space="preserve">Procedure of access requests </w:t>
      </w:r>
    </w:p>
    <w:p w14:paraId="608B3669" w14:textId="77777777" w:rsidR="007F0F1B" w:rsidRDefault="00BE159B">
      <w:pPr>
        <w:pBdr>
          <w:top w:val="nil"/>
          <w:left w:val="nil"/>
          <w:bottom w:val="nil"/>
          <w:right w:val="nil"/>
          <w:between w:val="nil"/>
        </w:pBdr>
        <w:spacing w:after="0" w:line="240" w:lineRule="auto"/>
        <w:jc w:val="both"/>
        <w:rPr>
          <w:color w:val="000000"/>
        </w:rPr>
      </w:pPr>
      <w:r>
        <w:rPr>
          <w:color w:val="000000"/>
        </w:rPr>
        <w:t> A provider wishing to request access should contact Mr S Whittingham via the School contact details.  </w:t>
      </w:r>
    </w:p>
    <w:p w14:paraId="57B33ACD" w14:textId="10CB1545" w:rsidR="007F0F1B" w:rsidRDefault="00BE159B">
      <w:pPr>
        <w:pBdr>
          <w:top w:val="nil"/>
          <w:left w:val="nil"/>
          <w:bottom w:val="nil"/>
          <w:right w:val="nil"/>
          <w:between w:val="nil"/>
        </w:pBdr>
        <w:spacing w:after="0" w:line="240" w:lineRule="auto"/>
        <w:jc w:val="both"/>
        <w:rPr>
          <w:color w:val="000000"/>
        </w:rPr>
      </w:pPr>
      <w:r>
        <w:rPr>
          <w:color w:val="000000"/>
        </w:rPr>
        <w:t xml:space="preserve">Local providers are invited to key relevant events that are held at school. We encourage providers who are interested in coming into the </w:t>
      </w:r>
      <w:r w:rsidR="007B63CA">
        <w:rPr>
          <w:color w:val="000000"/>
        </w:rPr>
        <w:t>school</w:t>
      </w:r>
      <w:r>
        <w:rPr>
          <w:color w:val="000000"/>
        </w:rPr>
        <w:t xml:space="preserve"> to contact Mr S Whittingham to identify the most suitable opportunity.  </w:t>
      </w:r>
    </w:p>
    <w:p w14:paraId="59FBB582" w14:textId="77777777" w:rsidR="00A93C73" w:rsidRDefault="00A93C73">
      <w:pPr>
        <w:pBdr>
          <w:top w:val="nil"/>
          <w:left w:val="nil"/>
          <w:bottom w:val="nil"/>
          <w:right w:val="nil"/>
          <w:between w:val="nil"/>
        </w:pBdr>
        <w:spacing w:after="0" w:line="240" w:lineRule="auto"/>
        <w:jc w:val="both"/>
        <w:rPr>
          <w:color w:val="000000"/>
        </w:rPr>
      </w:pPr>
    </w:p>
    <w:p w14:paraId="11E3B074" w14:textId="372F6F64" w:rsidR="007F0F1B" w:rsidRDefault="00BE159B">
      <w:pPr>
        <w:pBdr>
          <w:top w:val="nil"/>
          <w:left w:val="nil"/>
          <w:bottom w:val="nil"/>
          <w:right w:val="nil"/>
          <w:between w:val="nil"/>
        </w:pBdr>
        <w:spacing w:after="0" w:line="240" w:lineRule="auto"/>
        <w:jc w:val="both"/>
        <w:rPr>
          <w:color w:val="000000"/>
        </w:rPr>
      </w:pPr>
      <w:r>
        <w:rPr>
          <w:color w:val="000000"/>
        </w:rPr>
        <w:t xml:space="preserve">The Leicester Partnership School policy on safeguarding sets out the </w:t>
      </w:r>
      <w:r w:rsidR="007B63CA">
        <w:rPr>
          <w:color w:val="000000"/>
        </w:rPr>
        <w:t>school’s</w:t>
      </w:r>
      <w:r>
        <w:rPr>
          <w:color w:val="000000"/>
        </w:rPr>
        <w:t xml:space="preserve"> approach to allowing providers into the </w:t>
      </w:r>
      <w:r w:rsidR="007B63CA">
        <w:rPr>
          <w:color w:val="000000"/>
        </w:rPr>
        <w:t>school</w:t>
      </w:r>
      <w:r>
        <w:rPr>
          <w:color w:val="000000"/>
        </w:rPr>
        <w:t xml:space="preserve"> as visitors to talk to our students. At all times we ensure that there are no issues of safeguarding and that our students are always completely safe whilst meeting or speaking to external providers.  </w:t>
      </w:r>
    </w:p>
    <w:p w14:paraId="66F50DC8" w14:textId="77777777" w:rsidR="007F0F1B" w:rsidRDefault="00BE159B">
      <w:pPr>
        <w:pBdr>
          <w:top w:val="nil"/>
          <w:left w:val="nil"/>
          <w:bottom w:val="nil"/>
          <w:right w:val="nil"/>
          <w:between w:val="nil"/>
        </w:pBdr>
        <w:spacing w:after="0" w:line="240" w:lineRule="auto"/>
        <w:jc w:val="both"/>
        <w:rPr>
          <w:color w:val="000000"/>
        </w:rPr>
      </w:pPr>
      <w:r>
        <w:rPr>
          <w:color w:val="000000"/>
        </w:rPr>
        <w:t>  </w:t>
      </w:r>
    </w:p>
    <w:p w14:paraId="621EA1F9" w14:textId="77777777" w:rsidR="007F0F1B" w:rsidRPr="0004448C" w:rsidRDefault="00BE159B">
      <w:pPr>
        <w:pBdr>
          <w:top w:val="nil"/>
          <w:left w:val="nil"/>
          <w:bottom w:val="nil"/>
          <w:right w:val="nil"/>
          <w:between w:val="nil"/>
        </w:pBdr>
        <w:spacing w:after="0" w:line="240" w:lineRule="auto"/>
        <w:jc w:val="both"/>
        <w:rPr>
          <w:b/>
          <w:bCs/>
          <w:color w:val="000000"/>
        </w:rPr>
      </w:pPr>
      <w:r w:rsidRPr="0004448C">
        <w:rPr>
          <w:b/>
          <w:bCs/>
          <w:color w:val="000000"/>
        </w:rPr>
        <w:t xml:space="preserve">Resources for access requests </w:t>
      </w:r>
    </w:p>
    <w:p w14:paraId="4C38B203" w14:textId="184AD947" w:rsidR="007F0F1B" w:rsidRDefault="00BE159B">
      <w:pPr>
        <w:pBdr>
          <w:top w:val="nil"/>
          <w:left w:val="nil"/>
          <w:bottom w:val="nil"/>
          <w:right w:val="nil"/>
          <w:between w:val="nil"/>
        </w:pBdr>
        <w:spacing w:after="0" w:line="240" w:lineRule="auto"/>
        <w:jc w:val="both"/>
        <w:rPr>
          <w:color w:val="000000"/>
        </w:rPr>
      </w:pPr>
      <w:r>
        <w:rPr>
          <w:color w:val="000000"/>
        </w:rPr>
        <w:t xml:space="preserve">Once visits have been agreed, the </w:t>
      </w:r>
      <w:r w:rsidR="007B63CA">
        <w:rPr>
          <w:color w:val="000000"/>
        </w:rPr>
        <w:t>school</w:t>
      </w:r>
      <w:r>
        <w:rPr>
          <w:color w:val="000000"/>
        </w:rPr>
        <w:t xml:space="preserve"> will provide appropriate facilities to facilitate the visit, along with any equipment requested by the provider, where it is available. We are happy to work with providers to provide any resources we can that make their visit possible and we are happy to accommodate those that need to bring extra equipment into the </w:t>
      </w:r>
      <w:r w:rsidR="007B63CA">
        <w:rPr>
          <w:color w:val="000000"/>
        </w:rPr>
        <w:t>school</w:t>
      </w:r>
      <w:r>
        <w:rPr>
          <w:color w:val="000000"/>
        </w:rPr>
        <w:t xml:space="preserve"> in order to showcase what they do. Providers are welcome to leave a copy of their prospectus or other relevant course literature at reception for the attention of Mr S Whittingham.</w:t>
      </w:r>
    </w:p>
    <w:p w14:paraId="3611EDCA" w14:textId="77777777" w:rsidR="007F0F1B" w:rsidRDefault="007F0F1B">
      <w:pPr>
        <w:jc w:val="both"/>
      </w:pPr>
    </w:p>
    <w:p w14:paraId="68DC29E9" w14:textId="77777777" w:rsidR="007F0F1B" w:rsidRDefault="00BE159B">
      <w:pPr>
        <w:jc w:val="both"/>
        <w:rPr>
          <w:b/>
        </w:rPr>
      </w:pPr>
      <w:r>
        <w:rPr>
          <w:b/>
        </w:rPr>
        <w:t>Management, Monitoring and Evaluation</w:t>
      </w:r>
    </w:p>
    <w:p w14:paraId="6140AD14" w14:textId="2B5E112F" w:rsidR="007F0F1B" w:rsidRDefault="00BE159B">
      <w:pPr>
        <w:jc w:val="both"/>
      </w:pPr>
      <w:r>
        <w:t>The Headteacher</w:t>
      </w:r>
      <w:r w:rsidR="00B85CA4">
        <w:t>, along with the Careers Lead at KS4 and KS3, have strategic responsibility for CEIAG</w:t>
      </w:r>
      <w:r>
        <w:t xml:space="preserve"> and oversight with access to administration support. The careers provision and strategy </w:t>
      </w:r>
      <w:proofErr w:type="gramStart"/>
      <w:r>
        <w:t>is</w:t>
      </w:r>
      <w:proofErr w:type="gramEnd"/>
      <w:r>
        <w:t xml:space="preserve"> further supported by a link governor. To ensure that the careers provision remains effective and fully meets the needs of all students, this team and the school’s external IAG provider will conduct an annual review of CEIAG, taking account of destination outcome data and feedback from a range of stakeholders. </w:t>
      </w:r>
      <w:r w:rsidR="00A93C73">
        <w:t xml:space="preserve"> </w:t>
      </w:r>
      <w:r>
        <w:t>Any updates based on its outcome will be published on the school website.</w:t>
      </w:r>
    </w:p>
    <w:p w14:paraId="093CC584" w14:textId="77777777" w:rsidR="007F0F1B" w:rsidRDefault="00BE159B">
      <w:pPr>
        <w:jc w:val="both"/>
      </w:pPr>
      <w:r>
        <w:t>Key Destinations Data is to be abstracted by the head of Key Stage 4, once destinations data is published. Analysis to be completed with actions taken to address issues during the year.</w:t>
      </w:r>
    </w:p>
    <w:p w14:paraId="7B7205FB" w14:textId="77777777" w:rsidR="007F0F1B" w:rsidRDefault="007F0F1B">
      <w:pPr>
        <w:jc w:val="both"/>
      </w:pPr>
    </w:p>
    <w:p w14:paraId="605C74C1" w14:textId="77777777" w:rsidR="007F0F1B" w:rsidRDefault="00BE159B">
      <w:pPr>
        <w:jc w:val="both"/>
        <w:rPr>
          <w:b/>
        </w:rPr>
      </w:pPr>
      <w:r>
        <w:rPr>
          <w:b/>
        </w:rPr>
        <w:t>Training and Development</w:t>
      </w:r>
    </w:p>
    <w:p w14:paraId="55F7F2A5" w14:textId="03A340F5" w:rsidR="007F0F1B" w:rsidRDefault="00BE159B">
      <w:pPr>
        <w:jc w:val="both"/>
      </w:pPr>
      <w:r>
        <w:t>To maintain and continuously develop CEIAG provision at the school</w:t>
      </w:r>
      <w:r w:rsidR="00FC5A0A">
        <w:t>,</w:t>
      </w:r>
      <w:r>
        <w:t xml:space="preserve"> SLT will ensure the continual professional training and development of relevant staff and link governors.</w:t>
      </w:r>
    </w:p>
    <w:p w14:paraId="24247850" w14:textId="77777777" w:rsidR="007F0F1B" w:rsidRDefault="00BE159B">
      <w:pPr>
        <w:jc w:val="both"/>
      </w:pPr>
      <w:r>
        <w:t>These will include:</w:t>
      </w:r>
    </w:p>
    <w:p w14:paraId="26285CC5" w14:textId="77777777" w:rsidR="007F0F1B" w:rsidRDefault="00BE159B">
      <w:pPr>
        <w:jc w:val="both"/>
      </w:pPr>
      <w:r>
        <w:rPr>
          <w:i/>
        </w:rPr>
        <w:t>Careers Leader:</w:t>
      </w:r>
      <w:r>
        <w:t xml:space="preserve"> The professional development plan of this individual will include attendance at external careers event(s) and/or skills training programs each year.</w:t>
      </w:r>
    </w:p>
    <w:p w14:paraId="283D11B5" w14:textId="179C6637" w:rsidR="007F0F1B" w:rsidRDefault="00BE159B">
      <w:pPr>
        <w:jc w:val="both"/>
      </w:pPr>
      <w:r>
        <w:rPr>
          <w:i/>
        </w:rPr>
        <w:t xml:space="preserve">Link Governor: </w:t>
      </w:r>
      <w:r>
        <w:t>Will attend at least on</w:t>
      </w:r>
      <w:r w:rsidR="0048110F">
        <w:t xml:space="preserve">ce a year to review careers education guidance, protocols and practice </w:t>
      </w:r>
      <w:r>
        <w:t>and provide feedback</w:t>
      </w:r>
      <w:r w:rsidR="0048110F">
        <w:t xml:space="preserve"> and support</w:t>
      </w:r>
      <w:r>
        <w:t>.</w:t>
      </w:r>
    </w:p>
    <w:p w14:paraId="6B61EBBE" w14:textId="77777777" w:rsidR="0048110F" w:rsidRDefault="0048110F">
      <w:pPr>
        <w:jc w:val="both"/>
      </w:pPr>
    </w:p>
    <w:p w14:paraId="1B9337A1" w14:textId="77777777" w:rsidR="007F0F1B" w:rsidRDefault="00BE159B">
      <w:pPr>
        <w:jc w:val="both"/>
        <w:rPr>
          <w:b/>
        </w:rPr>
      </w:pPr>
      <w:r>
        <w:rPr>
          <w:b/>
        </w:rPr>
        <w:t>CEIAG Provision within the school curriculum</w:t>
      </w:r>
    </w:p>
    <w:p w14:paraId="79C9EF54" w14:textId="55E91C52" w:rsidR="007F0F1B" w:rsidRDefault="00BE159B">
      <w:pPr>
        <w:jc w:val="both"/>
      </w:pPr>
      <w:r>
        <w:t xml:space="preserve">At Leicester Partnership School there is a planned programme of learning experiences within the PSHE curriculum as part of year 7-11 students’ entitlement to CEIAG. The programme of activities is delivered during tutor time, </w:t>
      </w:r>
      <w:r w:rsidR="00402E5D">
        <w:t>lessons</w:t>
      </w:r>
      <w:r>
        <w:t xml:space="preserve"> and assemblies. </w:t>
      </w:r>
    </w:p>
    <w:p w14:paraId="52EF7388" w14:textId="332735DC" w:rsidR="007F0F1B" w:rsidRDefault="00BE159B">
      <w:pPr>
        <w:jc w:val="both"/>
      </w:pPr>
      <w:r>
        <w:t xml:space="preserve">The range of activities </w:t>
      </w:r>
      <w:r w:rsidR="00402E5D">
        <w:t>allows</w:t>
      </w:r>
      <w:r>
        <w:t xml:space="preserve"> the young people to:</w:t>
      </w:r>
    </w:p>
    <w:p w14:paraId="473018B9" w14:textId="1BF6ADE4" w:rsidR="007F0F1B" w:rsidRDefault="00BE159B">
      <w:pPr>
        <w:numPr>
          <w:ilvl w:val="0"/>
          <w:numId w:val="2"/>
        </w:numPr>
        <w:pBdr>
          <w:top w:val="nil"/>
          <w:left w:val="nil"/>
          <w:bottom w:val="nil"/>
          <w:right w:val="nil"/>
          <w:between w:val="nil"/>
        </w:pBdr>
        <w:spacing w:after="0"/>
        <w:jc w:val="both"/>
        <w:rPr>
          <w:color w:val="000000"/>
        </w:rPr>
      </w:pPr>
      <w:r>
        <w:rPr>
          <w:color w:val="000000"/>
        </w:rPr>
        <w:t xml:space="preserve">Develop themselves through career and work-related education – </w:t>
      </w:r>
      <w:r w:rsidR="00402E5D">
        <w:rPr>
          <w:color w:val="000000"/>
        </w:rPr>
        <w:t>Self-Development</w:t>
      </w:r>
    </w:p>
    <w:p w14:paraId="1B3155C3" w14:textId="77777777" w:rsidR="007F0F1B" w:rsidRDefault="00BE159B">
      <w:pPr>
        <w:numPr>
          <w:ilvl w:val="0"/>
          <w:numId w:val="2"/>
        </w:numPr>
        <w:pBdr>
          <w:top w:val="nil"/>
          <w:left w:val="nil"/>
          <w:bottom w:val="nil"/>
          <w:right w:val="nil"/>
          <w:between w:val="nil"/>
        </w:pBdr>
        <w:spacing w:after="0"/>
        <w:jc w:val="both"/>
        <w:rPr>
          <w:color w:val="000000"/>
        </w:rPr>
      </w:pPr>
      <w:r>
        <w:rPr>
          <w:color w:val="000000"/>
        </w:rPr>
        <w:t>Learn about careers and the world of work – Career Exploration</w:t>
      </w:r>
    </w:p>
    <w:p w14:paraId="4EB3EA89" w14:textId="77777777" w:rsidR="007F0F1B" w:rsidRDefault="00BE159B">
      <w:pPr>
        <w:numPr>
          <w:ilvl w:val="0"/>
          <w:numId w:val="2"/>
        </w:numPr>
        <w:pBdr>
          <w:top w:val="nil"/>
          <w:left w:val="nil"/>
          <w:bottom w:val="nil"/>
          <w:right w:val="nil"/>
          <w:between w:val="nil"/>
        </w:pBdr>
        <w:spacing w:after="0"/>
        <w:jc w:val="both"/>
        <w:rPr>
          <w:color w:val="000000"/>
        </w:rPr>
      </w:pPr>
      <w:r>
        <w:rPr>
          <w:color w:val="000000"/>
        </w:rPr>
        <w:t>Develop career management and employability skills – Career Management</w:t>
      </w:r>
    </w:p>
    <w:p w14:paraId="67397BA9" w14:textId="77777777" w:rsidR="007F0F1B" w:rsidRDefault="007F0F1B">
      <w:pPr>
        <w:pBdr>
          <w:top w:val="nil"/>
          <w:left w:val="nil"/>
          <w:bottom w:val="nil"/>
          <w:right w:val="nil"/>
          <w:between w:val="nil"/>
        </w:pBdr>
        <w:ind w:left="720"/>
        <w:jc w:val="both"/>
        <w:rPr>
          <w:color w:val="000000"/>
        </w:rPr>
      </w:pPr>
    </w:p>
    <w:p w14:paraId="2349DFD5" w14:textId="77777777" w:rsidR="007F0F1B" w:rsidRDefault="00BE159B">
      <w:pPr>
        <w:jc w:val="both"/>
        <w:rPr>
          <w:b/>
        </w:rPr>
      </w:pPr>
      <w:r>
        <w:rPr>
          <w:b/>
        </w:rPr>
        <w:t>Policy Approvals and Review</w:t>
      </w:r>
    </w:p>
    <w:p w14:paraId="641CB542" w14:textId="77777777" w:rsidR="007F0F1B" w:rsidRDefault="00BE159B">
      <w:pPr>
        <w:jc w:val="both"/>
      </w:pPr>
      <w:r>
        <w:t xml:space="preserve">This policy will be updated annually following the annual review and in discussion with staff and Governors. </w:t>
      </w:r>
    </w:p>
    <w:p w14:paraId="3C629EBC" w14:textId="77777777" w:rsidR="007F0F1B" w:rsidRDefault="007F0F1B">
      <w:pPr>
        <w:jc w:val="both"/>
      </w:pPr>
    </w:p>
    <w:p w14:paraId="2E707282" w14:textId="77777777" w:rsidR="007F0F1B" w:rsidRDefault="00BE159B">
      <w:pPr>
        <w:jc w:val="both"/>
      </w:pPr>
      <w:r>
        <w:t xml:space="preserve">This policy directly links with the Careers Education Programme. </w:t>
      </w:r>
    </w:p>
    <w:sectPr w:rsidR="007F0F1B" w:rsidSect="00EF00FD">
      <w:footerReference w:type="default" r:id="rId9"/>
      <w:headerReference w:type="first" r:id="rId10"/>
      <w:pgSz w:w="11906" w:h="16838"/>
      <w:pgMar w:top="1440" w:right="1440" w:bottom="1440" w:left="1440" w:header="708" w:footer="708" w:gutter="0"/>
      <w:pgBorders w:display="firstPage" w:offsetFrom="page">
        <w:top w:val="thinThickThinSmallGap" w:sz="24" w:space="24" w:color="00B0F0"/>
        <w:left w:val="thinThickThinSmallGap" w:sz="24" w:space="24" w:color="00B0F0"/>
        <w:bottom w:val="thinThickThinSmallGap" w:sz="24" w:space="24" w:color="00B0F0"/>
        <w:right w:val="thinThickThinSmallGap" w:sz="24" w:space="24" w:color="00B0F0"/>
      </w:pgBorders>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DEBD7" w14:textId="77777777" w:rsidR="00A82A7D" w:rsidRDefault="00A82A7D">
      <w:pPr>
        <w:spacing w:after="0" w:line="240" w:lineRule="auto"/>
      </w:pPr>
      <w:r>
        <w:separator/>
      </w:r>
    </w:p>
  </w:endnote>
  <w:endnote w:type="continuationSeparator" w:id="0">
    <w:p w14:paraId="5B215073" w14:textId="77777777" w:rsidR="00A82A7D" w:rsidRDefault="00A82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8D778" w14:textId="77777777" w:rsidR="007F0F1B" w:rsidRDefault="00BE159B">
    <w:pPr>
      <w:pBdr>
        <w:top w:val="single" w:sz="24" w:space="1" w:color="622423"/>
      </w:pBdr>
      <w:tabs>
        <w:tab w:val="center" w:pos="4513"/>
        <w:tab w:val="right" w:pos="9026"/>
        <w:tab w:val="right" w:pos="9070"/>
      </w:tabs>
      <w:spacing w:after="0"/>
      <w:rPr>
        <w:rFonts w:ascii="Cambria" w:eastAsia="Cambria" w:hAnsi="Cambria" w:cs="Cambria"/>
        <w:sz w:val="20"/>
        <w:szCs w:val="20"/>
      </w:rPr>
    </w:pPr>
    <w:r>
      <w:rPr>
        <w:rFonts w:ascii="Cambria" w:eastAsia="Cambria" w:hAnsi="Cambria" w:cs="Cambria"/>
        <w:sz w:val="20"/>
        <w:szCs w:val="20"/>
      </w:rPr>
      <w:t>The electronic version of this document is the latest version.  It is the responsibility of the individual to ensure any paper material is current.</w:t>
    </w:r>
    <w:r>
      <w:rPr>
        <w:rFonts w:ascii="Cambria" w:eastAsia="Cambria" w:hAnsi="Cambria" w:cs="Cambria"/>
        <w:sz w:val="20"/>
        <w:szCs w:val="20"/>
      </w:rPr>
      <w:tab/>
    </w:r>
    <w:r>
      <w:rPr>
        <w:rFonts w:ascii="Cambria" w:eastAsia="Cambria" w:hAnsi="Cambria" w:cs="Cambria"/>
        <w:sz w:val="20"/>
        <w:szCs w:val="20"/>
      </w:rPr>
      <w:tab/>
      <w:t xml:space="preserve">Page </w:t>
    </w:r>
    <w:r>
      <w:rPr>
        <w:sz w:val="20"/>
        <w:szCs w:val="20"/>
      </w:rPr>
      <w:fldChar w:fldCharType="begin"/>
    </w:r>
    <w:r>
      <w:rPr>
        <w:sz w:val="20"/>
        <w:szCs w:val="20"/>
      </w:rPr>
      <w:instrText>PAGE</w:instrText>
    </w:r>
    <w:r>
      <w:rPr>
        <w:sz w:val="20"/>
        <w:szCs w:val="20"/>
      </w:rPr>
      <w:fldChar w:fldCharType="separate"/>
    </w:r>
    <w:r w:rsidR="008C1513">
      <w:rPr>
        <w:noProof/>
        <w:sz w:val="20"/>
        <w:szCs w:val="20"/>
      </w:rPr>
      <w:t>2</w:t>
    </w:r>
    <w:r>
      <w:rPr>
        <w:sz w:val="20"/>
        <w:szCs w:val="20"/>
      </w:rPr>
      <w:fldChar w:fldCharType="end"/>
    </w:r>
  </w:p>
  <w:p w14:paraId="7A22A645" w14:textId="37F731A1" w:rsidR="007F0F1B" w:rsidRDefault="00BE159B" w:rsidP="00E20F6B">
    <w:pPr>
      <w:tabs>
        <w:tab w:val="center" w:pos="4513"/>
        <w:tab w:val="right" w:pos="9026"/>
      </w:tabs>
      <w:spacing w:after="0"/>
      <w:rPr>
        <w:color w:val="000000"/>
      </w:rPr>
    </w:pPr>
    <w:r>
      <w:rPr>
        <w:rFonts w:ascii="Times New Roman" w:eastAsia="Times New Roman" w:hAnsi="Times New Roman" w:cs="Times New Roman"/>
        <w:sz w:val="20"/>
        <w:szCs w:val="20"/>
      </w:rPr>
      <w:t xml:space="preserve">Date:  </w:t>
    </w:r>
    <w:r w:rsidR="009D04F9">
      <w:rPr>
        <w:rFonts w:ascii="Times New Roman" w:eastAsia="Times New Roman" w:hAnsi="Times New Roman" w:cs="Times New Roman"/>
        <w:sz w:val="20"/>
        <w:szCs w:val="20"/>
      </w:rPr>
      <w:t>October</w:t>
    </w:r>
    <w:r>
      <w:rPr>
        <w:rFonts w:ascii="Times New Roman" w:eastAsia="Times New Roman" w:hAnsi="Times New Roman" w:cs="Times New Roman"/>
        <w:sz w:val="20"/>
        <w:szCs w:val="20"/>
      </w:rPr>
      <w:t xml:space="preserve"> </w:t>
    </w:r>
    <w:r w:rsidR="00E20F6B">
      <w:rPr>
        <w:rFonts w:ascii="Times New Roman" w:eastAsia="Times New Roman" w:hAnsi="Times New Roman" w:cs="Times New Roman"/>
        <w:sz w:val="20"/>
        <w:szCs w:val="20"/>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E9F68" w14:textId="77777777" w:rsidR="00A82A7D" w:rsidRDefault="00A82A7D">
      <w:pPr>
        <w:spacing w:after="0" w:line="240" w:lineRule="auto"/>
      </w:pPr>
      <w:r>
        <w:separator/>
      </w:r>
    </w:p>
  </w:footnote>
  <w:footnote w:type="continuationSeparator" w:id="0">
    <w:p w14:paraId="57EBD289" w14:textId="77777777" w:rsidR="00A82A7D" w:rsidRDefault="00A82A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0C672" w14:textId="67664046" w:rsidR="007B63CA" w:rsidRPr="007B63CA" w:rsidRDefault="007B63CA">
    <w:pPr>
      <w:pStyle w:val="Header"/>
      <w:rPr>
        <w:b/>
        <w:bCs/>
      </w:rPr>
    </w:pPr>
  </w:p>
  <w:p w14:paraId="01007F56" w14:textId="77777777" w:rsidR="007B63CA" w:rsidRDefault="007B63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A763B"/>
    <w:multiLevelType w:val="multilevel"/>
    <w:tmpl w:val="E95639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EA54AB6"/>
    <w:multiLevelType w:val="multilevel"/>
    <w:tmpl w:val="C84ECF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1C37213"/>
    <w:multiLevelType w:val="multilevel"/>
    <w:tmpl w:val="227A19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AED00B8"/>
    <w:multiLevelType w:val="multilevel"/>
    <w:tmpl w:val="A75844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5930541"/>
    <w:multiLevelType w:val="multilevel"/>
    <w:tmpl w:val="60DC52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E405AB3"/>
    <w:multiLevelType w:val="multilevel"/>
    <w:tmpl w:val="78DAC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F1B"/>
    <w:rsid w:val="0004448C"/>
    <w:rsid w:val="000A53D7"/>
    <w:rsid w:val="00190AF6"/>
    <w:rsid w:val="001F574A"/>
    <w:rsid w:val="00237368"/>
    <w:rsid w:val="003375D5"/>
    <w:rsid w:val="003E5490"/>
    <w:rsid w:val="00402E5D"/>
    <w:rsid w:val="0048110F"/>
    <w:rsid w:val="004E1592"/>
    <w:rsid w:val="00551483"/>
    <w:rsid w:val="005F6A9C"/>
    <w:rsid w:val="00790BFB"/>
    <w:rsid w:val="007B0189"/>
    <w:rsid w:val="007B63CA"/>
    <w:rsid w:val="007F0F1B"/>
    <w:rsid w:val="0088319E"/>
    <w:rsid w:val="008C1513"/>
    <w:rsid w:val="00910C91"/>
    <w:rsid w:val="009D04F9"/>
    <w:rsid w:val="009E30B6"/>
    <w:rsid w:val="00A168E7"/>
    <w:rsid w:val="00A82A7D"/>
    <w:rsid w:val="00A93C73"/>
    <w:rsid w:val="00B85CA4"/>
    <w:rsid w:val="00BE159B"/>
    <w:rsid w:val="00C10977"/>
    <w:rsid w:val="00C84B59"/>
    <w:rsid w:val="00CE7602"/>
    <w:rsid w:val="00D84A37"/>
    <w:rsid w:val="00E20F6B"/>
    <w:rsid w:val="00EF00FD"/>
    <w:rsid w:val="00EF2112"/>
    <w:rsid w:val="00F6161A"/>
    <w:rsid w:val="00FC5A0A"/>
    <w:rsid w:val="00FD3781"/>
    <w:rsid w:val="00FD70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A8F1AC"/>
  <w15:docId w15:val="{74785AB0-9228-4373-95F2-C2D950320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0377D3"/>
    <w:pPr>
      <w:ind w:left="720"/>
      <w:contextualSpacing/>
    </w:pPr>
  </w:style>
  <w:style w:type="paragraph" w:customStyle="1" w:styleId="paragraph">
    <w:name w:val="paragraph"/>
    <w:basedOn w:val="Normal"/>
    <w:rsid w:val="00EB18E5"/>
    <w:pPr>
      <w:spacing w:after="0"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EB18E5"/>
  </w:style>
  <w:style w:type="character" w:customStyle="1" w:styleId="advancedproofingissue">
    <w:name w:val="advancedproofingissue"/>
    <w:basedOn w:val="DefaultParagraphFont"/>
    <w:rsid w:val="00EB18E5"/>
  </w:style>
  <w:style w:type="character" w:customStyle="1" w:styleId="normaltextrun1">
    <w:name w:val="normaltextrun1"/>
    <w:basedOn w:val="DefaultParagraphFont"/>
    <w:rsid w:val="00EB18E5"/>
  </w:style>
  <w:style w:type="character" w:customStyle="1" w:styleId="eop">
    <w:name w:val="eop"/>
    <w:basedOn w:val="DefaultParagraphFont"/>
    <w:rsid w:val="00EB18E5"/>
  </w:style>
  <w:style w:type="paragraph" w:styleId="Header">
    <w:name w:val="header"/>
    <w:basedOn w:val="Normal"/>
    <w:link w:val="HeaderChar"/>
    <w:uiPriority w:val="99"/>
    <w:unhideWhenUsed/>
    <w:rsid w:val="003F5C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5CE8"/>
  </w:style>
  <w:style w:type="paragraph" w:styleId="Footer">
    <w:name w:val="footer"/>
    <w:basedOn w:val="Normal"/>
    <w:link w:val="FooterChar"/>
    <w:uiPriority w:val="99"/>
    <w:unhideWhenUsed/>
    <w:rsid w:val="003F5C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5CE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EF2112"/>
    <w:rPr>
      <w:sz w:val="16"/>
      <w:szCs w:val="16"/>
    </w:rPr>
  </w:style>
  <w:style w:type="paragraph" w:styleId="CommentText">
    <w:name w:val="annotation text"/>
    <w:basedOn w:val="Normal"/>
    <w:link w:val="CommentTextChar"/>
    <w:uiPriority w:val="99"/>
    <w:unhideWhenUsed/>
    <w:rsid w:val="00EF2112"/>
    <w:pPr>
      <w:spacing w:line="240" w:lineRule="auto"/>
    </w:pPr>
    <w:rPr>
      <w:sz w:val="20"/>
      <w:szCs w:val="20"/>
    </w:rPr>
  </w:style>
  <w:style w:type="character" w:customStyle="1" w:styleId="CommentTextChar">
    <w:name w:val="Comment Text Char"/>
    <w:basedOn w:val="DefaultParagraphFont"/>
    <w:link w:val="CommentText"/>
    <w:uiPriority w:val="99"/>
    <w:rsid w:val="00EF2112"/>
    <w:rPr>
      <w:sz w:val="20"/>
      <w:szCs w:val="20"/>
    </w:rPr>
  </w:style>
  <w:style w:type="paragraph" w:styleId="CommentSubject">
    <w:name w:val="annotation subject"/>
    <w:basedOn w:val="CommentText"/>
    <w:next w:val="CommentText"/>
    <w:link w:val="CommentSubjectChar"/>
    <w:uiPriority w:val="99"/>
    <w:semiHidden/>
    <w:unhideWhenUsed/>
    <w:rsid w:val="00EF2112"/>
    <w:rPr>
      <w:b/>
      <w:bCs/>
    </w:rPr>
  </w:style>
  <w:style w:type="character" w:customStyle="1" w:styleId="CommentSubjectChar">
    <w:name w:val="Comment Subject Char"/>
    <w:basedOn w:val="CommentTextChar"/>
    <w:link w:val="CommentSubject"/>
    <w:uiPriority w:val="99"/>
    <w:semiHidden/>
    <w:rsid w:val="00EF21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yvROFE+vnIX1OUcQTBieqrVwVw==">CgMxLjAyCGguZ2pkZ3hzOAByITE2aWF0bWNYbkUtU09wMlJmMFJUdkZBUTFXRi1qcjBhMw==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1546</Words>
  <Characters>8817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Gill</dc:creator>
  <cp:lastModifiedBy>Aquilina, Julie</cp:lastModifiedBy>
  <cp:revision>2</cp:revision>
  <dcterms:created xsi:type="dcterms:W3CDTF">2025-10-08T12:34:00Z</dcterms:created>
  <dcterms:modified xsi:type="dcterms:W3CDTF">2025-10-08T12:34:00Z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307fa81bf5e6236423304ebfb4cb58c8bcd1cb25fdeea26ee71d8ba3d5ee6556</vt:lpwstr>
  </property>
</Properties>
</file>