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3A4905">
        <w:rPr>
          <w:rFonts w:ascii="Arial" w:eastAsia="Arial" w:hAnsi="Arial" w:cs="Arial"/>
          <w:i/>
          <w:sz w:val="22"/>
          <w:szCs w:val="22"/>
        </w:rPr>
        <w:t>2</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We practice safer recruitment in checking the suitability of all staff, external visitors 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Safeguarding is part of the Ofsted inspection framework within the ‘personal development and 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pro</w:t>
      </w:r>
      <w:r w:rsidR="002053DF">
        <w:rPr>
          <w:rFonts w:ascii="Arial" w:eastAsia="Arial" w:hAnsi="Arial" w:cs="Arial"/>
          <w:sz w:val="22"/>
          <w:szCs w:val="22"/>
        </w:rPr>
        <w:t xml:space="preserve"> </w:t>
      </w:r>
      <w:r w:rsidRPr="008512A2">
        <w:rPr>
          <w:rFonts w:ascii="Arial" w:eastAsia="Arial" w:hAnsi="Arial" w:cs="Arial"/>
          <w:sz w:val="22"/>
          <w:szCs w:val="22"/>
        </w:rPr>
        <w:t>forma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w:t>
      </w:r>
      <w:r w:rsidRPr="002053DF">
        <w:rPr>
          <w:rFonts w:ascii="Arial" w:eastAsia="Arial" w:hAnsi="Arial" w:cs="Arial"/>
          <w:sz w:val="22"/>
          <w:szCs w:val="22"/>
        </w:rPr>
        <w:t xml:space="preserve">, </w:t>
      </w:r>
      <w:r w:rsidR="003A4905" w:rsidRPr="002053DF">
        <w:rPr>
          <w:rFonts w:ascii="Arial" w:eastAsia="Arial" w:hAnsi="Arial" w:cs="Arial"/>
          <w:sz w:val="22"/>
          <w:szCs w:val="22"/>
        </w:rPr>
        <w:t>harmful sexual behaviours,</w:t>
      </w:r>
      <w:r w:rsidR="003A4905">
        <w:rPr>
          <w:rFonts w:ascii="Arial" w:eastAsia="Arial" w:hAnsi="Arial" w:cs="Arial"/>
          <w:sz w:val="22"/>
          <w:szCs w:val="22"/>
        </w:rPr>
        <w:t xml:space="preserve"> </w:t>
      </w:r>
      <w:r w:rsidRPr="00146C85">
        <w:rPr>
          <w:rFonts w:ascii="Arial" w:eastAsia="Arial" w:hAnsi="Arial" w:cs="Arial"/>
          <w:sz w:val="22"/>
          <w:szCs w:val="22"/>
        </w:rPr>
        <w:t>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w:t>
      </w:r>
      <w:r w:rsidR="003A4905">
        <w:rPr>
          <w:rFonts w:ascii="Arial" w:eastAsia="Arial" w:hAnsi="Arial" w:cs="Arial"/>
          <w:sz w:val="22"/>
          <w:szCs w:val="22"/>
        </w:rPr>
        <w:t xml:space="preserve">ed to talk, and are listened </w:t>
      </w:r>
      <w:r w:rsidR="003A4905" w:rsidRPr="002053DF">
        <w:rPr>
          <w:rFonts w:ascii="Arial" w:eastAsia="Arial" w:hAnsi="Arial" w:cs="Arial"/>
          <w:sz w:val="22"/>
          <w:szCs w:val="22"/>
        </w:rPr>
        <w:t>to, whilst recognising that children may not feel ready or know how to tell someone they are being abused.</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be </w:t>
      </w:r>
      <w:r w:rsidR="00CC328F" w:rsidRPr="00920F84">
        <w:rPr>
          <w:rFonts w:ascii="Arial" w:eastAsia="Arial" w:hAnsi="Arial" w:cs="Arial"/>
          <w:sz w:val="22"/>
          <w:szCs w:val="22"/>
        </w:rPr>
        <w:t>trained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In accordance with guidance for academies all of our senior leaders, teachers that carry department headships, headteachers,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The Board of Trustees and Local Governing bodies facilitate a whole school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Written, chronological records of concerns about children and young people are kept, even where there is no need to refer the matter immediately.  All academies are now using MyConcern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w:t>
      </w:r>
      <w:r w:rsidR="003E6096">
        <w:rPr>
          <w:rFonts w:ascii="Arial" w:eastAsia="Arial" w:hAnsi="Arial" w:cs="Arial"/>
          <w:sz w:val="22"/>
          <w:szCs w:val="22"/>
        </w:rPr>
        <w:t>tained.  It is good practice</w:t>
      </w:r>
      <w:r w:rsidRPr="008512A2">
        <w:rPr>
          <w:rFonts w:ascii="Arial" w:eastAsia="Arial" w:hAnsi="Arial" w:cs="Arial"/>
          <w:sz w:val="22"/>
          <w:szCs w:val="22"/>
        </w:rPr>
        <w:t xml:space="preserve">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Gaining the support required</w:t>
      </w:r>
      <w:r w:rsidR="003E6096">
        <w:rPr>
          <w:rFonts w:ascii="Arial" w:eastAsia="Arial" w:hAnsi="Arial" w:cs="Arial"/>
          <w:sz w:val="22"/>
          <w:szCs w:val="22"/>
        </w:rPr>
        <w:t>,</w:t>
      </w:r>
      <w:r w:rsidRPr="008512A2">
        <w:rPr>
          <w:rFonts w:ascii="Arial" w:eastAsia="Arial" w:hAnsi="Arial" w:cs="Arial"/>
          <w:sz w:val="22"/>
          <w:szCs w:val="22"/>
        </w:rPr>
        <w:t xml:space="preserve"> eg when a pupil who is subject to a Child in Need Plan leaves a school, their information is transferred to the new school immediately and the child/young person's social worker is informed.</w:t>
      </w:r>
    </w:p>
    <w:p w:rsidR="00A67E53" w:rsidRPr="002053DF"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2053DF">
        <w:rPr>
          <w:rFonts w:ascii="Arial" w:hAnsi="Arial" w:cs="Arial"/>
          <w:sz w:val="22"/>
          <w:szCs w:val="22"/>
        </w:rPr>
        <w:t>R</w:t>
      </w:r>
      <w:r w:rsidR="003E6096" w:rsidRPr="002053DF">
        <w:rPr>
          <w:rFonts w:ascii="Arial" w:hAnsi="Arial" w:cs="Arial"/>
          <w:bCs/>
          <w:sz w:val="22"/>
          <w:szCs w:val="22"/>
        </w:rPr>
        <w:t>ecognising that child on child</w:t>
      </w:r>
      <w:r w:rsidRPr="002053DF">
        <w:rPr>
          <w:rFonts w:ascii="Arial" w:hAnsi="Arial" w:cs="Arial"/>
          <w:bCs/>
          <w:sz w:val="22"/>
          <w:szCs w:val="22"/>
        </w:rPr>
        <w:t xml:space="preserve"> abuse can manifest itself in many ways. </w:t>
      </w:r>
      <w:r w:rsidRPr="002053DF">
        <w:rPr>
          <w:rFonts w:ascii="Arial" w:hAnsi="Arial" w:cs="Arial"/>
          <w:sz w:val="22"/>
          <w:szCs w:val="22"/>
        </w:rPr>
        <w:t>All</w:t>
      </w:r>
      <w:r w:rsidR="003E6096" w:rsidRPr="002053DF">
        <w:rPr>
          <w:rFonts w:ascii="Arial" w:hAnsi="Arial" w:cs="Arial"/>
          <w:bCs/>
          <w:sz w:val="22"/>
          <w:szCs w:val="22"/>
        </w:rPr>
        <w:t xml:space="preserve"> forms of child on child</w:t>
      </w:r>
      <w:r w:rsidRPr="002053DF">
        <w:rPr>
          <w:rFonts w:ascii="Arial" w:hAnsi="Arial" w:cs="Arial"/>
          <w:bCs/>
          <w:sz w:val="22"/>
          <w:szCs w:val="22"/>
        </w:rPr>
        <w:t xml:space="preserve">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w:t>
      </w:r>
      <w:r w:rsidR="003E6096">
        <w:rPr>
          <w:rFonts w:ascii="Arial" w:eastAsia="Arial" w:hAnsi="Arial" w:cs="Arial"/>
          <w:sz w:val="22"/>
          <w:szCs w:val="22"/>
        </w:rPr>
        <w:t>ictims, of</w:t>
      </w:r>
      <w:r w:rsidRPr="00920F84">
        <w:rPr>
          <w:rFonts w:ascii="Arial" w:eastAsia="Arial" w:hAnsi="Arial" w:cs="Arial"/>
          <w:sz w:val="22"/>
          <w:szCs w:val="22"/>
        </w:rPr>
        <w:t xml:space="preserve">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The Prevent Duty, DfE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Links will be made with SMSC, British values, citizenship, PSHE, tutorials, assemblies - 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3E6096">
      <w:pPr>
        <w:spacing w:line="276" w:lineRule="auto"/>
        <w:jc w:val="right"/>
        <w:rPr>
          <w:rFonts w:ascii="Arial" w:eastAsia="Arial" w:hAnsi="Arial" w:cs="Arial"/>
          <w:b/>
          <w:i/>
          <w:sz w:val="22"/>
          <w:szCs w:val="22"/>
        </w:rPr>
      </w:pPr>
      <w:r>
        <w:rPr>
          <w:rFonts w:ascii="Arial" w:eastAsia="Arial" w:hAnsi="Arial" w:cs="Arial"/>
          <w:b/>
          <w:i/>
          <w:sz w:val="22"/>
          <w:szCs w:val="22"/>
        </w:rPr>
        <w:t>September 2022</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All local governing bodies will have a safeguarding lead that, in collaboration with other governors, will hold the headteacher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MyConcern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DfE guidance, and able to talk with others about concerns including bullying – with a specific focus on all groups at particular risk and vulnerable such as those whose behaviour challenges gender norms, such as transgender pupils ; </w:t>
            </w:r>
            <w:r w:rsidR="00BF7EA4" w:rsidRPr="002053DF">
              <w:rPr>
                <w:rFonts w:ascii="Arial" w:eastAsia="Arial" w:hAnsi="Arial" w:cs="Arial"/>
                <w:sz w:val="22"/>
                <w:szCs w:val="22"/>
              </w:rPr>
              <w:t>Child on child</w:t>
            </w:r>
            <w:r w:rsidRPr="008512A2">
              <w:rPr>
                <w:rFonts w:ascii="Arial" w:eastAsia="Arial" w:hAnsi="Arial" w:cs="Arial"/>
                <w:sz w:val="22"/>
                <w:szCs w:val="22"/>
              </w:rPr>
              <w:t xml:space="preserve">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Parents/carers are aware of the school’s responsibilities in view of legal requirements eg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0F" w:rsidRDefault="006C530F">
      <w:r>
        <w:separator/>
      </w:r>
    </w:p>
  </w:endnote>
  <w:endnote w:type="continuationSeparator" w:id="0">
    <w:p w:rsidR="006C530F" w:rsidRDefault="006C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0F" w:rsidRDefault="006C530F">
      <w:r>
        <w:separator/>
      </w:r>
    </w:p>
  </w:footnote>
  <w:footnote w:type="continuationSeparator" w:id="0">
    <w:p w:rsidR="006C530F" w:rsidRDefault="006C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2053DF"/>
    <w:rsid w:val="003A4905"/>
    <w:rsid w:val="003E461E"/>
    <w:rsid w:val="003E6096"/>
    <w:rsid w:val="00485929"/>
    <w:rsid w:val="004B52A2"/>
    <w:rsid w:val="00567C4B"/>
    <w:rsid w:val="00644923"/>
    <w:rsid w:val="006C530F"/>
    <w:rsid w:val="008512A2"/>
    <w:rsid w:val="008C5237"/>
    <w:rsid w:val="00920F84"/>
    <w:rsid w:val="00A42AE7"/>
    <w:rsid w:val="00A67E53"/>
    <w:rsid w:val="00BF7EA4"/>
    <w:rsid w:val="00CC328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17B"/>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2</cp:revision>
  <dcterms:created xsi:type="dcterms:W3CDTF">2022-08-08T12:58:00Z</dcterms:created>
  <dcterms:modified xsi:type="dcterms:W3CDTF">2022-08-08T12:58:00Z</dcterms:modified>
</cp:coreProperties>
</file>