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4EBCFDC0" w:rsidR="002F3ED3" w:rsidRPr="00034147" w:rsidRDefault="002F3ED3">
      <w:pPr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page" w:horzAnchor="margin" w:tblpXSpec="center" w:tblpY="2457"/>
        <w:tblW w:w="1508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3017"/>
        <w:gridCol w:w="3017"/>
        <w:gridCol w:w="3017"/>
        <w:gridCol w:w="3017"/>
      </w:tblGrid>
      <w:tr w:rsidR="009E45B4" w:rsidRPr="00034147" w14:paraId="41B8E17B" w14:textId="77777777" w:rsidTr="009E45B4">
        <w:trPr>
          <w:trHeight w:val="1980"/>
        </w:trPr>
        <w:tc>
          <w:tcPr>
            <w:tcW w:w="3017" w:type="dxa"/>
          </w:tcPr>
          <w:p w14:paraId="29575ECA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10D15F5" wp14:editId="1E103D4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5080</wp:posOffset>
                  </wp:positionV>
                  <wp:extent cx="598170" cy="376555"/>
                  <wp:effectExtent l="0" t="0" r="0" b="4445"/>
                  <wp:wrapSquare wrapText="bothSides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-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DC4440" w14:textId="77777777" w:rsidR="009E45B4" w:rsidRPr="00034147" w:rsidRDefault="009E45B4" w:rsidP="009E45B4">
            <w:pPr>
              <w:rPr>
                <w:rFonts w:asciiTheme="majorHAnsi" w:eastAsia="Times New Roman" w:hAnsiTheme="majorHAnsi" w:cstheme="majorHAnsi"/>
                <w:color w:val="3B3838" w:themeColor="background2" w:themeShade="40"/>
                <w:sz w:val="18"/>
                <w:szCs w:val="18"/>
                <w:lang w:eastAsia="en-GB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course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on screenwriting, which includes learning the characteristics of screen stories, structure, character development and the writing process.  </w:t>
            </w:r>
          </w:p>
          <w:p w14:paraId="78330F0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9D59B0C" w14:textId="77777777" w:rsidR="009E45B4" w:rsidRPr="00034147" w:rsidRDefault="001626C3" w:rsidP="009E45B4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8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An Introduction </w:t>
              </w:r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to Screenwriting</w:t>
              </w:r>
            </w:hyperlink>
          </w:p>
          <w:p w14:paraId="72AA0B13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University of East Anglia</w:t>
            </w:r>
          </w:p>
        </w:tc>
        <w:tc>
          <w:tcPr>
            <w:tcW w:w="3017" w:type="dxa"/>
            <w:vMerge w:val="restart"/>
          </w:tcPr>
          <w:p w14:paraId="0077D171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0FAA812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00CC95A" wp14:editId="359570B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to this podcast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 provides a fascinating exploration into how spoken and written language gives criminals away and helps to solve crimes. This podcast is part of a wider series called ‘Word of Mouth’ by Michael Rosen, and there are lots of other episodes available if you like this one.</w:t>
            </w:r>
          </w:p>
          <w:p w14:paraId="1B29188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129F895E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0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Forensic Linguistics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D659675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17" w:type="dxa"/>
            <w:vMerge w:val="restart"/>
          </w:tcPr>
          <w:p w14:paraId="0D49C449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112E3FE" wp14:editId="0CC15F3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FBE212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hd w:val="clear" w:color="auto" w:fill="FEF9F5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sz w:val="18"/>
                <w:szCs w:val="18"/>
                <w:shd w:val="clear" w:color="auto" w:fill="FEF9F5"/>
              </w:rPr>
              <w:t xml:space="preserve">about Tottenham Hotspur’s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protests about the OED’s definition of the Y-word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</w:p>
          <w:p w14:paraId="171CC1E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EF9F5"/>
              </w:rPr>
            </w:pPr>
          </w:p>
          <w:p w14:paraId="4548096C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2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point of dictionaries is to describe how language is used, not to police it</w:t>
              </w:r>
            </w:hyperlink>
          </w:p>
          <w:p w14:paraId="779E3EC9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The Guardian </w:t>
            </w:r>
          </w:p>
        </w:tc>
        <w:tc>
          <w:tcPr>
            <w:tcW w:w="3017" w:type="dxa"/>
          </w:tcPr>
          <w:p w14:paraId="0CDB9AF6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  <w:p w14:paraId="5FD47F3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16F8A70" wp14:editId="5F1EDE6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talk,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presented in Spanish with English subtitles, which asks the question: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oes spelling matter in this day and age?</w:t>
            </w:r>
          </w:p>
          <w:p w14:paraId="76227058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223CE5B8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4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Should we simplify spelling?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1545802A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Karina Galperin</w:t>
            </w:r>
          </w:p>
        </w:tc>
        <w:tc>
          <w:tcPr>
            <w:tcW w:w="3017" w:type="dxa"/>
            <w:vMerge w:val="restart"/>
          </w:tcPr>
          <w:p w14:paraId="26528734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E45F419" wp14:editId="1CB23A2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23495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9955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course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 will help build you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skills of literary analysis and creative writing by exploring the meaning of fairy tales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  <w:p w14:paraId="3B839821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26FFC2F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6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Fairy Tales: Meaning, Messages, and Morals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D2A7AE1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The University of Newcastle, Australia</w:t>
            </w:r>
          </w:p>
        </w:tc>
      </w:tr>
      <w:tr w:rsidR="009E45B4" w:rsidRPr="00034147" w14:paraId="6CDD6EB2" w14:textId="77777777" w:rsidTr="009E45B4">
        <w:trPr>
          <w:trHeight w:val="220"/>
        </w:trPr>
        <w:tc>
          <w:tcPr>
            <w:tcW w:w="3017" w:type="dxa"/>
            <w:vMerge w:val="restart"/>
          </w:tcPr>
          <w:p w14:paraId="6CAEFA0E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7C6DA030" wp14:editId="14A7503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3175</wp:posOffset>
                  </wp:positionV>
                  <wp:extent cx="633730" cy="39878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BEB24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to this radio programme,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hosted by Mariella Frostrop, and hear from authors on their latest publication and what influences their writing. </w:t>
            </w:r>
          </w:p>
          <w:p w14:paraId="373887E4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There are 537 episodes available!</w:t>
            </w:r>
          </w:p>
          <w:p w14:paraId="0EC1F811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7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Open Book</w:t>
              </w:r>
            </w:hyperlink>
          </w:p>
          <w:p w14:paraId="42566D88" w14:textId="77777777" w:rsidR="009E45B4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8B4CD9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Or if you don’t want to listen to full episodes, the BBC have also produced a compilation of clips and best bits.</w:t>
            </w:r>
          </w:p>
          <w:p w14:paraId="1B3F7212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8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Open Book Clips</w:t>
              </w:r>
            </w:hyperlink>
            <w:bookmarkStart w:id="0" w:name="_GoBack"/>
            <w:bookmarkEnd w:id="0"/>
          </w:p>
          <w:p w14:paraId="6C07E511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17" w:type="dxa"/>
            <w:vMerge/>
          </w:tcPr>
          <w:p w14:paraId="05EBB6C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3ED00F5E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4EEA5487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1BD34B4" wp14:editId="029BDE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50800</wp:posOffset>
                  </wp:positionV>
                  <wp:extent cx="410845" cy="43434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8" r="21581" b="930"/>
                          <a:stretch/>
                        </pic:blipFill>
                        <pic:spPr bwMode="auto">
                          <a:xfrm>
                            <a:off x="0" y="0"/>
                            <a:ext cx="410845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 </w:t>
            </w:r>
          </w:p>
          <w:p w14:paraId="0EB98E8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course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F9E399E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is ideal for any student who is going to start A level English Language or A Level English Language and Literature in 2020</w:t>
            </w:r>
            <w:r w:rsidRPr="0003414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4155B68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72608C1B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0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An Introduction to Sociolinguistics: Accents, Attitudes </w:t>
              </w:r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and Identity</w:t>
              </w:r>
            </w:hyperlink>
          </w:p>
          <w:p w14:paraId="7CEBD43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University of York</w:t>
            </w:r>
          </w:p>
          <w:p w14:paraId="7E39AEF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Starts 13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vertAlign w:val="superscript"/>
              </w:rPr>
              <w:t>th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July</w:t>
            </w:r>
          </w:p>
          <w:p w14:paraId="05FA9B0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/>
          </w:tcPr>
          <w:p w14:paraId="7A1AAFF6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16138415" w14:textId="77777777" w:rsidTr="009E45B4">
        <w:trPr>
          <w:trHeight w:val="790"/>
        </w:trPr>
        <w:tc>
          <w:tcPr>
            <w:tcW w:w="3017" w:type="dxa"/>
            <w:vMerge/>
          </w:tcPr>
          <w:p w14:paraId="05EC8619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3017" w:type="dxa"/>
            <w:vMerge/>
          </w:tcPr>
          <w:p w14:paraId="5DE1220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20E45D0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</w:p>
          <w:p w14:paraId="73D1F5F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0BC001A" wp14:editId="375CB55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which presents a compelling argument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for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why you should bother to learn a new language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</w:p>
          <w:p w14:paraId="58D5DA72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1F2A3FD3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1" w:anchor="t-1094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 reasons to learn a new language</w:t>
              </w:r>
            </w:hyperlink>
          </w:p>
          <w:p w14:paraId="32DF5785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John McWhorter</w:t>
            </w:r>
          </w:p>
          <w:p w14:paraId="3D2D694D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22D7C9A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 w:val="restart"/>
          </w:tcPr>
          <w:p w14:paraId="7611DA50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AA4ED64" wp14:editId="2434170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450215" cy="426085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F11C03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on how you can harness the power of storytelling.</w:t>
            </w:r>
          </w:p>
          <w:p w14:paraId="2DCC56C3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</w:p>
          <w:p w14:paraId="13294F1C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hyperlink r:id="rId23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Storytelling is a powerful communication tool</w:t>
              </w:r>
            </w:hyperlink>
          </w:p>
          <w:p w14:paraId="32CC979A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Ideas TED</w:t>
            </w:r>
          </w:p>
          <w:p w14:paraId="6DE0ABC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5F2B2AB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7C9BB23D" w14:textId="77777777" w:rsidTr="009E45B4">
        <w:trPr>
          <w:trHeight w:hRule="exact" w:val="1182"/>
        </w:trPr>
        <w:tc>
          <w:tcPr>
            <w:tcW w:w="3017" w:type="dxa"/>
            <w:vMerge/>
          </w:tcPr>
          <w:p w14:paraId="05BED0EE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3017" w:type="dxa"/>
            <w:vMerge w:val="restart"/>
          </w:tcPr>
          <w:p w14:paraId="0461EFE4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7D645190" wp14:editId="0C9A025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0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C9E7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free e-book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which provides a brilliant survey of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the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history of the supernatural genre by renowned author H.P.Lovecraft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  <w:p w14:paraId="7C994F77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hd w:val="clear" w:color="auto" w:fill="FEF9F5"/>
              </w:rPr>
            </w:pPr>
          </w:p>
          <w:p w14:paraId="208A8690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4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Supernatural Horror in Literature</w:t>
              </w:r>
            </w:hyperlink>
          </w:p>
        </w:tc>
        <w:tc>
          <w:tcPr>
            <w:tcW w:w="3017" w:type="dxa"/>
            <w:vMerge/>
          </w:tcPr>
          <w:p w14:paraId="7D58FF60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5A4A0780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/>
          </w:tcPr>
          <w:p w14:paraId="650E9CA1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1A2F5F2A" w14:textId="77777777" w:rsidTr="009E45B4">
        <w:trPr>
          <w:trHeight w:val="267"/>
        </w:trPr>
        <w:tc>
          <w:tcPr>
            <w:tcW w:w="3017" w:type="dxa"/>
            <w:vMerge/>
          </w:tcPr>
          <w:p w14:paraId="7C11C19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503DED84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72CDCB6C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0B58955B" wp14:editId="60667E0D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66487</wp:posOffset>
                  </wp:positionV>
                  <wp:extent cx="450215" cy="426085"/>
                  <wp:effectExtent l="0" t="0" r="0" b="5715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1F2B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which, although very long, is a booklist that details all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of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the books covered on the BBC Sounds Open Book episodes – so it will help you decide what you want to listen to first.</w:t>
            </w:r>
          </w:p>
          <w:p w14:paraId="51C8E8FD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F9F5"/>
              </w:rPr>
            </w:pPr>
          </w:p>
          <w:p w14:paraId="239F0695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5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 Sounds Booklist</w:t>
              </w:r>
            </w:hyperlink>
          </w:p>
          <w:p w14:paraId="26CC3F59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Progr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</w:t>
            </w: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mmes</w:t>
            </w:r>
          </w:p>
          <w:p w14:paraId="04A6FC2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524D85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418D19F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  <w:p w14:paraId="5D2ACD3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56FEA930" wp14:editId="02AD88E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4791</wp:posOffset>
                  </wp:positionV>
                  <wp:extent cx="546735" cy="344170"/>
                  <wp:effectExtent l="0" t="0" r="0" b="0"/>
                  <wp:wrapSquare wrapText="bothSides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</w:p>
          <w:p w14:paraId="4E0F635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poses important questions about storytelling and culture. Is there a danger if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 we hear only a single story about another person or country? Do we need overlapping stories to form our opinion to avoid misunderstanding? </w:t>
            </w:r>
          </w:p>
          <w:p w14:paraId="3F62C87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4BB13820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6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danger of a single story</w:t>
              </w:r>
            </w:hyperlink>
          </w:p>
          <w:p w14:paraId="68C2F49F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Chimamanda Ngozi Adichie</w:t>
            </w:r>
          </w:p>
        </w:tc>
      </w:tr>
      <w:tr w:rsidR="009E45B4" w:rsidRPr="00034147" w14:paraId="453EDF1D" w14:textId="77777777" w:rsidTr="009E45B4">
        <w:trPr>
          <w:trHeight w:hRule="exact" w:val="333"/>
        </w:trPr>
        <w:tc>
          <w:tcPr>
            <w:tcW w:w="3017" w:type="dxa"/>
            <w:vMerge/>
          </w:tcPr>
          <w:p w14:paraId="26629B3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2FE92F00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FBCD850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2AC32937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66ADAEA" wp14:editId="5C5D35A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15875</wp:posOffset>
                  </wp:positionV>
                  <wp:extent cx="546735" cy="344170"/>
                  <wp:effectExtent l="0" t="0" r="0" b="0"/>
                  <wp:wrapSquare wrapText="bothSides"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0E6A5" w14:textId="77777777" w:rsidR="009E45B4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TED talk</w:t>
            </w:r>
            <w:r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explores how we can communicate effectively in non-verbal ways, using pictures and ‘maps’ to represent meaning.</w:t>
            </w:r>
          </w:p>
          <w:p w14:paraId="4F6CFC3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2315A81F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7" w:history="1">
              <w:r w:rsidR="009E45B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word game to communicate in any language</w:t>
              </w:r>
            </w:hyperlink>
          </w:p>
          <w:p w14:paraId="10DF7FB0" w14:textId="77777777" w:rsidR="009E45B4" w:rsidRPr="00034147" w:rsidRDefault="009E45B4" w:rsidP="009E45B4">
            <w:pPr>
              <w:rPr>
                <w:rStyle w:val="u-nowrap-small"/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Ajit Narayanan</w:t>
            </w:r>
          </w:p>
        </w:tc>
        <w:tc>
          <w:tcPr>
            <w:tcW w:w="3017" w:type="dxa"/>
            <w:vMerge/>
          </w:tcPr>
          <w:p w14:paraId="69322EE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</w:tr>
      <w:tr w:rsidR="009E45B4" w:rsidRPr="00034147" w14:paraId="0F6A034B" w14:textId="77777777" w:rsidTr="009E45B4">
        <w:trPr>
          <w:trHeight w:val="432"/>
        </w:trPr>
        <w:tc>
          <w:tcPr>
            <w:tcW w:w="3017" w:type="dxa"/>
          </w:tcPr>
          <w:p w14:paraId="18022B0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EE00EB2" wp14:editId="74A0CA5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152400</wp:posOffset>
                  </wp:positionV>
                  <wp:extent cx="546735" cy="344170"/>
                  <wp:effectExtent l="0" t="0" r="0" b="0"/>
                  <wp:wrapSquare wrapText="bothSides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9C76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in which Christopher Warner sets the record straight on what irony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u w:val="single"/>
              </w:rPr>
              <w:t>really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is.</w:t>
            </w:r>
          </w:p>
          <w:p w14:paraId="11A34057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3EE80A7E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8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Situational Irony: The opposite of what you think</w:t>
              </w:r>
            </w:hyperlink>
          </w:p>
          <w:p w14:paraId="66E76926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Christopher Warner</w:t>
            </w:r>
          </w:p>
        </w:tc>
        <w:tc>
          <w:tcPr>
            <w:tcW w:w="3017" w:type="dxa"/>
          </w:tcPr>
          <w:p w14:paraId="56B9CDCA" w14:textId="77777777" w:rsidR="009E45B4" w:rsidRPr="00034147" w:rsidRDefault="009E45B4" w:rsidP="009E45B4">
            <w:pPr>
              <w:tabs>
                <w:tab w:val="left" w:pos="1260"/>
              </w:tabs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  <w:p w14:paraId="3118A94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57800376" wp14:editId="6511B03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in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lexicographer Erin McKean explores how we can manipulate language to express ourselves better.</w:t>
            </w:r>
          </w:p>
          <w:p w14:paraId="1A23F6E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</w:p>
          <w:p w14:paraId="70C375B2" w14:textId="77777777" w:rsidR="009E45B4" w:rsidRPr="00034147" w:rsidRDefault="001626C3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9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Go ahead, make up new words!</w:t>
              </w:r>
            </w:hyperlink>
          </w:p>
          <w:p w14:paraId="15872AF2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Erin McKean</w:t>
            </w:r>
          </w:p>
        </w:tc>
        <w:tc>
          <w:tcPr>
            <w:tcW w:w="3017" w:type="dxa"/>
            <w:vMerge/>
          </w:tcPr>
          <w:p w14:paraId="7D87545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4BBC5471" w14:textId="77777777" w:rsidR="009E45B4" w:rsidRPr="00034147" w:rsidRDefault="009E45B4" w:rsidP="009E45B4">
            <w:pPr>
              <w:rPr>
                <w:rStyle w:val="u-nowrap-small"/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300592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</w:tr>
    </w:tbl>
    <w:p w14:paraId="648B37BB" w14:textId="4EF144AD" w:rsidR="003949C3" w:rsidRPr="00034147" w:rsidRDefault="001626C3">
      <w:pPr>
        <w:rPr>
          <w:rFonts w:asciiTheme="majorHAnsi" w:hAnsiTheme="majorHAnsi" w:cstheme="majorHAnsi"/>
          <w:sz w:val="18"/>
          <w:szCs w:val="18"/>
        </w:rPr>
      </w:pPr>
    </w:p>
    <w:sectPr w:rsidR="003949C3" w:rsidRPr="00034147" w:rsidSect="000E382F">
      <w:headerReference w:type="default" r:id="rId30"/>
      <w:footerReference w:type="default" r:id="rId31"/>
      <w:type w:val="continuous"/>
      <w:pgSz w:w="16840" w:h="11900" w:orient="landscape"/>
      <w:pgMar w:top="2223" w:right="1440" w:bottom="17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37F5" w14:textId="77777777" w:rsidR="001626C3" w:rsidRDefault="001626C3" w:rsidP="00CC1341">
      <w:r>
        <w:separator/>
      </w:r>
    </w:p>
  </w:endnote>
  <w:endnote w:type="continuationSeparator" w:id="0">
    <w:p w14:paraId="67520659" w14:textId="77777777" w:rsidR="001626C3" w:rsidRDefault="001626C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 Heavy">
    <w:altName w:val="Trebuchet MS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Light">
    <w:altName w:val="Calibri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B91E" w14:textId="77777777" w:rsidR="001626C3" w:rsidRDefault="001626C3" w:rsidP="00CC1341">
      <w:r>
        <w:separator/>
      </w:r>
    </w:p>
  </w:footnote>
  <w:footnote w:type="continuationSeparator" w:id="0">
    <w:p w14:paraId="53477D76" w14:textId="77777777" w:rsidR="001626C3" w:rsidRDefault="001626C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10181C08" w:rsidR="00CC1341" w:rsidRDefault="00BF21E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70401EA6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243467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07F81994">
              <wp:simplePos x="0" y="0"/>
              <wp:positionH relativeFrom="column">
                <wp:posOffset>-261257</wp:posOffset>
              </wp:positionH>
              <wp:positionV relativeFrom="paragraph">
                <wp:posOffset>138249</wp:posOffset>
              </wp:positionV>
              <wp:extent cx="6456680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6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51DA000" w:rsidR="00BB2225" w:rsidRPr="00536E99" w:rsidRDefault="00735D9B" w:rsidP="00BB2225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536E99" w:rsidRPr="00536E99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English, Media and MFL</w:t>
                          </w:r>
                          <w:r w:rsidR="00536E99" w:rsidRPr="00536E99">
                            <w:rPr>
                              <w:rFonts w:ascii="Calibri" w:hAnsi="Calibri" w:cs="Calibri"/>
                              <w:color w:val="18668C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1B671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55pt;margin-top:10.9pt;width:508.4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&#13;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51DA000" w:rsidR="00BB2225" w:rsidRPr="00536E99" w:rsidRDefault="00735D9B" w:rsidP="00BB2225">
                    <w:pPr>
                      <w:rPr>
                        <w:rFonts w:ascii="Calibri" w:hAnsi="Calibri" w:cs="Calibri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536E99" w:rsidRPr="00536E99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English, Media and MFL</w:t>
                    </w:r>
                    <w:r w:rsidR="00536E99" w:rsidRPr="00536E99">
                      <w:rPr>
                        <w:rFonts w:ascii="Calibri" w:hAnsi="Calibri" w:cs="Calibri"/>
                        <w:color w:val="18668C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1B671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</w:p>
                </w:txbxContent>
              </v:textbox>
            </v:shap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6795"/>
    <w:multiLevelType w:val="hybridMultilevel"/>
    <w:tmpl w:val="28EAE61E"/>
    <w:lvl w:ilvl="0" w:tplc="FFE806A6">
      <w:start w:val="1"/>
      <w:numFmt w:val="bullet"/>
      <w:lvlText w:val=""/>
      <w:lvlJc w:val="left"/>
      <w:pPr>
        <w:ind w:left="567" w:hanging="454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C175B6"/>
    <w:multiLevelType w:val="multilevel"/>
    <w:tmpl w:val="147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A6E55"/>
    <w:multiLevelType w:val="hybridMultilevel"/>
    <w:tmpl w:val="2370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34147"/>
    <w:rsid w:val="000E382F"/>
    <w:rsid w:val="000E7916"/>
    <w:rsid w:val="000F7E9F"/>
    <w:rsid w:val="00115F9E"/>
    <w:rsid w:val="00132C2F"/>
    <w:rsid w:val="001626C3"/>
    <w:rsid w:val="00197C0E"/>
    <w:rsid w:val="001B671D"/>
    <w:rsid w:val="0021569C"/>
    <w:rsid w:val="0022248B"/>
    <w:rsid w:val="00235A78"/>
    <w:rsid w:val="002D67F5"/>
    <w:rsid w:val="002F3ED3"/>
    <w:rsid w:val="003B49DE"/>
    <w:rsid w:val="00443242"/>
    <w:rsid w:val="004624E5"/>
    <w:rsid w:val="0047676F"/>
    <w:rsid w:val="004B737D"/>
    <w:rsid w:val="004F473E"/>
    <w:rsid w:val="00536E99"/>
    <w:rsid w:val="0054207F"/>
    <w:rsid w:val="0059618A"/>
    <w:rsid w:val="005F4F9B"/>
    <w:rsid w:val="005F628A"/>
    <w:rsid w:val="00623FAD"/>
    <w:rsid w:val="00643187"/>
    <w:rsid w:val="006815DE"/>
    <w:rsid w:val="00682F17"/>
    <w:rsid w:val="006A755C"/>
    <w:rsid w:val="006C51DF"/>
    <w:rsid w:val="006C70E3"/>
    <w:rsid w:val="006E36BD"/>
    <w:rsid w:val="006F4B25"/>
    <w:rsid w:val="0073412F"/>
    <w:rsid w:val="00735D9B"/>
    <w:rsid w:val="00754523"/>
    <w:rsid w:val="007913B0"/>
    <w:rsid w:val="0079176B"/>
    <w:rsid w:val="007B25F5"/>
    <w:rsid w:val="007B37D6"/>
    <w:rsid w:val="007D652F"/>
    <w:rsid w:val="007E004D"/>
    <w:rsid w:val="00872CFC"/>
    <w:rsid w:val="008A772C"/>
    <w:rsid w:val="008C3344"/>
    <w:rsid w:val="008E4246"/>
    <w:rsid w:val="0090308C"/>
    <w:rsid w:val="00905EC8"/>
    <w:rsid w:val="009643DC"/>
    <w:rsid w:val="009719FC"/>
    <w:rsid w:val="0099059A"/>
    <w:rsid w:val="009E45B4"/>
    <w:rsid w:val="009F5B5C"/>
    <w:rsid w:val="00A176A4"/>
    <w:rsid w:val="00A3145A"/>
    <w:rsid w:val="00A53ECC"/>
    <w:rsid w:val="00B21E24"/>
    <w:rsid w:val="00B2547A"/>
    <w:rsid w:val="00B34B24"/>
    <w:rsid w:val="00BB2225"/>
    <w:rsid w:val="00BF21ED"/>
    <w:rsid w:val="00C0792B"/>
    <w:rsid w:val="00C37A80"/>
    <w:rsid w:val="00C90286"/>
    <w:rsid w:val="00CC1341"/>
    <w:rsid w:val="00CC1D78"/>
    <w:rsid w:val="00CC49AE"/>
    <w:rsid w:val="00CE4417"/>
    <w:rsid w:val="00CF5988"/>
    <w:rsid w:val="00D30521"/>
    <w:rsid w:val="00D615B2"/>
    <w:rsid w:val="00D61E2A"/>
    <w:rsid w:val="00D970D6"/>
    <w:rsid w:val="00DF2C49"/>
    <w:rsid w:val="00DF6005"/>
    <w:rsid w:val="00E50893"/>
    <w:rsid w:val="00E6382C"/>
    <w:rsid w:val="00E70713"/>
    <w:rsid w:val="00E95104"/>
    <w:rsid w:val="00EB4979"/>
    <w:rsid w:val="00F11407"/>
    <w:rsid w:val="00F17849"/>
    <w:rsid w:val="00F25DAF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C37A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bbc.co.uk/programmes/b006qp6p/clips?page=3" TargetMode="External"/><Relationship Id="rId26" Type="http://schemas.openxmlformats.org/officeDocument/2006/relationships/hyperlink" Target="https://www.ted.com/talks/chimamanda_ngozi_adichie_the_danger_of_a_single_story?referrer=playlist-talks_for_when_you_wish_you_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talks/john_mcwhorter_4_reasons_to_learn_a_new_languag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heguardian.com/commentisfree/2020/feb/17/dictionaries-language-tottenham-hotspur-oed-y-word-definition" TargetMode="External"/><Relationship Id="rId17" Type="http://schemas.openxmlformats.org/officeDocument/2006/relationships/hyperlink" Target="https://www.bbc.co.uk/sounds/play/m000f5rw" TargetMode="External"/><Relationship Id="rId25" Type="http://schemas.openxmlformats.org/officeDocument/2006/relationships/hyperlink" Target="https://www.bbc.co.uk/programmes/articles/dCjLZ6hplwJbjJ8NnHQ5GT/this-weeks-book-lis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dx.org/course/fairy-tales-meanings-messages-and-morals" TargetMode="External"/><Relationship Id="rId20" Type="http://schemas.openxmlformats.org/officeDocument/2006/relationships/hyperlink" Target="https://www.futurelearn.com/courses/accents-attitudes-and-identity-an-introduction-to-sociolinguistics" TargetMode="External"/><Relationship Id="rId29" Type="http://schemas.openxmlformats.org/officeDocument/2006/relationships/hyperlink" Target="https://www.ted.com/talks/erin_mckean_go_ahead_make_up_new_wor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free-ebooks.net/humanities-and-arts/Supernatural-Horror-in-Literatur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ideas.ted.com/storytelling-is-a-powerful-communication-tool-heres-how-to-use-it-from-ted/" TargetMode="External"/><Relationship Id="rId28" Type="http://schemas.openxmlformats.org/officeDocument/2006/relationships/hyperlink" Target="https://www.ted.com/talks/christopher_warner_situational_irony_the_opposite_of_what_you_think" TargetMode="External"/><Relationship Id="rId10" Type="http://schemas.openxmlformats.org/officeDocument/2006/relationships/hyperlink" Target="https://www.bbc.co.uk/sounds/play/m00027n6" TargetMode="External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ed.com/talks/karina_galperin_should_we_simplify_spelling?language=en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ted.com/talks/ajit_narayanan_a_word_game_to_communicate_in_any_language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futurelearn.com/courses/screenwri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28</cp:revision>
  <dcterms:created xsi:type="dcterms:W3CDTF">2020-03-30T14:55:00Z</dcterms:created>
  <dcterms:modified xsi:type="dcterms:W3CDTF">2020-04-06T09:17:00Z</dcterms:modified>
</cp:coreProperties>
</file>