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5430"/>
      </w:tblGrid>
      <w:tr w:rsidR="00B663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B6631F" w:rsidP="00221816">
            <w:pPr>
              <w:pStyle w:val="TableHeader"/>
              <w:jc w:val="left"/>
            </w:pPr>
            <w:r>
              <w:t>Activity/Challenge/Target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B32A06" w:rsidP="00221816">
            <w:pPr>
              <w:pStyle w:val="TableHeader"/>
              <w:jc w:val="left"/>
            </w:pPr>
            <w:r>
              <w:t>March 2022 Progress</w:t>
            </w:r>
          </w:p>
        </w:tc>
      </w:tr>
      <w:tr w:rsidR="00B663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B6631F" w:rsidP="00B6631F">
            <w:pPr>
              <w:pStyle w:val="TableRow"/>
            </w:pPr>
            <w:r>
              <w:t>Attendance will be above 97% for all student.</w:t>
            </w:r>
          </w:p>
          <w:p w:rsidR="00B6631F" w:rsidRPr="003D1842" w:rsidRDefault="00B6631F" w:rsidP="00B6631F">
            <w:pPr>
              <w:pStyle w:val="TableRow"/>
            </w:pPr>
            <w:r>
              <w:t>Target achieved and PP students will show parity with non-PP students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8F7222" w:rsidP="002218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Current </w:t>
            </w:r>
            <w:r w:rsidR="00265B07">
              <w:rPr>
                <w:sz w:val="22"/>
              </w:rPr>
              <w:t xml:space="preserve">average </w:t>
            </w:r>
            <w:r>
              <w:rPr>
                <w:sz w:val="22"/>
              </w:rPr>
              <w:t>attendance is 81.3% (PP)</w:t>
            </w:r>
          </w:p>
          <w:p w:rsidR="008F7222" w:rsidRDefault="008F7222" w:rsidP="008F722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93% (non-PP)</w:t>
            </w:r>
          </w:p>
        </w:tc>
      </w:tr>
      <w:tr w:rsidR="00B663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CF" w:rsidRDefault="000E3FCF" w:rsidP="00221816">
            <w:pPr>
              <w:pStyle w:val="TableRow"/>
              <w:rPr>
                <w:sz w:val="22"/>
              </w:rPr>
            </w:pPr>
            <w:r w:rsidRPr="000E3FCF">
              <w:rPr>
                <w:sz w:val="22"/>
              </w:rPr>
              <w:t>Students will adopt positive learning behaviours in all areas of school life</w:t>
            </w:r>
            <w:r w:rsidRPr="000E3FCF">
              <w:rPr>
                <w:sz w:val="22"/>
              </w:rPr>
              <w:tab/>
            </w:r>
          </w:p>
          <w:p w:rsidR="00B6631F" w:rsidRPr="00B548B4" w:rsidRDefault="000E3FCF" w:rsidP="00221816">
            <w:pPr>
              <w:pStyle w:val="TableRow"/>
              <w:rPr>
                <w:sz w:val="22"/>
              </w:rPr>
            </w:pPr>
            <w:r w:rsidRPr="000E3FCF">
              <w:rPr>
                <w:sz w:val="22"/>
              </w:rPr>
              <w:t>PP students will achieve</w:t>
            </w:r>
            <w:r w:rsidR="00506007">
              <w:rPr>
                <w:sz w:val="22"/>
              </w:rPr>
              <w:t xml:space="preserve"> a merit to incident ratio of 6</w:t>
            </w:r>
            <w:r w:rsidRPr="000E3FCF">
              <w:rPr>
                <w:sz w:val="22"/>
              </w:rPr>
              <w:t>:1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B37C80" w:rsidP="002218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At February </w:t>
            </w:r>
            <w:proofErr w:type="gramStart"/>
            <w:r>
              <w:rPr>
                <w:sz w:val="22"/>
              </w:rPr>
              <w:t>Half-Term</w:t>
            </w:r>
            <w:proofErr w:type="gramEnd"/>
            <w:r>
              <w:rPr>
                <w:sz w:val="22"/>
              </w:rPr>
              <w:t xml:space="preserve"> we launched ‘Class Charts’. A student /teacher/ parent app that makes clear the homework/ praise given to students. Praise points </w:t>
            </w:r>
            <w:proofErr w:type="gramStart"/>
            <w:r>
              <w:rPr>
                <w:sz w:val="22"/>
              </w:rPr>
              <w:t>are linked</w:t>
            </w:r>
            <w:proofErr w:type="gramEnd"/>
            <w:r>
              <w:rPr>
                <w:sz w:val="22"/>
              </w:rPr>
              <w:t xml:space="preserve"> to individual achievement as well as the house system. </w:t>
            </w:r>
          </w:p>
          <w:p w:rsidR="008F7222" w:rsidRDefault="008F7222" w:rsidP="008F7222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Current </w:t>
            </w:r>
            <w:r w:rsidR="00490D24">
              <w:rPr>
                <w:sz w:val="22"/>
              </w:rPr>
              <w:t xml:space="preserve">average </w:t>
            </w:r>
            <w:r>
              <w:rPr>
                <w:sz w:val="22"/>
              </w:rPr>
              <w:t>ratio since September is</w:t>
            </w:r>
            <w:r w:rsidR="00490D24">
              <w:rPr>
                <w:sz w:val="22"/>
              </w:rPr>
              <w:t>:</w:t>
            </w:r>
          </w:p>
          <w:p w:rsidR="00490D24" w:rsidRDefault="00490D24" w:rsidP="008F7222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PP  Merit  3.27   Incident  1.73</w:t>
            </w:r>
          </w:p>
          <w:p w:rsidR="00490D24" w:rsidRDefault="00490D24" w:rsidP="008F7222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Non-PP   Merit  3.64     Incident  1.25</w:t>
            </w:r>
          </w:p>
        </w:tc>
      </w:tr>
      <w:tr w:rsidR="00B663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A1" w:rsidRDefault="00F45EA1" w:rsidP="00F45EA1">
            <w:pPr>
              <w:pStyle w:val="TableRow"/>
              <w:rPr>
                <w:sz w:val="22"/>
              </w:rPr>
            </w:pPr>
            <w:r w:rsidRPr="00F45EA1">
              <w:rPr>
                <w:sz w:val="22"/>
              </w:rPr>
              <w:t xml:space="preserve">Students working with external mentors or learning mentors within school </w:t>
            </w:r>
            <w:proofErr w:type="gramStart"/>
            <w:r w:rsidRPr="00F45EA1">
              <w:rPr>
                <w:sz w:val="22"/>
              </w:rPr>
              <w:t>are focused</w:t>
            </w:r>
            <w:proofErr w:type="gramEnd"/>
            <w:r w:rsidRPr="00F45EA1">
              <w:rPr>
                <w:sz w:val="22"/>
              </w:rPr>
              <w:t xml:space="preserve"> on achieving their target grades at the end of Year 11.</w:t>
            </w:r>
            <w:r w:rsidRPr="00F45EA1">
              <w:rPr>
                <w:sz w:val="22"/>
              </w:rPr>
              <w:tab/>
            </w:r>
          </w:p>
          <w:p w:rsidR="00B6631F" w:rsidRDefault="00F45EA1" w:rsidP="00F45EA1">
            <w:pPr>
              <w:pStyle w:val="TableRow"/>
              <w:rPr>
                <w:sz w:val="22"/>
              </w:rPr>
            </w:pPr>
            <w:r w:rsidRPr="00F45EA1">
              <w:rPr>
                <w:sz w:val="22"/>
              </w:rPr>
              <w:t xml:space="preserve">57% of PP </w:t>
            </w:r>
            <w:r>
              <w:rPr>
                <w:sz w:val="22"/>
              </w:rPr>
              <w:t xml:space="preserve">students will achieve 4+ basics </w:t>
            </w:r>
            <w:r w:rsidRPr="00F45EA1">
              <w:rPr>
                <w:sz w:val="22"/>
              </w:rPr>
              <w:t>and 29% 5+ in Summer 2022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B89" w:rsidRPr="00EA6B89" w:rsidRDefault="009111F9" w:rsidP="00EA6B89">
            <w:pPr>
              <w:pStyle w:val="TableRowCentered"/>
              <w:ind w:left="0"/>
              <w:jc w:val="left"/>
              <w:rPr>
                <w:b/>
                <w:sz w:val="22"/>
                <w:u w:val="single"/>
              </w:rPr>
            </w:pPr>
            <w:r w:rsidRPr="00EA6B89">
              <w:rPr>
                <w:b/>
                <w:sz w:val="22"/>
                <w:u w:val="single"/>
              </w:rPr>
              <w:t>PP December figures</w:t>
            </w:r>
          </w:p>
          <w:p w:rsidR="00EA6B89" w:rsidRDefault="00EA6B89" w:rsidP="00EA6B89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(achieving 4+/ 5+ in Eng</w:t>
            </w:r>
            <w:r w:rsidR="00F16FF4">
              <w:rPr>
                <w:sz w:val="22"/>
              </w:rPr>
              <w:t>lish</w:t>
            </w:r>
            <w:r>
              <w:rPr>
                <w:sz w:val="22"/>
              </w:rPr>
              <w:t xml:space="preserve"> and Maths)</w:t>
            </w:r>
          </w:p>
          <w:p w:rsidR="00B6631F" w:rsidRPr="00EA6B89" w:rsidRDefault="00EA6B89" w:rsidP="00221816">
            <w:pPr>
              <w:pStyle w:val="TableRowCentered"/>
              <w:ind w:left="0"/>
              <w:jc w:val="left"/>
              <w:rPr>
                <w:b/>
                <w:sz w:val="22"/>
              </w:rPr>
            </w:pPr>
            <w:r w:rsidRPr="00EA6B89">
              <w:rPr>
                <w:sz w:val="22"/>
              </w:rPr>
              <w:t>4+</w:t>
            </w:r>
            <w:r>
              <w:rPr>
                <w:b/>
                <w:sz w:val="22"/>
              </w:rPr>
              <w:t xml:space="preserve"> </w:t>
            </w:r>
            <w:r w:rsidR="0082105D" w:rsidRPr="0082105D">
              <w:rPr>
                <w:b/>
                <w:sz w:val="22"/>
              </w:rPr>
              <w:t>42</w:t>
            </w:r>
            <w:r w:rsidR="009111F9" w:rsidRPr="0082105D">
              <w:rPr>
                <w:b/>
                <w:sz w:val="22"/>
              </w:rPr>
              <w:t>%</w:t>
            </w:r>
            <w:r w:rsidR="009111F9" w:rsidRPr="00EA6B89">
              <w:rPr>
                <w:b/>
                <w:sz w:val="22"/>
              </w:rPr>
              <w:t xml:space="preserve"> </w:t>
            </w:r>
            <w:r w:rsidRPr="0082105D">
              <w:rPr>
                <w:sz w:val="22"/>
              </w:rPr>
              <w:t>(</w:t>
            </w:r>
            <w:r w:rsidR="0082105D" w:rsidRPr="0082105D">
              <w:rPr>
                <w:sz w:val="22"/>
              </w:rPr>
              <w:t>non-PP 75%)</w:t>
            </w:r>
          </w:p>
          <w:p w:rsidR="009111F9" w:rsidRDefault="00EA6B89" w:rsidP="0022181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5+ </w:t>
            </w:r>
            <w:r w:rsidR="0082105D" w:rsidRPr="0082105D">
              <w:rPr>
                <w:b/>
                <w:sz w:val="22"/>
              </w:rPr>
              <w:t>20</w:t>
            </w:r>
            <w:proofErr w:type="gramStart"/>
            <w:r w:rsidRPr="0082105D">
              <w:rPr>
                <w:b/>
                <w:sz w:val="22"/>
              </w:rPr>
              <w:t>%</w:t>
            </w:r>
            <w:r>
              <w:rPr>
                <w:sz w:val="22"/>
              </w:rPr>
              <w:t xml:space="preserve"> </w:t>
            </w:r>
            <w:r w:rsidR="0082105D">
              <w:rPr>
                <w:sz w:val="22"/>
              </w:rPr>
              <w:t xml:space="preserve"> (</w:t>
            </w:r>
            <w:proofErr w:type="gramEnd"/>
            <w:r w:rsidR="0082105D">
              <w:rPr>
                <w:sz w:val="22"/>
              </w:rPr>
              <w:t>non-PP  45%)</w:t>
            </w:r>
          </w:p>
          <w:p w:rsidR="009111F9" w:rsidRPr="00EA6B89" w:rsidRDefault="009111F9" w:rsidP="00221816">
            <w:pPr>
              <w:pStyle w:val="TableRowCentered"/>
              <w:ind w:left="0"/>
              <w:jc w:val="left"/>
              <w:rPr>
                <w:b/>
                <w:sz w:val="22"/>
                <w:u w:val="single"/>
              </w:rPr>
            </w:pPr>
            <w:r w:rsidRPr="00EA6B89">
              <w:rPr>
                <w:b/>
                <w:sz w:val="22"/>
                <w:u w:val="single"/>
              </w:rPr>
              <w:t>February</w:t>
            </w:r>
          </w:p>
          <w:p w:rsidR="009111F9" w:rsidRDefault="009111F9" w:rsidP="0022181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4+</w:t>
            </w:r>
            <w:r w:rsidR="00F16FF4">
              <w:rPr>
                <w:sz w:val="22"/>
              </w:rPr>
              <w:t xml:space="preserve"> </w:t>
            </w:r>
            <w:r w:rsidR="00F16FF4" w:rsidRPr="00F16FF4">
              <w:rPr>
                <w:b/>
                <w:sz w:val="22"/>
              </w:rPr>
              <w:t>52</w:t>
            </w:r>
            <w:r w:rsidR="00BE2DFF" w:rsidRPr="00F16FF4">
              <w:rPr>
                <w:b/>
                <w:sz w:val="22"/>
              </w:rPr>
              <w:t>%</w:t>
            </w:r>
            <w:r w:rsidR="0082105D">
              <w:rPr>
                <w:sz w:val="22"/>
              </w:rPr>
              <w:t xml:space="preserve"> (non-PP </w:t>
            </w:r>
            <w:r w:rsidR="00F16FF4">
              <w:rPr>
                <w:sz w:val="22"/>
              </w:rPr>
              <w:t>70%)</w:t>
            </w:r>
            <w:r w:rsidR="0082105D">
              <w:rPr>
                <w:sz w:val="22"/>
              </w:rPr>
              <w:t xml:space="preserve"> </w:t>
            </w:r>
          </w:p>
          <w:p w:rsidR="009111F9" w:rsidRDefault="009111F9" w:rsidP="0022181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5+</w:t>
            </w:r>
            <w:r w:rsidR="00F16FF4">
              <w:rPr>
                <w:sz w:val="22"/>
              </w:rPr>
              <w:t xml:space="preserve"> </w:t>
            </w:r>
            <w:r w:rsidR="00F16FF4" w:rsidRPr="00F16FF4">
              <w:rPr>
                <w:b/>
                <w:sz w:val="22"/>
              </w:rPr>
              <w:t>24</w:t>
            </w:r>
            <w:r w:rsidR="00BE2DFF" w:rsidRPr="00F16FF4">
              <w:rPr>
                <w:b/>
                <w:sz w:val="22"/>
              </w:rPr>
              <w:t>%</w:t>
            </w:r>
            <w:r w:rsidR="00F16FF4">
              <w:rPr>
                <w:sz w:val="22"/>
              </w:rPr>
              <w:t xml:space="preserve"> </w:t>
            </w:r>
            <w:proofErr w:type="gramStart"/>
            <w:r w:rsidR="0082105D">
              <w:rPr>
                <w:sz w:val="22"/>
              </w:rPr>
              <w:t>(</w:t>
            </w:r>
            <w:r w:rsidR="00F16FF4">
              <w:rPr>
                <w:sz w:val="22"/>
              </w:rPr>
              <w:t xml:space="preserve"> </w:t>
            </w:r>
            <w:r w:rsidR="0082105D">
              <w:rPr>
                <w:sz w:val="22"/>
              </w:rPr>
              <w:t>non</w:t>
            </w:r>
            <w:proofErr w:type="gramEnd"/>
            <w:r w:rsidR="0082105D">
              <w:rPr>
                <w:sz w:val="22"/>
              </w:rPr>
              <w:t>-PP</w:t>
            </w:r>
            <w:r w:rsidR="00F16FF4">
              <w:rPr>
                <w:sz w:val="22"/>
              </w:rPr>
              <w:t xml:space="preserve"> 46%)</w:t>
            </w:r>
          </w:p>
          <w:p w:rsidR="009111F9" w:rsidRPr="00EA6B89" w:rsidRDefault="009111F9" w:rsidP="00221816">
            <w:pPr>
              <w:pStyle w:val="TableRowCentered"/>
              <w:ind w:left="0"/>
              <w:jc w:val="left"/>
              <w:rPr>
                <w:b/>
                <w:sz w:val="22"/>
                <w:u w:val="single"/>
              </w:rPr>
            </w:pPr>
            <w:r w:rsidRPr="00EA6B89">
              <w:rPr>
                <w:b/>
                <w:sz w:val="22"/>
                <w:u w:val="single"/>
              </w:rPr>
              <w:t>March</w:t>
            </w:r>
          </w:p>
          <w:p w:rsidR="009111F9" w:rsidRDefault="009111F9" w:rsidP="0022181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4+</w:t>
            </w:r>
            <w:r w:rsidR="005547C3">
              <w:rPr>
                <w:sz w:val="22"/>
              </w:rPr>
              <w:t xml:space="preserve"> </w:t>
            </w:r>
            <w:r w:rsidR="00F16FF4" w:rsidRPr="00F16FF4">
              <w:rPr>
                <w:b/>
                <w:sz w:val="22"/>
              </w:rPr>
              <w:t>44</w:t>
            </w:r>
            <w:r w:rsidR="005547C3" w:rsidRPr="00F16FF4">
              <w:rPr>
                <w:b/>
                <w:sz w:val="22"/>
              </w:rPr>
              <w:t>%</w:t>
            </w:r>
            <w:r w:rsidR="00F16FF4">
              <w:rPr>
                <w:sz w:val="22"/>
              </w:rPr>
              <w:t xml:space="preserve"> </w:t>
            </w:r>
            <w:r w:rsidR="0082105D">
              <w:rPr>
                <w:sz w:val="22"/>
              </w:rPr>
              <w:t>(non-</w:t>
            </w:r>
            <w:proofErr w:type="gramStart"/>
            <w:r w:rsidR="0082105D">
              <w:rPr>
                <w:sz w:val="22"/>
              </w:rPr>
              <w:t xml:space="preserve">PP  </w:t>
            </w:r>
            <w:r w:rsidR="00F16FF4">
              <w:rPr>
                <w:sz w:val="22"/>
              </w:rPr>
              <w:t>72</w:t>
            </w:r>
            <w:proofErr w:type="gramEnd"/>
            <w:r w:rsidR="00F16FF4">
              <w:rPr>
                <w:sz w:val="22"/>
              </w:rPr>
              <w:t>%)</w:t>
            </w:r>
          </w:p>
          <w:p w:rsidR="009111F9" w:rsidRDefault="009111F9" w:rsidP="00F16FF4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5+</w:t>
            </w:r>
            <w:r w:rsidR="005547C3">
              <w:rPr>
                <w:sz w:val="22"/>
              </w:rPr>
              <w:t xml:space="preserve"> </w:t>
            </w:r>
            <w:r w:rsidR="00F16FF4" w:rsidRPr="00F16FF4">
              <w:rPr>
                <w:b/>
                <w:sz w:val="22"/>
              </w:rPr>
              <w:t>26</w:t>
            </w:r>
            <w:r w:rsidR="005547C3" w:rsidRPr="00F16FF4">
              <w:rPr>
                <w:b/>
                <w:sz w:val="22"/>
              </w:rPr>
              <w:t>%</w:t>
            </w:r>
            <w:r w:rsidR="0082105D">
              <w:rPr>
                <w:sz w:val="22"/>
              </w:rPr>
              <w:t xml:space="preserve"> (non-</w:t>
            </w:r>
            <w:proofErr w:type="gramStart"/>
            <w:r w:rsidR="0082105D">
              <w:rPr>
                <w:sz w:val="22"/>
              </w:rPr>
              <w:t xml:space="preserve">PP  </w:t>
            </w:r>
            <w:r w:rsidR="00F16FF4">
              <w:rPr>
                <w:sz w:val="22"/>
              </w:rPr>
              <w:t>49</w:t>
            </w:r>
            <w:proofErr w:type="gramEnd"/>
            <w:r w:rsidR="00F16FF4">
              <w:rPr>
                <w:sz w:val="22"/>
              </w:rPr>
              <w:t>%)</w:t>
            </w:r>
          </w:p>
        </w:tc>
      </w:tr>
      <w:tr w:rsidR="00B663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723D1F" w:rsidP="00221816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>One year TLR staff appointment (MR)  to research and lead on the development of a culture of motivated students throughout school (Assertive Mentoring)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1F" w:rsidRDefault="0027283B" w:rsidP="002218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35 Year 10 students have started assertive mentoring with individual teachers.</w:t>
            </w:r>
          </w:p>
          <w:p w:rsidR="0027283B" w:rsidRPr="00F16FF4" w:rsidRDefault="0027283B" w:rsidP="00221816">
            <w:pPr>
              <w:pStyle w:val="TableRowCentered"/>
              <w:jc w:val="left"/>
              <w:rPr>
                <w:b/>
                <w:sz w:val="22"/>
              </w:rPr>
            </w:pPr>
            <w:r w:rsidRPr="00F16FF4">
              <w:rPr>
                <w:b/>
                <w:sz w:val="22"/>
              </w:rPr>
              <w:t>30 of these students are PP</w:t>
            </w:r>
          </w:p>
        </w:tc>
      </w:tr>
      <w:tr w:rsidR="00723D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>“Action Tutoring”-external agency</w:t>
            </w:r>
          </w:p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 xml:space="preserve"> Year 11 English and Maths</w:t>
            </w:r>
          </w:p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>To work with 16 Year 11 students (8 English, 8 Maths)-1 hour/week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301" w:rsidRDefault="00305301" w:rsidP="00221816">
            <w:pPr>
              <w:pStyle w:val="TableRowCentered"/>
              <w:jc w:val="left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16 PP students in total</w:t>
            </w:r>
          </w:p>
          <w:p w:rsidR="00723D1F" w:rsidRPr="00305301" w:rsidRDefault="00BE2DFF" w:rsidP="00C25EA2">
            <w:pPr>
              <w:pStyle w:val="TableRowCentered"/>
              <w:ind w:left="0"/>
              <w:jc w:val="left"/>
              <w:rPr>
                <w:b/>
                <w:i/>
                <w:sz w:val="22"/>
                <w:u w:val="single"/>
              </w:rPr>
            </w:pPr>
            <w:r w:rsidRPr="00305301">
              <w:rPr>
                <w:b/>
                <w:i/>
                <w:sz w:val="22"/>
                <w:u w:val="single"/>
              </w:rPr>
              <w:t>December</w:t>
            </w:r>
          </w:p>
          <w:p w:rsidR="00BE2DFF" w:rsidRPr="006C35C3" w:rsidRDefault="00BE2DFF" w:rsidP="00C25EA2">
            <w:pPr>
              <w:pStyle w:val="TableRowCentered"/>
              <w:ind w:left="0"/>
              <w:jc w:val="left"/>
              <w:rPr>
                <w:b/>
                <w:color w:val="0070C0"/>
                <w:sz w:val="22"/>
                <w:u w:val="single"/>
              </w:rPr>
            </w:pPr>
            <w:r w:rsidRPr="006C35C3">
              <w:rPr>
                <w:b/>
                <w:color w:val="0070C0"/>
                <w:sz w:val="22"/>
                <w:u w:val="single"/>
              </w:rPr>
              <w:t>English (8 students)</w:t>
            </w:r>
          </w:p>
          <w:p w:rsidR="00C25EA2" w:rsidRDefault="00BE2DFF" w:rsidP="00C25EA2">
            <w:pPr>
              <w:pStyle w:val="TableRowCentered"/>
              <w:jc w:val="left"/>
              <w:rPr>
                <w:color w:val="0070C0"/>
                <w:sz w:val="22"/>
              </w:rPr>
            </w:pPr>
            <w:r w:rsidRPr="006C35C3">
              <w:rPr>
                <w:color w:val="0070C0"/>
                <w:sz w:val="22"/>
              </w:rPr>
              <w:t>Grades   3’s (1)  4’s(3)  5’s (2)  6’s (2)</w:t>
            </w:r>
          </w:p>
          <w:p w:rsidR="00BE2DFF" w:rsidRPr="00C25EA2" w:rsidRDefault="00BE2DFF" w:rsidP="00C25EA2">
            <w:pPr>
              <w:pStyle w:val="TableRowCentered"/>
              <w:ind w:left="0"/>
              <w:jc w:val="left"/>
              <w:rPr>
                <w:color w:val="0070C0"/>
                <w:sz w:val="22"/>
              </w:rPr>
            </w:pPr>
            <w:r w:rsidRPr="006C35C3">
              <w:rPr>
                <w:b/>
                <w:color w:val="00B050"/>
                <w:sz w:val="22"/>
                <w:u w:val="single"/>
              </w:rPr>
              <w:t>Maths (8 students)</w:t>
            </w:r>
          </w:p>
          <w:p w:rsidR="00BE2DFF" w:rsidRPr="006C35C3" w:rsidRDefault="00BE2DFF" w:rsidP="005E5803">
            <w:pPr>
              <w:pStyle w:val="TableRowCentered"/>
              <w:ind w:left="0"/>
              <w:jc w:val="left"/>
              <w:rPr>
                <w:color w:val="00B050"/>
                <w:sz w:val="22"/>
              </w:rPr>
            </w:pPr>
            <w:r w:rsidRPr="006C35C3">
              <w:rPr>
                <w:color w:val="00B050"/>
                <w:sz w:val="22"/>
              </w:rPr>
              <w:t xml:space="preserve">Grades  </w:t>
            </w:r>
            <w:r w:rsidR="005E5803" w:rsidRPr="006C35C3">
              <w:rPr>
                <w:color w:val="00B050"/>
                <w:sz w:val="22"/>
              </w:rPr>
              <w:t>1’s(1)  2’s(1)  3’s (4)  4’s (2)</w:t>
            </w:r>
          </w:p>
          <w:p w:rsidR="005E5803" w:rsidRPr="00305301" w:rsidRDefault="005E5803" w:rsidP="005E5803">
            <w:pPr>
              <w:pStyle w:val="TableRowCentered"/>
              <w:ind w:left="0"/>
              <w:jc w:val="left"/>
              <w:rPr>
                <w:b/>
                <w:i/>
                <w:sz w:val="22"/>
                <w:u w:val="single"/>
              </w:rPr>
            </w:pPr>
            <w:r w:rsidRPr="00305301">
              <w:rPr>
                <w:b/>
                <w:i/>
                <w:sz w:val="22"/>
                <w:u w:val="single"/>
              </w:rPr>
              <w:t>February</w:t>
            </w:r>
          </w:p>
          <w:p w:rsidR="00C25EA2" w:rsidRDefault="005E5803" w:rsidP="005E5803">
            <w:pPr>
              <w:pStyle w:val="TableRowCentered"/>
              <w:ind w:left="0"/>
              <w:jc w:val="left"/>
              <w:rPr>
                <w:b/>
                <w:color w:val="0070C0"/>
                <w:sz w:val="22"/>
                <w:u w:val="single"/>
              </w:rPr>
            </w:pPr>
            <w:r w:rsidRPr="006C35C3">
              <w:rPr>
                <w:b/>
                <w:color w:val="0070C0"/>
                <w:sz w:val="22"/>
                <w:u w:val="single"/>
              </w:rPr>
              <w:t>English</w:t>
            </w:r>
          </w:p>
          <w:p w:rsidR="00523D07" w:rsidRPr="00C25EA2" w:rsidRDefault="00523D07" w:rsidP="005E5803">
            <w:pPr>
              <w:pStyle w:val="TableRowCentered"/>
              <w:ind w:left="0"/>
              <w:jc w:val="left"/>
              <w:rPr>
                <w:b/>
                <w:color w:val="0070C0"/>
                <w:sz w:val="22"/>
                <w:u w:val="single"/>
              </w:rPr>
            </w:pPr>
            <w:r w:rsidRPr="006C35C3">
              <w:rPr>
                <w:color w:val="0070C0"/>
                <w:sz w:val="22"/>
              </w:rPr>
              <w:t>Grades</w:t>
            </w:r>
            <w:r w:rsidR="00A635A2" w:rsidRPr="006C35C3">
              <w:rPr>
                <w:color w:val="0070C0"/>
                <w:sz w:val="22"/>
              </w:rPr>
              <w:t xml:space="preserve">  3’s (2)  4’s (2)  5’s (2)  6’s (2)</w:t>
            </w:r>
          </w:p>
          <w:p w:rsidR="005E5803" w:rsidRPr="006C35C3" w:rsidRDefault="005E5803" w:rsidP="005E5803">
            <w:pPr>
              <w:pStyle w:val="TableRowCentered"/>
              <w:ind w:left="0"/>
              <w:jc w:val="left"/>
              <w:rPr>
                <w:b/>
                <w:color w:val="00B050"/>
                <w:sz w:val="22"/>
                <w:u w:val="single"/>
              </w:rPr>
            </w:pPr>
            <w:r w:rsidRPr="006C35C3">
              <w:rPr>
                <w:b/>
                <w:color w:val="00B050"/>
                <w:sz w:val="22"/>
                <w:u w:val="single"/>
              </w:rPr>
              <w:t>Maths</w:t>
            </w:r>
          </w:p>
          <w:p w:rsidR="00523D07" w:rsidRPr="006C35C3" w:rsidRDefault="00523D07" w:rsidP="005E5803">
            <w:pPr>
              <w:pStyle w:val="TableRowCentered"/>
              <w:ind w:left="0"/>
              <w:jc w:val="left"/>
              <w:rPr>
                <w:color w:val="00B050"/>
                <w:sz w:val="22"/>
              </w:rPr>
            </w:pPr>
            <w:r w:rsidRPr="006C35C3">
              <w:rPr>
                <w:color w:val="00B050"/>
                <w:sz w:val="22"/>
              </w:rPr>
              <w:t>Grades</w:t>
            </w:r>
            <w:r w:rsidR="00A635A2" w:rsidRPr="006C35C3">
              <w:rPr>
                <w:color w:val="00B050"/>
                <w:sz w:val="22"/>
              </w:rPr>
              <w:t xml:space="preserve">  2’s (1)  3’s (4)  4’s (3)</w:t>
            </w:r>
          </w:p>
          <w:p w:rsidR="00305301" w:rsidRDefault="00305301" w:rsidP="005E5803">
            <w:pPr>
              <w:pStyle w:val="TableRowCentered"/>
              <w:ind w:left="0"/>
              <w:jc w:val="left"/>
              <w:rPr>
                <w:b/>
                <w:i/>
                <w:sz w:val="22"/>
                <w:u w:val="single"/>
              </w:rPr>
            </w:pPr>
            <w:r w:rsidRPr="00305301">
              <w:rPr>
                <w:b/>
                <w:i/>
                <w:sz w:val="22"/>
                <w:u w:val="single"/>
              </w:rPr>
              <w:t>March</w:t>
            </w:r>
          </w:p>
          <w:p w:rsidR="00305301" w:rsidRPr="006C35C3" w:rsidRDefault="00305301" w:rsidP="005E5803">
            <w:pPr>
              <w:pStyle w:val="TableRowCentered"/>
              <w:ind w:left="0"/>
              <w:jc w:val="left"/>
              <w:rPr>
                <w:b/>
                <w:color w:val="0070C0"/>
                <w:sz w:val="22"/>
                <w:u w:val="single"/>
              </w:rPr>
            </w:pPr>
            <w:r w:rsidRPr="006C35C3">
              <w:rPr>
                <w:b/>
                <w:color w:val="0070C0"/>
                <w:sz w:val="22"/>
                <w:u w:val="single"/>
              </w:rPr>
              <w:t>English</w:t>
            </w:r>
          </w:p>
          <w:p w:rsidR="00305301" w:rsidRPr="006C35C3" w:rsidRDefault="00305301" w:rsidP="005E5803">
            <w:pPr>
              <w:pStyle w:val="TableRowCentered"/>
              <w:ind w:left="0"/>
              <w:jc w:val="left"/>
              <w:rPr>
                <w:color w:val="0070C0"/>
                <w:sz w:val="22"/>
              </w:rPr>
            </w:pPr>
            <w:r w:rsidRPr="006C35C3">
              <w:rPr>
                <w:color w:val="0070C0"/>
                <w:sz w:val="22"/>
              </w:rPr>
              <w:t>Grades  3’s (1), 4’s (3)</w:t>
            </w:r>
            <w:r w:rsidR="006C35C3" w:rsidRPr="006C35C3">
              <w:rPr>
                <w:color w:val="0070C0"/>
                <w:sz w:val="22"/>
              </w:rPr>
              <w:t xml:space="preserve">  5’s (1) 6’s (2)  7’s (1)</w:t>
            </w:r>
          </w:p>
          <w:p w:rsidR="00305301" w:rsidRPr="006C35C3" w:rsidRDefault="00305301" w:rsidP="005E5803">
            <w:pPr>
              <w:pStyle w:val="TableRowCentered"/>
              <w:ind w:left="0"/>
              <w:jc w:val="left"/>
              <w:rPr>
                <w:b/>
                <w:color w:val="00B050"/>
                <w:sz w:val="22"/>
                <w:u w:val="single"/>
              </w:rPr>
            </w:pPr>
            <w:r w:rsidRPr="006C35C3">
              <w:rPr>
                <w:b/>
                <w:color w:val="00B050"/>
                <w:sz w:val="22"/>
                <w:u w:val="single"/>
              </w:rPr>
              <w:lastRenderedPageBreak/>
              <w:t>Maths</w:t>
            </w:r>
          </w:p>
          <w:p w:rsidR="00305301" w:rsidRDefault="00305301" w:rsidP="005E5803">
            <w:pPr>
              <w:pStyle w:val="TableRowCentered"/>
              <w:ind w:left="0"/>
              <w:jc w:val="left"/>
              <w:rPr>
                <w:color w:val="00B050"/>
                <w:sz w:val="22"/>
              </w:rPr>
            </w:pPr>
            <w:r w:rsidRPr="006C35C3">
              <w:rPr>
                <w:color w:val="00B050"/>
                <w:sz w:val="22"/>
              </w:rPr>
              <w:t>Grades</w:t>
            </w:r>
            <w:r w:rsidR="006C35C3" w:rsidRPr="006C35C3">
              <w:rPr>
                <w:color w:val="00B050"/>
                <w:sz w:val="22"/>
              </w:rPr>
              <w:t xml:space="preserve"> 1’s (1)  3’s (5)  4’s (2)</w:t>
            </w:r>
          </w:p>
          <w:p w:rsidR="002D5D2C" w:rsidRDefault="002D5D2C" w:rsidP="005E5803">
            <w:pPr>
              <w:pStyle w:val="TableRowCentered"/>
              <w:ind w:left="0"/>
              <w:jc w:val="left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 xml:space="preserve">               </w:t>
            </w:r>
            <w:r w:rsidRPr="002D5D2C">
              <w:rPr>
                <w:color w:val="auto"/>
                <w:sz w:val="22"/>
              </w:rPr>
              <w:t xml:space="preserve"> ********************</w:t>
            </w:r>
          </w:p>
          <w:p w:rsidR="009B0F96" w:rsidRDefault="009B0F96" w:rsidP="005E5803">
            <w:pPr>
              <w:pStyle w:val="TableRowCentered"/>
              <w:ind w:left="0"/>
              <w:jc w:val="left"/>
              <w:rPr>
                <w:noProof/>
              </w:rPr>
            </w:pPr>
            <w:r w:rsidRPr="009B0F96">
              <w:rPr>
                <w:b/>
                <w:noProof/>
              </w:rPr>
              <w:t>Full report to follow</w:t>
            </w:r>
            <w:r>
              <w:rPr>
                <w:noProof/>
              </w:rPr>
              <w:t xml:space="preserve"> but examples from Baseline and Progress tests:</w:t>
            </w:r>
          </w:p>
          <w:p w:rsidR="009B0F96" w:rsidRDefault="009B0F96" w:rsidP="005E5803">
            <w:pPr>
              <w:pStyle w:val="TableRowCentered"/>
              <w:ind w:left="0"/>
              <w:jc w:val="left"/>
              <w:rPr>
                <w:noProof/>
              </w:rPr>
            </w:pPr>
            <w:r>
              <w:rPr>
                <w:noProof/>
              </w:rPr>
              <w:t>English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1041"/>
              <w:gridCol w:w="1074"/>
              <w:gridCol w:w="1074"/>
              <w:gridCol w:w="1052"/>
            </w:tblGrid>
            <w:tr w:rsidR="009B0F96" w:rsidTr="009B0F96">
              <w:tc>
                <w:tcPr>
                  <w:tcW w:w="1056" w:type="dxa"/>
                </w:tcPr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Student</w:t>
                  </w:r>
                </w:p>
              </w:tc>
              <w:tc>
                <w:tcPr>
                  <w:tcW w:w="1146" w:type="dxa"/>
                </w:tcPr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Baseline</w:t>
                  </w:r>
                </w:p>
              </w:tc>
              <w:tc>
                <w:tcPr>
                  <w:tcW w:w="1184" w:type="dxa"/>
                </w:tcPr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Progress</w:t>
                  </w:r>
                </w:p>
              </w:tc>
              <w:tc>
                <w:tcPr>
                  <w:tcW w:w="1184" w:type="dxa"/>
                </w:tcPr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Progress made</w:t>
                  </w:r>
                </w:p>
              </w:tc>
              <w:tc>
                <w:tcPr>
                  <w:tcW w:w="1158" w:type="dxa"/>
                </w:tcPr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#</w:t>
                  </w:r>
                </w:p>
                <w:p w:rsidR="009B0F96" w:rsidRP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  <w:sz w:val="20"/>
                    </w:rPr>
                  </w:pPr>
                  <w:r w:rsidRPr="009B0F96">
                    <w:rPr>
                      <w:noProof/>
                      <w:sz w:val="20"/>
                    </w:rPr>
                    <w:t>sessions</w:t>
                  </w:r>
                </w:p>
              </w:tc>
            </w:tr>
            <w:tr w:rsidR="009B0F96" w:rsidTr="009B0F96">
              <w:tc>
                <w:tcPr>
                  <w:tcW w:w="105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A</w:t>
                  </w:r>
                </w:p>
              </w:tc>
              <w:tc>
                <w:tcPr>
                  <w:tcW w:w="114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54%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71%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17%</w:t>
                  </w:r>
                </w:p>
              </w:tc>
              <w:tc>
                <w:tcPr>
                  <w:tcW w:w="1158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</w:tr>
            <w:tr w:rsidR="009B0F96" w:rsidTr="009B0F96">
              <w:tc>
                <w:tcPr>
                  <w:tcW w:w="105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B</w:t>
                  </w:r>
                </w:p>
              </w:tc>
              <w:tc>
                <w:tcPr>
                  <w:tcW w:w="114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49%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68%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19%</w:t>
                  </w:r>
                </w:p>
              </w:tc>
              <w:tc>
                <w:tcPr>
                  <w:tcW w:w="1158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9B0F96" w:rsidTr="009B0F96">
              <w:tc>
                <w:tcPr>
                  <w:tcW w:w="105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C</w:t>
                  </w:r>
                </w:p>
              </w:tc>
              <w:tc>
                <w:tcPr>
                  <w:tcW w:w="114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41%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63%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22%</w:t>
                  </w:r>
                </w:p>
              </w:tc>
              <w:tc>
                <w:tcPr>
                  <w:tcW w:w="1158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9B0F96" w:rsidTr="009B0F96">
              <w:tc>
                <w:tcPr>
                  <w:tcW w:w="105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D</w:t>
                  </w:r>
                </w:p>
              </w:tc>
              <w:tc>
                <w:tcPr>
                  <w:tcW w:w="114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39%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59%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20%</w:t>
                  </w:r>
                </w:p>
              </w:tc>
              <w:tc>
                <w:tcPr>
                  <w:tcW w:w="1158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9B0F96" w:rsidTr="009B0F96">
              <w:tc>
                <w:tcPr>
                  <w:tcW w:w="105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E</w:t>
                  </w:r>
                </w:p>
              </w:tc>
              <w:tc>
                <w:tcPr>
                  <w:tcW w:w="1146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41%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51%</w:t>
                  </w:r>
                </w:p>
              </w:tc>
              <w:tc>
                <w:tcPr>
                  <w:tcW w:w="1184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9B0F96" w:rsidRDefault="009B0F96" w:rsidP="005E5803">
                  <w:pPr>
                    <w:pStyle w:val="TableRowCentered"/>
                    <w:ind w:left="0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t>12</w:t>
                  </w:r>
                </w:p>
              </w:tc>
            </w:tr>
          </w:tbl>
          <w:p w:rsidR="009B0F96" w:rsidRDefault="009B0F96" w:rsidP="005E5803">
            <w:pPr>
              <w:pStyle w:val="TableRowCentered"/>
              <w:ind w:left="0"/>
              <w:jc w:val="left"/>
              <w:rPr>
                <w:noProof/>
              </w:rPr>
            </w:pPr>
          </w:p>
          <w:p w:rsidR="0007447B" w:rsidRDefault="0007447B" w:rsidP="005E5803">
            <w:pPr>
              <w:pStyle w:val="TableRowCentered"/>
              <w:ind w:left="0"/>
              <w:jc w:val="left"/>
              <w:rPr>
                <w:noProof/>
              </w:rPr>
            </w:pPr>
            <w:r>
              <w:rPr>
                <w:noProof/>
              </w:rPr>
              <w:t>Student comments</w:t>
            </w:r>
          </w:p>
          <w:p w:rsidR="0007447B" w:rsidRDefault="0007447B" w:rsidP="0007447B">
            <w:pPr>
              <w:suppressAutoHyphens w:val="0"/>
              <w:autoSpaceDN/>
              <w:spacing w:before="100" w:beforeAutospacing="1" w:after="100" w:afterAutospacing="1" w:line="240" w:lineRule="auto"/>
              <w:ind w:left="72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“</w:t>
            </w:r>
            <w:r w:rsidRPr="0007447B">
              <w:rPr>
                <w:rFonts w:ascii="Times New Roman" w:eastAsia="Calibri" w:hAnsi="Times New Roman"/>
                <w:color w:val="auto"/>
              </w:rPr>
              <w:t xml:space="preserve">I am beginning to enjoy maths a lot </w:t>
            </w:r>
            <w:r>
              <w:rPr>
                <w:rFonts w:ascii="Times New Roman" w:eastAsia="Calibri" w:hAnsi="Times New Roman"/>
                <w:color w:val="auto"/>
              </w:rPr>
              <w:t>more and am doing home revision”</w:t>
            </w:r>
          </w:p>
          <w:p w:rsidR="0007447B" w:rsidRDefault="0007447B" w:rsidP="0007447B">
            <w:pPr>
              <w:suppressAutoHyphens w:val="0"/>
              <w:autoSpaceDN/>
              <w:spacing w:before="100" w:beforeAutospacing="1" w:after="100" w:afterAutospacing="1" w:line="240" w:lineRule="auto"/>
              <w:ind w:left="72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“</w:t>
            </w:r>
            <w:r w:rsidRPr="0007447B">
              <w:rPr>
                <w:rFonts w:ascii="Times New Roman" w:eastAsia="Calibri" w:hAnsi="Times New Roman"/>
                <w:color w:val="auto"/>
              </w:rPr>
              <w:t>It is helping me improve (in maths)</w:t>
            </w:r>
            <w:r>
              <w:rPr>
                <w:rFonts w:ascii="Times New Roman" w:eastAsia="Calibri" w:hAnsi="Times New Roman"/>
                <w:color w:val="auto"/>
              </w:rPr>
              <w:t>”</w:t>
            </w:r>
          </w:p>
          <w:p w:rsidR="0007447B" w:rsidRPr="0007447B" w:rsidRDefault="0007447B" w:rsidP="0007447B">
            <w:pPr>
              <w:suppressAutoHyphens w:val="0"/>
              <w:autoSpaceDN/>
              <w:spacing w:before="100" w:beforeAutospacing="1" w:after="100" w:afterAutospacing="1" w:line="240" w:lineRule="auto"/>
              <w:ind w:left="720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“</w:t>
            </w:r>
            <w:r w:rsidRPr="0007447B">
              <w:rPr>
                <w:rFonts w:ascii="Times New Roman" w:eastAsia="Calibri" w:hAnsi="Times New Roman"/>
                <w:color w:val="auto"/>
              </w:rPr>
              <w:t>I want to improve and get the best grade that I can...I would recommend AT sessions to a friend because it's good</w:t>
            </w:r>
            <w:r>
              <w:rPr>
                <w:rFonts w:ascii="Times New Roman" w:eastAsia="Calibri" w:hAnsi="Times New Roman"/>
                <w:color w:val="auto"/>
              </w:rPr>
              <w:t>”</w:t>
            </w:r>
          </w:p>
          <w:p w:rsidR="009B0F96" w:rsidRPr="009B0F96" w:rsidRDefault="009B0F96" w:rsidP="005E5803">
            <w:pPr>
              <w:pStyle w:val="TableRowCentered"/>
              <w:ind w:left="0"/>
              <w:jc w:val="left"/>
              <w:rPr>
                <w:noProof/>
              </w:rPr>
            </w:pPr>
            <w:r>
              <w:rPr>
                <w:noProof/>
              </w:rPr>
              <w:t xml:space="preserve">      **************************************************</w:t>
            </w:r>
          </w:p>
          <w:p w:rsidR="002D5D2C" w:rsidRPr="002D5D2C" w:rsidRDefault="002D5D2C" w:rsidP="005E5803">
            <w:pPr>
              <w:pStyle w:val="TableRowCentered"/>
              <w:ind w:left="0"/>
              <w:jc w:val="left"/>
              <w:rPr>
                <w:color w:val="auto"/>
                <w:sz w:val="22"/>
              </w:rPr>
            </w:pPr>
            <w:r w:rsidRPr="002D5D2C">
              <w:rPr>
                <w:color w:val="auto"/>
                <w:sz w:val="22"/>
              </w:rPr>
              <w:t>Year 11 Action Tutoring will cease at Easter and we will start with a new cohort of Year 10 PP students to support them through the next year in English and Maths</w:t>
            </w:r>
          </w:p>
          <w:p w:rsidR="005E5803" w:rsidRDefault="005E5803" w:rsidP="00221816">
            <w:pPr>
              <w:pStyle w:val="TableRowCentered"/>
              <w:jc w:val="left"/>
              <w:rPr>
                <w:sz w:val="22"/>
              </w:rPr>
            </w:pPr>
          </w:p>
          <w:p w:rsidR="005E5803" w:rsidRPr="00BE2DFF" w:rsidRDefault="005E5803" w:rsidP="00221816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723D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lastRenderedPageBreak/>
              <w:t>Villiers Park Future Leaders programme (STEM focus)</w:t>
            </w:r>
          </w:p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 xml:space="preserve"> Students across each year group</w:t>
            </w:r>
          </w:p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 xml:space="preserve"> (Y10-13)</w:t>
            </w:r>
          </w:p>
          <w:p w:rsidR="00723D1F" w:rsidRPr="00723D1F" w:rsidRDefault="00FA780D" w:rsidP="00723D1F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  <w:r w:rsidR="00723D1F" w:rsidRPr="00723D1F">
              <w:rPr>
                <w:sz w:val="22"/>
              </w:rPr>
              <w:t xml:space="preserve"> in total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1F" w:rsidRDefault="00FA780D" w:rsidP="007B0EF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Students have been involved in 1:1</w:t>
            </w:r>
            <w:r w:rsidR="007B0EF8">
              <w:rPr>
                <w:sz w:val="22"/>
              </w:rPr>
              <w:t xml:space="preserve"> and group mentoring sessions. Sessions have focused on leadership skills and </w:t>
            </w:r>
            <w:proofErr w:type="gramStart"/>
            <w:r w:rsidR="007B0EF8">
              <w:rPr>
                <w:sz w:val="22"/>
              </w:rPr>
              <w:t>challenges ,</w:t>
            </w:r>
            <w:proofErr w:type="gramEnd"/>
            <w:r w:rsidR="007B0EF8">
              <w:rPr>
                <w:sz w:val="22"/>
              </w:rPr>
              <w:t xml:space="preserve"> exam and study skills, discussion on pre and post mock exam performance and career IAG.</w:t>
            </w:r>
          </w:p>
        </w:tc>
      </w:tr>
      <w:tr w:rsidR="00723D1F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1F" w:rsidRPr="00723D1F" w:rsidRDefault="00F16FF4" w:rsidP="00723D1F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“Someone Cares” </w:t>
            </w:r>
            <w:r w:rsidR="00723D1F" w:rsidRPr="00723D1F">
              <w:rPr>
                <w:sz w:val="22"/>
              </w:rPr>
              <w:t>counselling</w:t>
            </w:r>
            <w:r w:rsidR="00B964FA">
              <w:rPr>
                <w:sz w:val="22"/>
              </w:rPr>
              <w:t xml:space="preserve"> and external counselling agencies</w:t>
            </w:r>
            <w:r w:rsidR="00723D1F" w:rsidRPr="00723D1F">
              <w:rPr>
                <w:sz w:val="22"/>
              </w:rPr>
              <w:t xml:space="preserve"> programme</w:t>
            </w:r>
          </w:p>
          <w:p w:rsidR="00723D1F" w:rsidRPr="00723D1F" w:rsidRDefault="00723D1F" w:rsidP="00723D1F">
            <w:pPr>
              <w:pStyle w:val="TableRow"/>
              <w:rPr>
                <w:sz w:val="22"/>
              </w:rPr>
            </w:pPr>
            <w:r w:rsidRPr="00723D1F">
              <w:rPr>
                <w:sz w:val="22"/>
              </w:rPr>
              <w:t>(between 60-80 students across the year)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1F" w:rsidRDefault="00B964FA" w:rsidP="0022181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Since </w:t>
            </w:r>
            <w:proofErr w:type="gramStart"/>
            <w:r>
              <w:rPr>
                <w:sz w:val="22"/>
              </w:rPr>
              <w:t>September</w:t>
            </w:r>
            <w:proofErr w:type="gramEnd"/>
            <w:r>
              <w:rPr>
                <w:sz w:val="22"/>
              </w:rPr>
              <w:t xml:space="preserve"> there have been </w:t>
            </w:r>
            <w:r w:rsidRPr="00F16FF4">
              <w:rPr>
                <w:b/>
                <w:sz w:val="22"/>
              </w:rPr>
              <w:t>54 referrals</w:t>
            </w:r>
            <w:r>
              <w:rPr>
                <w:sz w:val="22"/>
              </w:rPr>
              <w:t xml:space="preserve"> to </w:t>
            </w:r>
            <w:r w:rsidR="00396D5C">
              <w:rPr>
                <w:sz w:val="22"/>
              </w:rPr>
              <w:t>‘</w:t>
            </w:r>
            <w:r>
              <w:rPr>
                <w:sz w:val="22"/>
              </w:rPr>
              <w:t>Someone Cares</w:t>
            </w:r>
            <w:r w:rsidR="00396D5C">
              <w:rPr>
                <w:sz w:val="22"/>
              </w:rPr>
              <w:t>’</w:t>
            </w:r>
            <w:r>
              <w:rPr>
                <w:sz w:val="22"/>
              </w:rPr>
              <w:t xml:space="preserve"> and external mentoring agencies.</w:t>
            </w:r>
          </w:p>
          <w:p w:rsidR="00B964FA" w:rsidRDefault="00B964FA" w:rsidP="00077E4B">
            <w:pPr>
              <w:pStyle w:val="TableRowCentered"/>
              <w:jc w:val="left"/>
              <w:rPr>
                <w:sz w:val="22"/>
              </w:rPr>
            </w:pPr>
            <w:r w:rsidRPr="00F16FF4">
              <w:rPr>
                <w:b/>
                <w:sz w:val="22"/>
              </w:rPr>
              <w:t>26 of these students are PP</w:t>
            </w:r>
            <w:r w:rsidR="00077E4B">
              <w:rPr>
                <w:sz w:val="22"/>
              </w:rPr>
              <w:t xml:space="preserve"> (7 in Years 10-11).</w:t>
            </w:r>
          </w:p>
          <w:p w:rsidR="00077E4B" w:rsidRDefault="00077E4B" w:rsidP="00077E4B">
            <w:pPr>
              <w:pStyle w:val="TableRowCentered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PP referrals make up </w:t>
            </w:r>
            <w:r w:rsidRPr="00F16FF4">
              <w:rPr>
                <w:b/>
                <w:sz w:val="22"/>
              </w:rPr>
              <w:t>48% of this cohort</w:t>
            </w:r>
          </w:p>
          <w:p w:rsidR="005D75F8" w:rsidRDefault="005D75F8" w:rsidP="00077E4B">
            <w:pPr>
              <w:pStyle w:val="TableRowCentered"/>
              <w:jc w:val="left"/>
              <w:rPr>
                <w:b/>
                <w:sz w:val="22"/>
                <w:u w:val="single"/>
              </w:rPr>
            </w:pPr>
          </w:p>
          <w:p w:rsidR="005D75F8" w:rsidRDefault="005D75F8" w:rsidP="00077E4B">
            <w:pPr>
              <w:pStyle w:val="TableRowCentered"/>
              <w:jc w:val="left"/>
              <w:rPr>
                <w:b/>
                <w:sz w:val="22"/>
                <w:u w:val="single"/>
              </w:rPr>
            </w:pPr>
          </w:p>
          <w:p w:rsidR="00745333" w:rsidRDefault="00745333" w:rsidP="00077E4B">
            <w:pPr>
              <w:pStyle w:val="TableRowCentered"/>
              <w:jc w:val="left"/>
              <w:rPr>
                <w:b/>
                <w:sz w:val="22"/>
                <w:u w:val="single"/>
              </w:rPr>
            </w:pPr>
            <w:bookmarkStart w:id="0" w:name="_GoBack"/>
            <w:bookmarkEnd w:id="0"/>
            <w:r w:rsidRPr="00745333">
              <w:rPr>
                <w:b/>
                <w:sz w:val="22"/>
                <w:u w:val="single"/>
              </w:rPr>
              <w:lastRenderedPageBreak/>
              <w:t>Student voice</w:t>
            </w:r>
          </w:p>
          <w:p w:rsidR="00745333" w:rsidRDefault="00745333" w:rsidP="00077E4B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 students (3 PP and 3 non-PP, 3 Males, 3 Females) were asked a variety of questions relating to their experiences with the counselling provided:</w:t>
            </w:r>
          </w:p>
          <w:p w:rsidR="003E3204" w:rsidRDefault="003E3204" w:rsidP="00077E4B">
            <w:pPr>
              <w:pStyle w:val="TableRowCentered"/>
              <w:jc w:val="left"/>
              <w:rPr>
                <w:sz w:val="22"/>
              </w:rPr>
            </w:pPr>
          </w:p>
          <w:p w:rsidR="00745333" w:rsidRPr="00630298" w:rsidRDefault="00745333" w:rsidP="003E3204">
            <w:pPr>
              <w:pStyle w:val="TableRowCentered"/>
              <w:ind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1</w:t>
            </w:r>
            <w:r w:rsidR="003E3204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630298">
              <w:rPr>
                <w:sz w:val="22"/>
                <w:u w:val="single"/>
              </w:rPr>
              <w:t xml:space="preserve">Do you feel that the reason for your referral to Someone Cares </w:t>
            </w:r>
            <w:proofErr w:type="gramStart"/>
            <w:r w:rsidRPr="00630298">
              <w:rPr>
                <w:sz w:val="22"/>
                <w:u w:val="single"/>
              </w:rPr>
              <w:t>was fully addressed</w:t>
            </w:r>
            <w:proofErr w:type="gramEnd"/>
            <w:r w:rsidRPr="00630298">
              <w:rPr>
                <w:sz w:val="22"/>
                <w:u w:val="single"/>
              </w:rPr>
              <w:t xml:space="preserve"> in the sessions?</w:t>
            </w:r>
          </w:p>
          <w:p w:rsidR="00745333" w:rsidRPr="00745333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745333">
              <w:rPr>
                <w:i/>
                <w:sz w:val="22"/>
              </w:rPr>
              <w:t>All replied yes with additional comments such as:</w:t>
            </w:r>
          </w:p>
          <w:p w:rsidR="00745333" w:rsidRPr="00745333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745333">
              <w:rPr>
                <w:i/>
                <w:sz w:val="22"/>
              </w:rPr>
              <w:t xml:space="preserve">“They understood and helped me through” </w:t>
            </w:r>
          </w:p>
          <w:p w:rsidR="00745333" w:rsidRPr="00745333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745333">
              <w:rPr>
                <w:i/>
                <w:sz w:val="22"/>
              </w:rPr>
              <w:t xml:space="preserve">“It made me feel a lot </w:t>
            </w:r>
            <w:proofErr w:type="spellStart"/>
            <w:r w:rsidRPr="00745333">
              <w:rPr>
                <w:i/>
                <w:sz w:val="22"/>
              </w:rPr>
              <w:t>better.I</w:t>
            </w:r>
            <w:proofErr w:type="spellEnd"/>
            <w:r w:rsidRPr="00745333">
              <w:rPr>
                <w:i/>
                <w:sz w:val="22"/>
              </w:rPr>
              <w:t xml:space="preserve"> had lots in my mind and I felt better talking about it”</w:t>
            </w:r>
          </w:p>
          <w:p w:rsidR="00745333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745333">
              <w:rPr>
                <w:i/>
                <w:sz w:val="22"/>
              </w:rPr>
              <w:t>“It took my mind off it. Things slightly improved at home”</w:t>
            </w:r>
          </w:p>
          <w:p w:rsidR="003E3204" w:rsidRPr="00745333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</w:p>
          <w:p w:rsidR="00745333" w:rsidRPr="00630298" w:rsidRDefault="00745333" w:rsidP="003E3204">
            <w:pPr>
              <w:pStyle w:val="TableRowCentered"/>
              <w:ind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2) </w:t>
            </w:r>
            <w:r w:rsidRPr="00630298">
              <w:rPr>
                <w:sz w:val="22"/>
                <w:u w:val="single"/>
              </w:rPr>
              <w:t xml:space="preserve">Do you feel you had a good relationship with your </w:t>
            </w:r>
            <w:proofErr w:type="gramStart"/>
            <w:r w:rsidRPr="00630298">
              <w:rPr>
                <w:sz w:val="22"/>
                <w:u w:val="single"/>
              </w:rPr>
              <w:t>counsellor ?</w:t>
            </w:r>
            <w:proofErr w:type="gramEnd"/>
          </w:p>
          <w:p w:rsidR="00745333" w:rsidRPr="003E3204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All agreed</w:t>
            </w:r>
          </w:p>
          <w:p w:rsidR="00745333" w:rsidRPr="003E3204" w:rsidRDefault="00745333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“Most definitely with&lt;name&gt;. I am seeing&lt;name&gt; now and it’s too early to say”</w:t>
            </w:r>
          </w:p>
          <w:p w:rsidR="003E3204" w:rsidRPr="003E3204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“I feel I have a good relationship with&lt;name&gt;”</w:t>
            </w:r>
          </w:p>
          <w:p w:rsidR="003E3204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“She was very nice and kind. I liked talking to her”</w:t>
            </w:r>
          </w:p>
          <w:p w:rsidR="003E3204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</w:p>
          <w:p w:rsidR="003E3204" w:rsidRDefault="003E3204" w:rsidP="003E3204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r w:rsidRPr="00630298">
              <w:rPr>
                <w:sz w:val="22"/>
                <w:u w:val="single"/>
              </w:rPr>
              <w:t xml:space="preserve">Did you feel listened </w:t>
            </w:r>
            <w:proofErr w:type="gramStart"/>
            <w:r w:rsidRPr="00630298">
              <w:rPr>
                <w:sz w:val="22"/>
                <w:u w:val="single"/>
              </w:rPr>
              <w:t>to</w:t>
            </w:r>
            <w:r>
              <w:rPr>
                <w:sz w:val="22"/>
              </w:rPr>
              <w:t xml:space="preserve"> </w:t>
            </w:r>
            <w:r w:rsidRPr="003E3204">
              <w:rPr>
                <w:sz w:val="22"/>
              </w:rPr>
              <w:t>?</w:t>
            </w:r>
            <w:proofErr w:type="gramEnd"/>
          </w:p>
          <w:p w:rsidR="003E3204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All said yes</w:t>
            </w:r>
          </w:p>
          <w:p w:rsidR="003E3204" w:rsidRPr="003E3204" w:rsidRDefault="003E3204" w:rsidP="00077E4B">
            <w:pPr>
              <w:pStyle w:val="TableRowCentered"/>
              <w:jc w:val="left"/>
              <w:rPr>
                <w:i/>
                <w:sz w:val="22"/>
              </w:rPr>
            </w:pPr>
          </w:p>
          <w:p w:rsidR="003E3204" w:rsidRDefault="003E3204" w:rsidP="003E3204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</w:t>
            </w:r>
            <w:r w:rsidRPr="00630298">
              <w:rPr>
                <w:sz w:val="22"/>
                <w:u w:val="single"/>
              </w:rPr>
              <w:t>Did you feel safe during your sessions</w:t>
            </w:r>
            <w:r w:rsidRPr="003E3204">
              <w:rPr>
                <w:sz w:val="22"/>
              </w:rPr>
              <w:t>?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“Yes because she was so understanding”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“Yes and I feel more confident about things”</w:t>
            </w:r>
          </w:p>
          <w:p w:rsidR="003E3204" w:rsidRPr="00630298" w:rsidRDefault="003E3204" w:rsidP="003E3204">
            <w:pPr>
              <w:pStyle w:val="TableRowCentered"/>
              <w:ind w:left="0"/>
              <w:jc w:val="left"/>
              <w:rPr>
                <w:sz w:val="22"/>
                <w:u w:val="single"/>
              </w:rPr>
            </w:pPr>
            <w:proofErr w:type="gramStart"/>
            <w:r>
              <w:rPr>
                <w:sz w:val="22"/>
              </w:rPr>
              <w:t xml:space="preserve">5) </w:t>
            </w:r>
            <w:r w:rsidRPr="00630298">
              <w:rPr>
                <w:sz w:val="22"/>
                <w:u w:val="single"/>
              </w:rPr>
              <w:t>Please</w:t>
            </w:r>
            <w:proofErr w:type="gramEnd"/>
            <w:r w:rsidRPr="00630298">
              <w:rPr>
                <w:sz w:val="22"/>
                <w:u w:val="single"/>
              </w:rPr>
              <w:t xml:space="preserve"> use the text box to explain what you gained from your sessions. Would you recommend this support to others?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“I would recommend this to others as it really does help talking to people”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“I gained confidence and I enjoyed it. I would recommend this to others”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 xml:space="preserve">“I have more control over what I do. My needs </w:t>
            </w:r>
            <w:proofErr w:type="gramStart"/>
            <w:r w:rsidRPr="003E3204">
              <w:rPr>
                <w:i/>
                <w:sz w:val="22"/>
              </w:rPr>
              <w:t>were addressed</w:t>
            </w:r>
            <w:proofErr w:type="gramEnd"/>
            <w:r w:rsidRPr="003E3204">
              <w:rPr>
                <w:i/>
                <w:sz w:val="22"/>
              </w:rPr>
              <w:t>. I would recommend to anyone who needed help”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 xml:space="preserve">“It increased my confidence. I felt </w:t>
            </w:r>
            <w:proofErr w:type="gramStart"/>
            <w:r w:rsidRPr="003E3204">
              <w:rPr>
                <w:i/>
                <w:sz w:val="22"/>
              </w:rPr>
              <w:t>more free</w:t>
            </w:r>
            <w:proofErr w:type="gramEnd"/>
            <w:r w:rsidRPr="003E3204">
              <w:rPr>
                <w:i/>
                <w:sz w:val="22"/>
              </w:rPr>
              <w:t>. I used to feel down, but after I felt a lot better. I would recommend to others”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i/>
                <w:sz w:val="22"/>
              </w:rPr>
            </w:pPr>
            <w:r w:rsidRPr="003E3204">
              <w:rPr>
                <w:i/>
                <w:sz w:val="22"/>
              </w:rPr>
              <w:t>“I would recommend this support to others, that’s why I am now on my second round of counselling</w:t>
            </w:r>
            <w:proofErr w:type="gramStart"/>
            <w:r w:rsidRPr="003E3204">
              <w:rPr>
                <w:i/>
                <w:sz w:val="22"/>
              </w:rPr>
              <w:t>..</w:t>
            </w:r>
            <w:proofErr w:type="gramEnd"/>
            <w:r w:rsidRPr="003E3204">
              <w:rPr>
                <w:i/>
                <w:sz w:val="22"/>
              </w:rPr>
              <w:t xml:space="preserve"> I felt able to talk more about my problems, it took my mind off things”</w:t>
            </w:r>
          </w:p>
          <w:p w:rsidR="003E3204" w:rsidRPr="003E3204" w:rsidRDefault="003E3204" w:rsidP="003E3204">
            <w:pPr>
              <w:pStyle w:val="TableRowCentered"/>
              <w:ind w:left="0"/>
              <w:jc w:val="left"/>
              <w:rPr>
                <w:sz w:val="22"/>
              </w:rPr>
            </w:pPr>
            <w:r w:rsidRPr="003E3204">
              <w:rPr>
                <w:i/>
                <w:sz w:val="22"/>
              </w:rPr>
              <w:t>“It helped me with opening up to my mum and improving dialogue”</w:t>
            </w:r>
          </w:p>
        </w:tc>
      </w:tr>
      <w:tr w:rsidR="001F05D8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D8" w:rsidRPr="00723D1F" w:rsidRDefault="001F05D8" w:rsidP="00490D24">
            <w:pPr>
              <w:pStyle w:val="TableRow"/>
              <w:ind w:left="0"/>
              <w:rPr>
                <w:sz w:val="22"/>
              </w:rPr>
            </w:pPr>
            <w:r w:rsidRPr="001F05D8">
              <w:rPr>
                <w:sz w:val="22"/>
              </w:rPr>
              <w:lastRenderedPageBreak/>
              <w:t>Girls’ and Boys’ Network programme Year 10(working with mentors in world of work)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D8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b/>
                <w:sz w:val="22"/>
                <w:szCs w:val="22"/>
                <w:u w:val="single"/>
              </w:rPr>
              <w:t>9 males</w:t>
            </w:r>
            <w:r w:rsidRPr="004B2AC7">
              <w:rPr>
                <w:rFonts w:cs="Arial"/>
                <w:sz w:val="22"/>
                <w:szCs w:val="22"/>
              </w:rPr>
              <w:t xml:space="preserve"> currently working with: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NHS,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Sage,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>Black &amp; Veatch Ltd (Retired),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 PA Consulting,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Kernel Browne Ltd,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>Better &amp; Beyond,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 Anabas, </w:t>
            </w:r>
          </w:p>
          <w:p w:rsidR="004B2AC7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sz w:val="22"/>
                <w:szCs w:val="22"/>
              </w:rPr>
              <w:t xml:space="preserve">Sanctuary, </w:t>
            </w:r>
          </w:p>
          <w:p w:rsidR="001F05D8" w:rsidRPr="004B2AC7" w:rsidRDefault="001F05D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4B2AC7">
              <w:rPr>
                <w:rFonts w:cs="Arial"/>
                <w:sz w:val="22"/>
                <w:szCs w:val="22"/>
              </w:rPr>
              <w:t>DePUY</w:t>
            </w:r>
            <w:proofErr w:type="spellEnd"/>
            <w:r w:rsidRPr="004B2AC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B2AC7">
              <w:rPr>
                <w:rFonts w:cs="Arial"/>
                <w:sz w:val="22"/>
                <w:szCs w:val="22"/>
              </w:rPr>
              <w:t>Synthes</w:t>
            </w:r>
            <w:proofErr w:type="spellEnd"/>
          </w:p>
          <w:p w:rsidR="000A62F4" w:rsidRPr="004B2AC7" w:rsidRDefault="000A62F4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</w:p>
          <w:p w:rsidR="001F05D8" w:rsidRPr="004B2AC7" w:rsidRDefault="004B2AC7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4B2AC7">
              <w:rPr>
                <w:rFonts w:cs="Arial"/>
                <w:b/>
                <w:sz w:val="22"/>
                <w:szCs w:val="22"/>
                <w:u w:val="single"/>
              </w:rPr>
              <w:t>1</w:t>
            </w:r>
            <w:r w:rsidR="001F05D8" w:rsidRPr="004B2AC7">
              <w:rPr>
                <w:rFonts w:cs="Arial"/>
                <w:b/>
                <w:sz w:val="22"/>
                <w:szCs w:val="22"/>
                <w:u w:val="single"/>
              </w:rPr>
              <w:t>5 females</w:t>
            </w:r>
            <w:r w:rsidR="001F05D8" w:rsidRPr="004B2AC7">
              <w:rPr>
                <w:rFonts w:cs="Arial"/>
                <w:sz w:val="22"/>
                <w:szCs w:val="22"/>
              </w:rPr>
              <w:t xml:space="preserve"> currently working with: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Frank Recruitment Group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Hive HR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Health Education England x2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Environment Agency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B2AC7">
              <w:rPr>
                <w:rFonts w:cs="Arial"/>
                <w:color w:val="auto"/>
                <w:sz w:val="22"/>
                <w:szCs w:val="22"/>
              </w:rPr>
              <w:t>Thornfield</w:t>
            </w:r>
            <w:proofErr w:type="spellEnd"/>
            <w:r w:rsidRPr="004B2AC7">
              <w:rPr>
                <w:rFonts w:cs="Arial"/>
                <w:color w:val="auto"/>
                <w:sz w:val="22"/>
                <w:szCs w:val="22"/>
              </w:rPr>
              <w:t xml:space="preserve"> Medical Group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Dame Allan's Schools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Deloitte Group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Hedgehog Lab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NCFE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North East Ambulance Service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r w:rsidRPr="004B2AC7">
              <w:rPr>
                <w:rFonts w:cs="Arial"/>
                <w:color w:val="auto"/>
                <w:sz w:val="22"/>
                <w:szCs w:val="22"/>
              </w:rPr>
              <w:t>NHS</w:t>
            </w:r>
          </w:p>
          <w:p w:rsid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B2AC7">
              <w:rPr>
                <w:rFonts w:cs="Arial"/>
                <w:color w:val="auto"/>
                <w:sz w:val="22"/>
                <w:szCs w:val="22"/>
              </w:rPr>
              <w:t>Greystoke</w:t>
            </w:r>
            <w:proofErr w:type="spellEnd"/>
            <w:r w:rsidRPr="004B2AC7">
              <w:rPr>
                <w:rFonts w:cs="Arial"/>
                <w:color w:val="auto"/>
                <w:sz w:val="22"/>
                <w:szCs w:val="22"/>
              </w:rPr>
              <w:t> Surgery</w:t>
            </w:r>
          </w:p>
          <w:p w:rsidR="004B2AC7" w:rsidRDefault="004B2AC7" w:rsidP="004B2AC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Examples of activities: </w:t>
            </w:r>
          </w:p>
          <w:p w:rsidR="004B2AC7" w:rsidRPr="00B07C95" w:rsidRDefault="004B2AC7" w:rsidP="004B2AC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Student A </w:t>
            </w:r>
            <w:r w:rsidRPr="00B07C95">
              <w:rPr>
                <w:sz w:val="22"/>
              </w:rPr>
              <w:t>has arranged for her next session to be at her mentors office NCFE on Quorum and they are planning a mock interview</w:t>
            </w:r>
          </w:p>
          <w:p w:rsidR="004B2AC7" w:rsidRPr="00B07C95" w:rsidRDefault="004B2AC7" w:rsidP="004B2AC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Student B </w:t>
            </w:r>
            <w:r w:rsidRPr="00B07C95">
              <w:rPr>
                <w:sz w:val="22"/>
              </w:rPr>
              <w:t>is interested in photography so they are looking into that together</w:t>
            </w:r>
          </w:p>
          <w:p w:rsidR="004B2AC7" w:rsidRPr="00B07C95" w:rsidRDefault="004B2AC7" w:rsidP="004B2AC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Student C</w:t>
            </w:r>
            <w:r w:rsidRPr="00B07C95">
              <w:rPr>
                <w:sz w:val="22"/>
              </w:rPr>
              <w:t xml:space="preserve"> has been discussing studying medicine at Newcastle University and her mentor is also going to help her complete an app</w:t>
            </w:r>
            <w:r>
              <w:rPr>
                <w:sz w:val="22"/>
              </w:rPr>
              <w:t xml:space="preserve">lication form for </w:t>
            </w:r>
            <w:r w:rsidRPr="00B07C95">
              <w:rPr>
                <w:sz w:val="22"/>
              </w:rPr>
              <w:t>the Police Cadets</w:t>
            </w:r>
          </w:p>
          <w:p w:rsidR="004B2AC7" w:rsidRDefault="004B2AC7" w:rsidP="004B2AC7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Student D</w:t>
            </w:r>
            <w:r w:rsidRPr="00B07C95">
              <w:rPr>
                <w:sz w:val="22"/>
              </w:rPr>
              <w:t xml:space="preserve"> has applied to do virtual TV &amp; Film work </w:t>
            </w:r>
            <w:r>
              <w:rPr>
                <w:sz w:val="22"/>
              </w:rPr>
              <w:t xml:space="preserve"> </w:t>
            </w:r>
            <w:r w:rsidRPr="00B07C95">
              <w:rPr>
                <w:sz w:val="22"/>
              </w:rPr>
              <w:t>experience over February half term</w:t>
            </w:r>
          </w:p>
          <w:p w:rsidR="004B2AC7" w:rsidRPr="004B2AC7" w:rsidRDefault="004B2AC7" w:rsidP="004B2AC7">
            <w:pPr>
              <w:suppressAutoHyphens w:val="0"/>
              <w:autoSpaceDN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  <w:p w:rsidR="004B2AC7" w:rsidRPr="004B2AC7" w:rsidRDefault="004B2AC7" w:rsidP="004B2AC7">
            <w:pPr>
              <w:pStyle w:val="TableRowCentered"/>
              <w:ind w:left="0"/>
              <w:jc w:val="left"/>
              <w:rPr>
                <w:b/>
                <w:sz w:val="22"/>
                <w:u w:val="single"/>
              </w:rPr>
            </w:pPr>
            <w:r w:rsidRPr="004B2AC7">
              <w:rPr>
                <w:b/>
                <w:sz w:val="22"/>
                <w:u w:val="single"/>
              </w:rPr>
              <w:t>Guest speaker</w:t>
            </w:r>
            <w:r>
              <w:rPr>
                <w:b/>
                <w:sz w:val="22"/>
                <w:u w:val="single"/>
              </w:rPr>
              <w:t xml:space="preserve"> from Year 11</w:t>
            </w:r>
          </w:p>
          <w:p w:rsidR="000A62F4" w:rsidRDefault="000A62F4" w:rsidP="004B2AC7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current Year 11 </w:t>
            </w:r>
            <w:proofErr w:type="gramStart"/>
            <w:r>
              <w:rPr>
                <w:sz w:val="22"/>
              </w:rPr>
              <w:t>student</w:t>
            </w:r>
            <w:r w:rsidR="00EC2557">
              <w:rPr>
                <w:sz w:val="22"/>
              </w:rPr>
              <w:t>(</w:t>
            </w:r>
            <w:proofErr w:type="gramEnd"/>
            <w:r w:rsidR="00EC2557">
              <w:rPr>
                <w:sz w:val="22"/>
              </w:rPr>
              <w:t xml:space="preserve">Tamara </w:t>
            </w:r>
            <w:proofErr w:type="spellStart"/>
            <w:r w:rsidR="00EC2557">
              <w:rPr>
                <w:sz w:val="22"/>
              </w:rPr>
              <w:t>Straker</w:t>
            </w:r>
            <w:proofErr w:type="spellEnd"/>
            <w:r w:rsidR="00EC2557">
              <w:rPr>
                <w:sz w:val="22"/>
              </w:rPr>
              <w:t>)</w:t>
            </w:r>
            <w:r>
              <w:rPr>
                <w:sz w:val="22"/>
              </w:rPr>
              <w:t xml:space="preserve"> from last year’s programme spoke at a regional event </w:t>
            </w:r>
            <w:r w:rsidR="00EC2557">
              <w:rPr>
                <w:sz w:val="22"/>
              </w:rPr>
              <w:t xml:space="preserve">at </w:t>
            </w:r>
            <w:proofErr w:type="spellStart"/>
            <w:r w:rsidRPr="000A62F4">
              <w:rPr>
                <w:sz w:val="22"/>
              </w:rPr>
              <w:t>Ramside</w:t>
            </w:r>
            <w:proofErr w:type="spellEnd"/>
            <w:r w:rsidRPr="000A62F4">
              <w:rPr>
                <w:sz w:val="22"/>
              </w:rPr>
              <w:t xml:space="preserve"> Hall </w:t>
            </w:r>
            <w:r>
              <w:rPr>
                <w:sz w:val="22"/>
              </w:rPr>
              <w:t>for International Women's Day talking abou</w:t>
            </w:r>
            <w:r w:rsidR="00EC2557">
              <w:rPr>
                <w:sz w:val="22"/>
              </w:rPr>
              <w:t>t her life experiences and how G</w:t>
            </w:r>
            <w:r>
              <w:rPr>
                <w:sz w:val="22"/>
              </w:rPr>
              <w:t>irls Network had helped her.</w:t>
            </w:r>
          </w:p>
          <w:p w:rsidR="001F05D8" w:rsidRDefault="001F05D8" w:rsidP="00EC2557">
            <w:pPr>
              <w:pStyle w:val="TableRowCentered"/>
              <w:jc w:val="left"/>
              <w:rPr>
                <w:sz w:val="22"/>
              </w:rPr>
            </w:pPr>
          </w:p>
        </w:tc>
      </w:tr>
      <w:tr w:rsidR="009B0F96" w:rsidTr="00F85DE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96" w:rsidRPr="001F05D8" w:rsidRDefault="003B1248" w:rsidP="00490D24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Governor monitoring of impact of external providers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F96" w:rsidRPr="00B73E5E" w:rsidRDefault="003B1248" w:rsidP="00221816">
            <w:pPr>
              <w:pStyle w:val="TableRowCentered"/>
              <w:jc w:val="left"/>
              <w:rPr>
                <w:rFonts w:cs="Arial"/>
                <w:sz w:val="22"/>
                <w:szCs w:val="22"/>
              </w:rPr>
            </w:pPr>
            <w:r w:rsidRPr="00B73E5E">
              <w:rPr>
                <w:rFonts w:cs="Arial"/>
                <w:sz w:val="22"/>
                <w:szCs w:val="22"/>
              </w:rPr>
              <w:t>Sheila Palmerley, our Chair of Governors</w:t>
            </w:r>
            <w:r w:rsidR="00B73E5E" w:rsidRPr="00B73E5E">
              <w:rPr>
                <w:rFonts w:cs="Arial"/>
                <w:sz w:val="22"/>
                <w:szCs w:val="22"/>
              </w:rPr>
              <w:t>, spoke to students and staff involved with Action Tutoring, Villi</w:t>
            </w:r>
            <w:r w:rsidR="00B73E5E">
              <w:rPr>
                <w:rFonts w:cs="Arial"/>
                <w:sz w:val="22"/>
                <w:szCs w:val="22"/>
              </w:rPr>
              <w:t>ers P</w:t>
            </w:r>
            <w:r w:rsidR="00B73E5E" w:rsidRPr="00B73E5E">
              <w:rPr>
                <w:rFonts w:cs="Arial"/>
                <w:sz w:val="22"/>
                <w:szCs w:val="22"/>
              </w:rPr>
              <w:t>ark and Girls Network</w:t>
            </w:r>
            <w:r w:rsidR="00B73E5E">
              <w:rPr>
                <w:rFonts w:cs="Arial"/>
                <w:sz w:val="22"/>
                <w:szCs w:val="22"/>
              </w:rPr>
              <w:t xml:space="preserve">. Her report </w:t>
            </w:r>
            <w:proofErr w:type="gramStart"/>
            <w:r w:rsidR="00B73E5E">
              <w:rPr>
                <w:rFonts w:cs="Arial"/>
                <w:sz w:val="22"/>
                <w:szCs w:val="22"/>
              </w:rPr>
              <w:t>can be found</w:t>
            </w:r>
            <w:proofErr w:type="gramEnd"/>
            <w:r w:rsidR="00B73E5E">
              <w:rPr>
                <w:rFonts w:cs="Arial"/>
                <w:sz w:val="22"/>
                <w:szCs w:val="22"/>
              </w:rPr>
              <w:t xml:space="preserve"> in the PP area of the website</w:t>
            </w:r>
            <w:r w:rsidR="00B73E5E" w:rsidRPr="00B73E5E">
              <w:rPr>
                <w:rFonts w:cs="Arial"/>
                <w:b/>
                <w:sz w:val="22"/>
                <w:szCs w:val="22"/>
                <w:u w:val="single"/>
              </w:rPr>
              <w:t xml:space="preserve">-“Pupil </w:t>
            </w:r>
            <w:r w:rsidR="00B73E5E" w:rsidRPr="00B73E5E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Premium Monitoring Visit Report 28 March 2022”.</w:t>
            </w:r>
          </w:p>
        </w:tc>
      </w:tr>
    </w:tbl>
    <w:p w:rsidR="00151204" w:rsidRPr="0002738F" w:rsidRDefault="00151204" w:rsidP="0002738F">
      <w:pPr>
        <w:spacing w:after="0" w:line="240" w:lineRule="auto"/>
        <w:rPr>
          <w:rFonts w:cs="Arial"/>
        </w:rPr>
      </w:pPr>
    </w:p>
    <w:sectPr w:rsidR="00151204" w:rsidRPr="000273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5E" w:rsidRDefault="0041645E" w:rsidP="0041645E">
      <w:pPr>
        <w:spacing w:after="0" w:line="240" w:lineRule="auto"/>
      </w:pPr>
      <w:r>
        <w:separator/>
      </w:r>
    </w:p>
  </w:endnote>
  <w:endnote w:type="continuationSeparator" w:id="0">
    <w:p w:rsidR="0041645E" w:rsidRDefault="0041645E" w:rsidP="004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5E" w:rsidRDefault="0041645E" w:rsidP="0041645E">
      <w:pPr>
        <w:spacing w:after="0" w:line="240" w:lineRule="auto"/>
      </w:pPr>
      <w:r>
        <w:separator/>
      </w:r>
    </w:p>
  </w:footnote>
  <w:footnote w:type="continuationSeparator" w:id="0">
    <w:p w:rsidR="0041645E" w:rsidRDefault="0041645E" w:rsidP="004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5E" w:rsidRDefault="007D5139">
    <w:pPr>
      <w:pStyle w:val="Header"/>
    </w:pPr>
    <w:r>
      <w:t xml:space="preserve">Pupil Premium Strategy </w:t>
    </w:r>
    <w:r w:rsidR="00B32A06">
      <w:t>2021-</w:t>
    </w:r>
    <w:proofErr w:type="gramStart"/>
    <w:r w:rsidR="00B32A06">
      <w:t>23</w:t>
    </w:r>
    <w:r>
      <w:t xml:space="preserve">  Interim</w:t>
    </w:r>
    <w:proofErr w:type="gramEnd"/>
    <w:r>
      <w:t xml:space="preserve"> Report   March 2022 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3E2"/>
    <w:multiLevelType w:val="multilevel"/>
    <w:tmpl w:val="6E9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E"/>
    <w:rsid w:val="0002738F"/>
    <w:rsid w:val="0007447B"/>
    <w:rsid w:val="00077E4B"/>
    <w:rsid w:val="000A13BA"/>
    <w:rsid w:val="000A62F4"/>
    <w:rsid w:val="000E3FCF"/>
    <w:rsid w:val="00151204"/>
    <w:rsid w:val="001B158D"/>
    <w:rsid w:val="001F05D8"/>
    <w:rsid w:val="00265B07"/>
    <w:rsid w:val="0027283B"/>
    <w:rsid w:val="002D5D2C"/>
    <w:rsid w:val="00305301"/>
    <w:rsid w:val="00396D5C"/>
    <w:rsid w:val="003B1248"/>
    <w:rsid w:val="003E3204"/>
    <w:rsid w:val="0041645E"/>
    <w:rsid w:val="00427DD4"/>
    <w:rsid w:val="00490D24"/>
    <w:rsid w:val="004B2AC7"/>
    <w:rsid w:val="00506007"/>
    <w:rsid w:val="00523D07"/>
    <w:rsid w:val="005547C3"/>
    <w:rsid w:val="00565653"/>
    <w:rsid w:val="005D75F8"/>
    <w:rsid w:val="005E5803"/>
    <w:rsid w:val="00630298"/>
    <w:rsid w:val="006C35C3"/>
    <w:rsid w:val="00723D1F"/>
    <w:rsid w:val="00745333"/>
    <w:rsid w:val="007B0EF8"/>
    <w:rsid w:val="007D5139"/>
    <w:rsid w:val="0082105D"/>
    <w:rsid w:val="008F7222"/>
    <w:rsid w:val="009111F9"/>
    <w:rsid w:val="00957EDF"/>
    <w:rsid w:val="009B0F96"/>
    <w:rsid w:val="00A635A2"/>
    <w:rsid w:val="00A761B1"/>
    <w:rsid w:val="00B07C95"/>
    <w:rsid w:val="00B32A06"/>
    <w:rsid w:val="00B37C80"/>
    <w:rsid w:val="00B6631F"/>
    <w:rsid w:val="00B73E5E"/>
    <w:rsid w:val="00B964FA"/>
    <w:rsid w:val="00BE2DFF"/>
    <w:rsid w:val="00C25EA2"/>
    <w:rsid w:val="00C757ED"/>
    <w:rsid w:val="00EA6B89"/>
    <w:rsid w:val="00EC2557"/>
    <w:rsid w:val="00F16FF4"/>
    <w:rsid w:val="00F45EA1"/>
    <w:rsid w:val="00F85DEC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98AB"/>
  <w15:chartTrackingRefBased/>
  <w15:docId w15:val="{4A250BAD-4AD8-43F6-A8DF-4965D7D0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5E"/>
    <w:pPr>
      <w:suppressAutoHyphens/>
      <w:autoSpaceDN w:val="0"/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rsid w:val="0041645E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41645E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41645E"/>
    <w:pPr>
      <w:jc w:val="center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1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5E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5E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B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Williams</dc:creator>
  <cp:keywords/>
  <dc:description/>
  <cp:lastModifiedBy>I Williams</cp:lastModifiedBy>
  <cp:revision>45</cp:revision>
  <dcterms:created xsi:type="dcterms:W3CDTF">2022-03-11T08:49:00Z</dcterms:created>
  <dcterms:modified xsi:type="dcterms:W3CDTF">2022-04-04T06:33:00Z</dcterms:modified>
</cp:coreProperties>
</file>