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55"/>
        <w:gridCol w:w="2268"/>
        <w:gridCol w:w="2343"/>
        <w:gridCol w:w="2305"/>
        <w:gridCol w:w="2306"/>
        <w:gridCol w:w="2305"/>
        <w:gridCol w:w="2306"/>
      </w:tblGrid>
      <w:tr w:rsidR="00D56A3B" w:rsidTr="004522BA">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3B1431">
              <w:rPr>
                <w:rFonts w:ascii="Century Gothic" w:hAnsi="Century Gothic" w:cs="Tahoma"/>
                <w:b/>
                <w:bCs/>
                <w:color w:val="000000"/>
              </w:rPr>
              <w:t>1</w:t>
            </w:r>
            <w:r w:rsidR="008C5170">
              <w:rPr>
                <w:rFonts w:ascii="Century Gothic" w:hAnsi="Century Gothic" w:cs="Tahoma"/>
                <w:b/>
                <w:bCs/>
                <w:color w:val="000000"/>
              </w:rPr>
              <w:t>0</w:t>
            </w:r>
            <w:r w:rsidRPr="00D56A3B">
              <w:rPr>
                <w:rFonts w:ascii="Century Gothic" w:hAnsi="Century Gothic" w:cs="Tahoma"/>
                <w:b/>
                <w:bCs/>
                <w:color w:val="000000"/>
              </w:rPr>
              <w:t xml:space="preserve"> - </w:t>
            </w:r>
            <w:r w:rsidR="00E16419">
              <w:rPr>
                <w:rFonts w:ascii="Century Gothic" w:hAnsi="Century Gothic" w:cs="Tahoma"/>
                <w:b/>
                <w:bCs/>
                <w:color w:val="000000"/>
              </w:rPr>
              <w:t>English</w:t>
            </w:r>
          </w:p>
        </w:tc>
      </w:tr>
      <w:tr w:rsidR="00D56A3B" w:rsidTr="0023206D">
        <w:tc>
          <w:tcPr>
            <w:tcW w:w="1555" w:type="dxa"/>
            <w:vAlign w:val="center"/>
          </w:tcPr>
          <w:p w:rsidR="00D56A3B" w:rsidRPr="00D56A3B" w:rsidRDefault="00D56A3B" w:rsidP="0023206D">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Curriculum </w:t>
            </w:r>
            <w:r w:rsidR="0023206D">
              <w:rPr>
                <w:rFonts w:ascii="Century Gothic" w:hAnsi="Century Gothic" w:cs="Tahoma"/>
                <w:b/>
                <w:bCs/>
                <w:color w:val="000000"/>
              </w:rPr>
              <w:t>I</w:t>
            </w:r>
            <w:r w:rsidRPr="00D56A3B">
              <w:rPr>
                <w:rFonts w:ascii="Century Gothic" w:hAnsi="Century Gothic" w:cs="Tahoma"/>
                <w:b/>
                <w:bCs/>
                <w:color w:val="000000"/>
              </w:rPr>
              <w:t>ntent</w:t>
            </w:r>
          </w:p>
        </w:tc>
        <w:tc>
          <w:tcPr>
            <w:tcW w:w="13833" w:type="dxa"/>
            <w:gridSpan w:val="6"/>
          </w:tcPr>
          <w:p w:rsidR="00625E6F" w:rsidRDefault="00625E6F" w:rsidP="00625E6F">
            <w:pPr>
              <w:spacing w:after="0" w:line="240" w:lineRule="auto"/>
              <w:rPr>
                <w:rFonts w:ascii="Century Gothic" w:hAnsi="Century Gothic" w:cs="Tahoma"/>
                <w:bCs/>
                <w:color w:val="000000"/>
              </w:rPr>
            </w:pPr>
            <w:r>
              <w:rPr>
                <w:rFonts w:ascii="Century Gothic" w:hAnsi="Century Gothic" w:cs="Tahoma"/>
                <w:bCs/>
                <w:color w:val="000000"/>
              </w:rPr>
              <w:t xml:space="preserve">In Year 10, students will study the core texts required for their English Literature GCSE, ensuring they reach Year 11 with the fundamental knowledge required to succeed. They will read the texts in full, analyse a wide range of extracts with a focus on language, structure and form, as well as exploring theme and context through the entire texts. By immersing students in these texts as the core focus, students will develop the confidence and fluency, around writers’ intentions, influence and writing style, essential for success at GCSE. </w:t>
            </w:r>
            <w:r w:rsidR="00733398">
              <w:rPr>
                <w:rFonts w:ascii="Century Gothic" w:hAnsi="Century Gothic" w:cs="Tahoma"/>
                <w:bCs/>
                <w:color w:val="000000"/>
              </w:rPr>
              <w:t xml:space="preserve">Students will also consolidate </w:t>
            </w:r>
            <w:proofErr w:type="spellStart"/>
            <w:r w:rsidR="00733398">
              <w:rPr>
                <w:rFonts w:ascii="Century Gothic" w:hAnsi="Century Gothic" w:cs="Tahoma"/>
                <w:bCs/>
                <w:color w:val="000000"/>
              </w:rPr>
              <w:t>oracy</w:t>
            </w:r>
            <w:proofErr w:type="spellEnd"/>
            <w:r w:rsidR="00733398">
              <w:rPr>
                <w:rFonts w:ascii="Century Gothic" w:hAnsi="Century Gothic" w:cs="Tahoma"/>
                <w:bCs/>
                <w:color w:val="000000"/>
              </w:rPr>
              <w:t xml:space="preserve"> skills through the Spoken Language Endorsement.</w:t>
            </w:r>
          </w:p>
          <w:p w:rsidR="00625E6F" w:rsidRDefault="00625E6F" w:rsidP="00625E6F">
            <w:pPr>
              <w:spacing w:after="0" w:line="240" w:lineRule="auto"/>
              <w:rPr>
                <w:rFonts w:ascii="Century Gothic" w:hAnsi="Century Gothic" w:cs="Tahoma"/>
                <w:bCs/>
                <w:color w:val="000000"/>
              </w:rPr>
            </w:pPr>
          </w:p>
          <w:p w:rsidR="0023206D" w:rsidRDefault="00625E6F" w:rsidP="00625E6F">
            <w:pPr>
              <w:spacing w:after="0" w:line="240" w:lineRule="auto"/>
              <w:rPr>
                <w:rFonts w:ascii="Century Gothic" w:hAnsi="Century Gothic" w:cs="Tahoma"/>
                <w:bCs/>
                <w:color w:val="000000"/>
              </w:rPr>
            </w:pPr>
            <w:r>
              <w:rPr>
                <w:rFonts w:ascii="Century Gothic" w:hAnsi="Century Gothic" w:cs="Tahoma"/>
                <w:bCs/>
                <w:color w:val="000000"/>
              </w:rPr>
              <w:t xml:space="preserve">Students will also </w:t>
            </w:r>
            <w:r w:rsidR="00DE7A1C">
              <w:rPr>
                <w:rFonts w:ascii="Century Gothic" w:hAnsi="Century Gothic" w:cs="Tahoma"/>
                <w:bCs/>
                <w:color w:val="000000"/>
              </w:rPr>
              <w:t xml:space="preserve">learn the key concepts of the English language GCSE, </w:t>
            </w:r>
            <w:r w:rsidR="00DE7A1C" w:rsidRPr="00DC4C50">
              <w:rPr>
                <w:rFonts w:ascii="Century Gothic" w:hAnsi="Century Gothic" w:cs="Tahoma"/>
                <w:bCs/>
                <w:color w:val="000000"/>
              </w:rPr>
              <w:t>studying each of the two exam papers in full</w:t>
            </w:r>
            <w:r w:rsidR="00DE7A1C">
              <w:rPr>
                <w:rFonts w:ascii="Century Gothic" w:hAnsi="Century Gothic" w:cs="Tahoma"/>
                <w:bCs/>
                <w:color w:val="000000"/>
              </w:rPr>
              <w:t xml:space="preserve">. Students will hone their skills in analysis, evaluation and comparison, as well as in transactional writing and imaginative writing.  Through exposure to a range of topics, genres and styles, students will build resilience and confidence in tackling unseen texts, applying their and building upon their knowledge of figurative and rhetorical devices. </w:t>
            </w:r>
          </w:p>
          <w:p w:rsidR="00DE7A1C" w:rsidRDefault="00DE7A1C" w:rsidP="00625E6F">
            <w:pPr>
              <w:spacing w:after="0" w:line="240" w:lineRule="auto"/>
              <w:rPr>
                <w:rFonts w:ascii="Century Gothic" w:hAnsi="Century Gothic" w:cs="Tahoma"/>
                <w:bCs/>
                <w:color w:val="000000"/>
              </w:rPr>
            </w:pPr>
          </w:p>
          <w:p w:rsidR="00DE7A1C" w:rsidRDefault="00DE7A1C" w:rsidP="00625E6F">
            <w:pPr>
              <w:spacing w:after="0" w:line="240" w:lineRule="auto"/>
              <w:rPr>
                <w:rFonts w:ascii="Century Gothic" w:hAnsi="Century Gothic" w:cs="Tahoma"/>
                <w:bCs/>
                <w:color w:val="000000"/>
              </w:rPr>
            </w:pPr>
            <w:r>
              <w:rPr>
                <w:rFonts w:ascii="Century Gothic" w:hAnsi="Century Gothic" w:cs="Tahoma"/>
                <w:bCs/>
                <w:color w:val="000000"/>
              </w:rPr>
              <w:t xml:space="preserve">Throughout all units of work, students will be forced to refine their writing style, particularly in the formation of extended essay responses. By revising core grammatical and syntactical concepts, students will develop a real sense of control and fluency in their own writing. </w:t>
            </w:r>
          </w:p>
        </w:tc>
      </w:tr>
      <w:tr w:rsidR="00BC3F7F" w:rsidTr="00A841CD">
        <w:trPr>
          <w:trHeight w:val="360"/>
        </w:trPr>
        <w:tc>
          <w:tcPr>
            <w:tcW w:w="1555" w:type="dxa"/>
            <w:vAlign w:val="center"/>
          </w:tcPr>
          <w:p w:rsidR="00D56A3B" w:rsidRPr="00D56A3B" w:rsidRDefault="00D56A3B" w:rsidP="0023206D">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Term</w:t>
            </w:r>
          </w:p>
        </w:tc>
        <w:tc>
          <w:tcPr>
            <w:tcW w:w="2268" w:type="dxa"/>
          </w:tcPr>
          <w:p w:rsidR="00D56A3B" w:rsidRPr="00D56A3B" w:rsidRDefault="00D56A3B" w:rsidP="00BE6AD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 1</w:t>
            </w:r>
          </w:p>
        </w:tc>
        <w:tc>
          <w:tcPr>
            <w:tcW w:w="2343" w:type="dxa"/>
          </w:tcPr>
          <w:p w:rsidR="00D56A3B" w:rsidRPr="00D56A3B" w:rsidRDefault="00D56A3B" w:rsidP="00BE6AD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 2</w:t>
            </w:r>
          </w:p>
        </w:tc>
        <w:tc>
          <w:tcPr>
            <w:tcW w:w="2305" w:type="dxa"/>
          </w:tcPr>
          <w:p w:rsidR="00D56A3B" w:rsidRPr="00D56A3B" w:rsidRDefault="00D56A3B" w:rsidP="00BE6AD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 1</w:t>
            </w:r>
          </w:p>
        </w:tc>
        <w:tc>
          <w:tcPr>
            <w:tcW w:w="2306" w:type="dxa"/>
          </w:tcPr>
          <w:p w:rsidR="00D56A3B" w:rsidRPr="00D56A3B" w:rsidRDefault="00D56A3B" w:rsidP="00BE6AD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 2</w:t>
            </w:r>
          </w:p>
        </w:tc>
        <w:tc>
          <w:tcPr>
            <w:tcW w:w="2305" w:type="dxa"/>
          </w:tcPr>
          <w:p w:rsidR="00D56A3B" w:rsidRPr="00D56A3B" w:rsidRDefault="00D56A3B" w:rsidP="00BE6AD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 1</w:t>
            </w:r>
          </w:p>
        </w:tc>
        <w:tc>
          <w:tcPr>
            <w:tcW w:w="2306" w:type="dxa"/>
          </w:tcPr>
          <w:p w:rsidR="00D56A3B" w:rsidRPr="00D56A3B" w:rsidRDefault="00D56A3B" w:rsidP="00BE6AD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 2</w:t>
            </w:r>
          </w:p>
        </w:tc>
      </w:tr>
      <w:tr w:rsidR="00A841CD" w:rsidTr="00CF4C93">
        <w:trPr>
          <w:trHeight w:val="568"/>
        </w:trPr>
        <w:tc>
          <w:tcPr>
            <w:tcW w:w="1555" w:type="dxa"/>
            <w:vAlign w:val="center"/>
          </w:tcPr>
          <w:p w:rsidR="00A841CD" w:rsidRDefault="00A841CD" w:rsidP="0023206D">
            <w:pPr>
              <w:spacing w:after="0" w:line="240" w:lineRule="auto"/>
              <w:jc w:val="center"/>
              <w:rPr>
                <w:rFonts w:ascii="Century Gothic" w:hAnsi="Century Gothic" w:cs="Tahoma"/>
                <w:b/>
                <w:bCs/>
                <w:color w:val="000000"/>
              </w:rPr>
            </w:pPr>
            <w:r>
              <w:rPr>
                <w:rFonts w:ascii="Century Gothic" w:hAnsi="Century Gothic" w:cs="Tahoma"/>
                <w:b/>
                <w:bCs/>
                <w:color w:val="000000"/>
              </w:rPr>
              <w:t>Topic</w:t>
            </w:r>
          </w:p>
        </w:tc>
        <w:tc>
          <w:tcPr>
            <w:tcW w:w="4611" w:type="dxa"/>
            <w:gridSpan w:val="2"/>
            <w:vAlign w:val="center"/>
          </w:tcPr>
          <w:p w:rsidR="00A841CD" w:rsidRDefault="00A841CD" w:rsidP="00C50435">
            <w:pPr>
              <w:spacing w:after="0" w:line="240" w:lineRule="auto"/>
              <w:jc w:val="center"/>
              <w:rPr>
                <w:rFonts w:ascii="Century Gothic" w:hAnsi="Century Gothic" w:cs="Tahoma"/>
                <w:b/>
                <w:bCs/>
                <w:color w:val="000000"/>
              </w:rPr>
            </w:pPr>
            <w:r w:rsidRPr="00A841CD">
              <w:rPr>
                <w:rFonts w:ascii="Century Gothic" w:hAnsi="Century Gothic" w:cs="Tahoma"/>
                <w:b/>
                <w:bCs/>
                <w:i/>
                <w:color w:val="000000"/>
              </w:rPr>
              <w:t>A Christmas Carol</w:t>
            </w:r>
            <w:r>
              <w:rPr>
                <w:rFonts w:ascii="Century Gothic" w:hAnsi="Century Gothic" w:cs="Tahoma"/>
                <w:b/>
                <w:bCs/>
                <w:color w:val="000000"/>
              </w:rPr>
              <w:t xml:space="preserve"> by Charles Dickens</w:t>
            </w:r>
          </w:p>
          <w:p w:rsidR="00A841CD" w:rsidRDefault="00A841CD" w:rsidP="00C50435">
            <w:pPr>
              <w:spacing w:after="0" w:line="240" w:lineRule="auto"/>
              <w:jc w:val="center"/>
              <w:rPr>
                <w:rFonts w:ascii="Century Gothic" w:hAnsi="Century Gothic" w:cs="Tahoma"/>
                <w:b/>
                <w:bCs/>
                <w:color w:val="000000"/>
              </w:rPr>
            </w:pPr>
            <w:r>
              <w:rPr>
                <w:rFonts w:ascii="Century Gothic" w:hAnsi="Century Gothic" w:cs="Tahoma"/>
                <w:b/>
                <w:bCs/>
                <w:color w:val="000000"/>
              </w:rPr>
              <w:t xml:space="preserve">Language Paper 1: Reading and Writing </w:t>
            </w:r>
          </w:p>
        </w:tc>
        <w:tc>
          <w:tcPr>
            <w:tcW w:w="4611" w:type="dxa"/>
            <w:gridSpan w:val="2"/>
            <w:vAlign w:val="center"/>
          </w:tcPr>
          <w:p w:rsidR="00A841CD" w:rsidRPr="00A841CD" w:rsidRDefault="00A841CD" w:rsidP="00C50435">
            <w:pPr>
              <w:spacing w:after="0" w:line="240" w:lineRule="auto"/>
              <w:jc w:val="center"/>
              <w:rPr>
                <w:rFonts w:ascii="Century Gothic" w:hAnsi="Century Gothic" w:cs="Tahoma"/>
                <w:b/>
                <w:bCs/>
                <w:color w:val="000000"/>
              </w:rPr>
            </w:pPr>
            <w:r w:rsidRPr="00A841CD">
              <w:rPr>
                <w:rFonts w:ascii="Century Gothic" w:hAnsi="Century Gothic" w:cs="Tahoma"/>
                <w:b/>
                <w:bCs/>
                <w:i/>
                <w:color w:val="000000"/>
              </w:rPr>
              <w:t>Macbeth</w:t>
            </w:r>
            <w:r>
              <w:rPr>
                <w:rFonts w:ascii="Century Gothic" w:hAnsi="Century Gothic" w:cs="Tahoma"/>
                <w:b/>
                <w:bCs/>
                <w:i/>
                <w:color w:val="000000"/>
              </w:rPr>
              <w:t xml:space="preserve"> </w:t>
            </w:r>
            <w:r>
              <w:rPr>
                <w:rFonts w:ascii="Century Gothic" w:hAnsi="Century Gothic" w:cs="Tahoma"/>
                <w:b/>
                <w:bCs/>
                <w:color w:val="000000"/>
              </w:rPr>
              <w:t>by William Shakespeare</w:t>
            </w:r>
          </w:p>
          <w:p w:rsidR="00A841CD" w:rsidRDefault="00A841CD" w:rsidP="00C50435">
            <w:pPr>
              <w:spacing w:after="0" w:line="240" w:lineRule="auto"/>
              <w:jc w:val="center"/>
              <w:rPr>
                <w:rFonts w:ascii="Century Gothic" w:hAnsi="Century Gothic" w:cs="Tahoma"/>
                <w:b/>
                <w:bCs/>
                <w:color w:val="000000"/>
              </w:rPr>
            </w:pPr>
            <w:r>
              <w:rPr>
                <w:rFonts w:ascii="Century Gothic" w:hAnsi="Century Gothic" w:cs="Tahoma"/>
                <w:b/>
                <w:bCs/>
                <w:color w:val="000000"/>
              </w:rPr>
              <w:t>Language Paper</w:t>
            </w:r>
            <w:r w:rsidR="004A04BA">
              <w:rPr>
                <w:rFonts w:ascii="Century Gothic" w:hAnsi="Century Gothic" w:cs="Tahoma"/>
                <w:b/>
                <w:bCs/>
                <w:color w:val="000000"/>
              </w:rPr>
              <w:t xml:space="preserve"> 2: Reading and Writing</w:t>
            </w:r>
          </w:p>
        </w:tc>
        <w:tc>
          <w:tcPr>
            <w:tcW w:w="4611" w:type="dxa"/>
            <w:gridSpan w:val="2"/>
            <w:vAlign w:val="center"/>
          </w:tcPr>
          <w:p w:rsidR="00A841CD" w:rsidRDefault="00A841CD" w:rsidP="00C50435">
            <w:pPr>
              <w:spacing w:after="0" w:line="240" w:lineRule="auto"/>
              <w:jc w:val="center"/>
              <w:rPr>
                <w:rFonts w:ascii="Century Gothic" w:hAnsi="Century Gothic" w:cs="Tahoma"/>
                <w:b/>
                <w:bCs/>
                <w:color w:val="000000"/>
              </w:rPr>
            </w:pPr>
            <w:r>
              <w:rPr>
                <w:rFonts w:ascii="Century Gothic" w:hAnsi="Century Gothic" w:cs="Tahoma"/>
                <w:b/>
                <w:bCs/>
                <w:color w:val="000000"/>
              </w:rPr>
              <w:t>Animal Farm by George Orwell</w:t>
            </w:r>
          </w:p>
          <w:p w:rsidR="00A841CD" w:rsidRDefault="00A841CD" w:rsidP="00C50435">
            <w:pPr>
              <w:spacing w:after="0" w:line="240" w:lineRule="auto"/>
              <w:jc w:val="center"/>
              <w:rPr>
                <w:rFonts w:ascii="Century Gothic" w:hAnsi="Century Gothic" w:cs="Tahoma"/>
                <w:b/>
                <w:bCs/>
                <w:color w:val="000000"/>
              </w:rPr>
            </w:pPr>
            <w:r>
              <w:rPr>
                <w:rFonts w:ascii="Century Gothic" w:hAnsi="Century Gothic" w:cs="Tahoma"/>
                <w:b/>
                <w:bCs/>
                <w:color w:val="000000"/>
              </w:rPr>
              <w:t xml:space="preserve">Language Paper </w:t>
            </w:r>
            <w:r w:rsidR="004A04BA">
              <w:rPr>
                <w:rFonts w:ascii="Century Gothic" w:hAnsi="Century Gothic" w:cs="Tahoma"/>
                <w:b/>
                <w:bCs/>
                <w:color w:val="000000"/>
              </w:rPr>
              <w:t>Revision</w:t>
            </w:r>
          </w:p>
        </w:tc>
      </w:tr>
      <w:tr w:rsidR="00A841CD" w:rsidTr="00D26DB2">
        <w:tc>
          <w:tcPr>
            <w:tcW w:w="1555" w:type="dxa"/>
            <w:vAlign w:val="center"/>
          </w:tcPr>
          <w:p w:rsidR="00A841CD" w:rsidRPr="00D56A3B" w:rsidRDefault="00A841CD" w:rsidP="00126C30">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Knowledge</w:t>
            </w:r>
          </w:p>
        </w:tc>
        <w:tc>
          <w:tcPr>
            <w:tcW w:w="4611" w:type="dxa"/>
            <w:gridSpan w:val="2"/>
          </w:tcPr>
          <w:p w:rsidR="00A841CD" w:rsidRDefault="00A841CD" w:rsidP="00126C30">
            <w:pPr>
              <w:pStyle w:val="ListParagraph"/>
              <w:numPr>
                <w:ilvl w:val="0"/>
                <w:numId w:val="23"/>
              </w:numPr>
              <w:ind w:left="171" w:hanging="142"/>
              <w:rPr>
                <w:rFonts w:ascii="Century Gothic" w:hAnsi="Century Gothic" w:cs="Arial"/>
              </w:rPr>
            </w:pPr>
            <w:r>
              <w:rPr>
                <w:rFonts w:ascii="Century Gothic" w:hAnsi="Century Gothic" w:cs="Arial"/>
              </w:rPr>
              <w:t xml:space="preserve">Language devices </w:t>
            </w:r>
            <w:r w:rsidR="004A04BA">
              <w:rPr>
                <w:rFonts w:ascii="Century Gothic" w:hAnsi="Century Gothic" w:cs="Arial"/>
              </w:rPr>
              <w:t>and</w:t>
            </w:r>
            <w:r>
              <w:rPr>
                <w:rFonts w:ascii="Century Gothic" w:hAnsi="Century Gothic" w:cs="Arial"/>
              </w:rPr>
              <w:t xml:space="preserve"> figurative devices</w:t>
            </w:r>
          </w:p>
          <w:p w:rsidR="00A841CD" w:rsidRDefault="00A841CD" w:rsidP="00126C30">
            <w:pPr>
              <w:pStyle w:val="ListParagraph"/>
              <w:numPr>
                <w:ilvl w:val="0"/>
                <w:numId w:val="23"/>
              </w:numPr>
              <w:ind w:left="171" w:hanging="142"/>
              <w:rPr>
                <w:rFonts w:ascii="Century Gothic" w:hAnsi="Century Gothic" w:cs="Arial"/>
              </w:rPr>
            </w:pPr>
            <w:r>
              <w:rPr>
                <w:rFonts w:ascii="Century Gothic" w:hAnsi="Century Gothic" w:cs="Arial"/>
              </w:rPr>
              <w:t xml:space="preserve">Word classes </w:t>
            </w:r>
          </w:p>
          <w:p w:rsidR="00A841CD" w:rsidRDefault="00A841CD" w:rsidP="00126C30">
            <w:pPr>
              <w:pStyle w:val="ListParagraph"/>
              <w:numPr>
                <w:ilvl w:val="0"/>
                <w:numId w:val="23"/>
              </w:numPr>
              <w:ind w:left="171" w:hanging="142"/>
              <w:rPr>
                <w:rFonts w:ascii="Century Gothic" w:hAnsi="Century Gothic" w:cs="Arial"/>
              </w:rPr>
            </w:pPr>
            <w:r>
              <w:rPr>
                <w:rFonts w:ascii="Century Gothic" w:hAnsi="Century Gothic" w:cs="Arial"/>
              </w:rPr>
              <w:t>Structural devices including sentence types</w:t>
            </w:r>
          </w:p>
          <w:p w:rsidR="00A841CD" w:rsidRPr="00001370"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Plot, character and theme in Charles Dickens’ </w:t>
            </w:r>
            <w:r>
              <w:rPr>
                <w:rFonts w:ascii="Century Gothic" w:hAnsi="Century Gothic" w:cs="Tahoma"/>
                <w:bCs/>
                <w:i/>
                <w:color w:val="000000"/>
              </w:rPr>
              <w:t>A Christmas Carol</w:t>
            </w:r>
          </w:p>
          <w:p w:rsidR="00A841CD" w:rsidRPr="00857508"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Historical context influencing Dickens</w:t>
            </w:r>
          </w:p>
          <w:p w:rsidR="004A04BA" w:rsidRDefault="00A841CD" w:rsidP="004A04B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Language, structure and form devices</w:t>
            </w:r>
          </w:p>
          <w:p w:rsidR="004A04BA" w:rsidRPr="004A04BA" w:rsidRDefault="004A04BA" w:rsidP="004A04BA">
            <w:pPr>
              <w:pStyle w:val="ListParagraph"/>
              <w:numPr>
                <w:ilvl w:val="0"/>
                <w:numId w:val="24"/>
              </w:numPr>
              <w:spacing w:after="0" w:line="240" w:lineRule="auto"/>
              <w:ind w:left="201" w:hanging="142"/>
              <w:rPr>
                <w:rFonts w:ascii="Century Gothic" w:hAnsi="Century Gothic" w:cs="Tahoma"/>
                <w:bCs/>
                <w:color w:val="000000"/>
              </w:rPr>
            </w:pPr>
            <w:r w:rsidRPr="004A04BA">
              <w:rPr>
                <w:rFonts w:ascii="Century Gothic" w:hAnsi="Century Gothic" w:cs="Arial"/>
              </w:rPr>
              <w:t>Narrative structures</w:t>
            </w:r>
          </w:p>
          <w:p w:rsidR="004A04BA" w:rsidRDefault="004A04BA" w:rsidP="004A04BA">
            <w:pPr>
              <w:pStyle w:val="ListParagraph"/>
              <w:numPr>
                <w:ilvl w:val="0"/>
                <w:numId w:val="23"/>
              </w:numPr>
              <w:ind w:left="171" w:hanging="142"/>
              <w:rPr>
                <w:rFonts w:ascii="Century Gothic" w:hAnsi="Century Gothic" w:cs="Arial"/>
              </w:rPr>
            </w:pPr>
            <w:r>
              <w:rPr>
                <w:rFonts w:ascii="Century Gothic" w:hAnsi="Century Gothic" w:cs="Arial"/>
              </w:rPr>
              <w:t>Characterisation</w:t>
            </w:r>
          </w:p>
          <w:p w:rsidR="004A04BA" w:rsidRPr="004A04BA" w:rsidRDefault="004A04BA" w:rsidP="004A04B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Arial"/>
              </w:rPr>
              <w:t>Conventions of 19</w:t>
            </w:r>
            <w:r w:rsidRPr="005A6A79">
              <w:rPr>
                <w:rFonts w:ascii="Century Gothic" w:hAnsi="Century Gothic" w:cs="Arial"/>
                <w:vertAlign w:val="superscript"/>
              </w:rPr>
              <w:t>th</w:t>
            </w:r>
            <w:r>
              <w:rPr>
                <w:rFonts w:ascii="Century Gothic" w:hAnsi="Century Gothic" w:cs="Arial"/>
              </w:rPr>
              <w:t xml:space="preserve"> Century literature</w:t>
            </w:r>
          </w:p>
          <w:p w:rsidR="004A04BA" w:rsidRPr="00B20260" w:rsidRDefault="004A04BA" w:rsidP="004A04B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Knowledge of 5 key poems</w:t>
            </w:r>
            <w:r w:rsidR="00B83C32">
              <w:rPr>
                <w:rFonts w:ascii="Century Gothic" w:hAnsi="Century Gothic" w:cs="Tahoma"/>
                <w:bCs/>
                <w:color w:val="000000"/>
              </w:rPr>
              <w:t xml:space="preserve"> from the anthology</w:t>
            </w:r>
          </w:p>
        </w:tc>
        <w:tc>
          <w:tcPr>
            <w:tcW w:w="4611" w:type="dxa"/>
            <w:gridSpan w:val="2"/>
          </w:tcPr>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Plot, character and theme in Shakespeare’s Macbeth</w:t>
            </w:r>
          </w:p>
          <w:p w:rsidR="00A841CD" w:rsidRPr="00857508"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Historical context influencing Shakespeare</w:t>
            </w:r>
          </w:p>
          <w:p w:rsidR="00A841CD" w:rsidRPr="00B20260"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Language, structure and form devices</w:t>
            </w:r>
          </w:p>
          <w:p w:rsidR="00A841CD" w:rsidRDefault="00A841CD" w:rsidP="00126C30">
            <w:pPr>
              <w:pStyle w:val="ListParagraph"/>
              <w:numPr>
                <w:ilvl w:val="0"/>
                <w:numId w:val="23"/>
              </w:numPr>
              <w:ind w:left="171" w:hanging="142"/>
              <w:rPr>
                <w:rFonts w:ascii="Century Gothic" w:hAnsi="Century Gothic" w:cs="Arial"/>
              </w:rPr>
            </w:pPr>
            <w:r>
              <w:rPr>
                <w:rFonts w:ascii="Century Gothic" w:hAnsi="Century Gothic" w:cs="Arial"/>
              </w:rPr>
              <w:t>Language devices including both rhetorical and figurative devices</w:t>
            </w:r>
          </w:p>
          <w:p w:rsidR="00A841CD" w:rsidRDefault="00A841CD" w:rsidP="00126C30">
            <w:pPr>
              <w:pStyle w:val="ListParagraph"/>
              <w:numPr>
                <w:ilvl w:val="0"/>
                <w:numId w:val="23"/>
              </w:numPr>
              <w:ind w:left="171" w:hanging="142"/>
              <w:rPr>
                <w:rFonts w:ascii="Century Gothic" w:hAnsi="Century Gothic" w:cs="Arial"/>
              </w:rPr>
            </w:pPr>
            <w:r>
              <w:rPr>
                <w:rFonts w:ascii="Century Gothic" w:hAnsi="Century Gothic" w:cs="Arial"/>
              </w:rPr>
              <w:t xml:space="preserve">Word classes </w:t>
            </w:r>
          </w:p>
          <w:p w:rsidR="004A04BA" w:rsidRDefault="00A841CD" w:rsidP="004A04BA">
            <w:pPr>
              <w:pStyle w:val="ListParagraph"/>
              <w:numPr>
                <w:ilvl w:val="0"/>
                <w:numId w:val="23"/>
              </w:numPr>
              <w:ind w:left="171" w:hanging="142"/>
              <w:rPr>
                <w:rFonts w:ascii="Century Gothic" w:hAnsi="Century Gothic" w:cs="Arial"/>
              </w:rPr>
            </w:pPr>
            <w:r>
              <w:rPr>
                <w:rFonts w:ascii="Century Gothic" w:hAnsi="Century Gothic" w:cs="Arial"/>
              </w:rPr>
              <w:t>Structural devices including sentence types</w:t>
            </w:r>
          </w:p>
          <w:p w:rsidR="004A04BA" w:rsidRPr="004A04BA" w:rsidRDefault="004A04BA" w:rsidP="004A04BA">
            <w:pPr>
              <w:pStyle w:val="ListParagraph"/>
              <w:numPr>
                <w:ilvl w:val="0"/>
                <w:numId w:val="23"/>
              </w:numPr>
              <w:ind w:left="171" w:hanging="142"/>
              <w:rPr>
                <w:rFonts w:ascii="Century Gothic" w:hAnsi="Century Gothic" w:cs="Arial"/>
              </w:rPr>
            </w:pPr>
            <w:r>
              <w:rPr>
                <w:rFonts w:ascii="Century Gothic" w:hAnsi="Century Gothic" w:cs="Arial"/>
              </w:rPr>
              <w:t>Knowledge of 5 key poems</w:t>
            </w:r>
            <w:r w:rsidR="00B83C32">
              <w:rPr>
                <w:rFonts w:ascii="Century Gothic" w:hAnsi="Century Gothic" w:cs="Arial"/>
              </w:rPr>
              <w:t xml:space="preserve"> </w:t>
            </w:r>
            <w:r w:rsidR="00B83C32">
              <w:rPr>
                <w:rFonts w:ascii="Century Gothic" w:hAnsi="Century Gothic" w:cs="Tahoma"/>
                <w:bCs/>
                <w:color w:val="000000"/>
              </w:rPr>
              <w:t>from the anthology</w:t>
            </w:r>
          </w:p>
        </w:tc>
        <w:tc>
          <w:tcPr>
            <w:tcW w:w="4611" w:type="dxa"/>
            <w:gridSpan w:val="2"/>
          </w:tcPr>
          <w:p w:rsidR="00A841CD" w:rsidRPr="00001370"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Plot, character and theme in George Orwell’s </w:t>
            </w:r>
            <w:r>
              <w:rPr>
                <w:rFonts w:ascii="Century Gothic" w:hAnsi="Century Gothic" w:cs="Tahoma"/>
                <w:bCs/>
                <w:i/>
                <w:color w:val="000000"/>
              </w:rPr>
              <w:t>Animal Farm</w:t>
            </w:r>
          </w:p>
          <w:p w:rsidR="00B83C32" w:rsidRDefault="00A841CD" w:rsidP="00B83C32">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Historical context influencing Orwell</w:t>
            </w:r>
          </w:p>
          <w:p w:rsidR="004A04BA" w:rsidRDefault="004A04BA" w:rsidP="00B83C32">
            <w:pPr>
              <w:pStyle w:val="ListParagraph"/>
              <w:numPr>
                <w:ilvl w:val="0"/>
                <w:numId w:val="24"/>
              </w:numPr>
              <w:spacing w:after="0" w:line="240" w:lineRule="auto"/>
              <w:ind w:left="201" w:hanging="142"/>
              <w:rPr>
                <w:rFonts w:ascii="Century Gothic" w:hAnsi="Century Gothic" w:cs="Tahoma"/>
                <w:bCs/>
                <w:color w:val="000000"/>
              </w:rPr>
            </w:pPr>
            <w:r w:rsidRPr="00B83C32">
              <w:rPr>
                <w:rFonts w:ascii="Century Gothic" w:hAnsi="Century Gothic" w:cs="Tahoma"/>
                <w:bCs/>
                <w:color w:val="000000"/>
              </w:rPr>
              <w:t xml:space="preserve">Plot, character and themes in Animal Farm. </w:t>
            </w:r>
          </w:p>
          <w:p w:rsidR="00B83C32" w:rsidRPr="00B83C32" w:rsidRDefault="00B83C32" w:rsidP="00B83C32">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Motifs and symbolism</w:t>
            </w:r>
          </w:p>
          <w:p w:rsidR="004A04BA" w:rsidRDefault="004A04BA"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Revising the key exam skills and questions for language papers</w:t>
            </w:r>
          </w:p>
          <w:p w:rsidR="004A04BA" w:rsidRDefault="004A04BA"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Knowledge of 5 key poems</w:t>
            </w:r>
            <w:r w:rsidR="00B83C32">
              <w:rPr>
                <w:rFonts w:ascii="Century Gothic" w:hAnsi="Century Gothic" w:cs="Tahoma"/>
                <w:bCs/>
                <w:color w:val="000000"/>
              </w:rPr>
              <w:t xml:space="preserve"> </w:t>
            </w:r>
            <w:r w:rsidR="00B83C32">
              <w:rPr>
                <w:rFonts w:ascii="Century Gothic" w:hAnsi="Century Gothic" w:cs="Tahoma"/>
                <w:bCs/>
                <w:color w:val="000000"/>
              </w:rPr>
              <w:t>from the anthology</w:t>
            </w:r>
          </w:p>
          <w:p w:rsidR="00B83C32" w:rsidRPr="00126C30" w:rsidRDefault="00B83C32" w:rsidP="00B83C32">
            <w:pPr>
              <w:pStyle w:val="ListParagraph"/>
              <w:spacing w:after="0" w:line="240" w:lineRule="auto"/>
              <w:ind w:left="201"/>
              <w:rPr>
                <w:rFonts w:ascii="Century Gothic" w:hAnsi="Century Gothic" w:cs="Tahoma"/>
                <w:bCs/>
                <w:color w:val="000000"/>
              </w:rPr>
            </w:pPr>
          </w:p>
        </w:tc>
      </w:tr>
      <w:tr w:rsidR="00A841CD" w:rsidTr="00D81489">
        <w:tc>
          <w:tcPr>
            <w:tcW w:w="1555" w:type="dxa"/>
            <w:vAlign w:val="center"/>
          </w:tcPr>
          <w:p w:rsidR="00A841CD" w:rsidRPr="00D56A3B" w:rsidRDefault="00A841CD" w:rsidP="00126C30">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Skills</w:t>
            </w:r>
          </w:p>
        </w:tc>
        <w:tc>
          <w:tcPr>
            <w:tcW w:w="4611" w:type="dxa"/>
            <w:gridSpan w:val="2"/>
          </w:tcPr>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Analyse language and structure in an extract </w:t>
            </w:r>
          </w:p>
          <w:p w:rsidR="00A841CD" w:rsidRPr="00B20260"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Crafting, drafting and refining a piece of original writing</w:t>
            </w:r>
          </w:p>
          <w:p w:rsidR="004A04BA" w:rsidRDefault="00A841CD" w:rsidP="004A04B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Analysis of language, structure and for</w:t>
            </w:r>
            <w:r w:rsidR="004A04BA">
              <w:rPr>
                <w:rFonts w:ascii="Century Gothic" w:hAnsi="Century Gothic" w:cs="Tahoma"/>
                <w:bCs/>
                <w:color w:val="000000"/>
              </w:rPr>
              <w:t>m</w:t>
            </w:r>
          </w:p>
          <w:p w:rsidR="00A841CD" w:rsidRPr="004A04BA" w:rsidRDefault="004A04BA" w:rsidP="004A04B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Analyse language and structure in a short extract of unfamiliar 19</w:t>
            </w:r>
            <w:r w:rsidRPr="005A6A79">
              <w:rPr>
                <w:rFonts w:ascii="Century Gothic" w:hAnsi="Century Gothic" w:cs="Tahoma"/>
                <w:bCs/>
                <w:color w:val="000000"/>
                <w:vertAlign w:val="superscript"/>
              </w:rPr>
              <w:t>th</w:t>
            </w:r>
            <w:r>
              <w:rPr>
                <w:rFonts w:ascii="Century Gothic" w:hAnsi="Century Gothic" w:cs="Tahoma"/>
                <w:bCs/>
                <w:color w:val="000000"/>
              </w:rPr>
              <w:t xml:space="preserve"> Century literature</w:t>
            </w:r>
          </w:p>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Exploration of a key theme throughout the full text</w:t>
            </w:r>
          </w:p>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Inference of Dickens’ meaning and intentions</w:t>
            </w:r>
          </w:p>
          <w:p w:rsidR="004A04BA" w:rsidRDefault="00A841CD" w:rsidP="004A04B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Inference and deduction of readers’ reactions</w:t>
            </w:r>
          </w:p>
          <w:p w:rsidR="00A841CD" w:rsidRPr="004A04BA" w:rsidRDefault="004A04BA" w:rsidP="004A04B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Inference of writers’ meaning and intentions</w:t>
            </w:r>
          </w:p>
        </w:tc>
        <w:tc>
          <w:tcPr>
            <w:tcW w:w="4611" w:type="dxa"/>
            <w:gridSpan w:val="2"/>
          </w:tcPr>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Analysis of language, structure and form</w:t>
            </w:r>
          </w:p>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Exploration of a key theme throughout the full text</w:t>
            </w:r>
          </w:p>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Application of context to a full text exploration</w:t>
            </w:r>
          </w:p>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Inference of writers’ meaning and intentions</w:t>
            </w:r>
          </w:p>
          <w:p w:rsidR="00A841CD" w:rsidRPr="004A04BA" w:rsidRDefault="00A841CD" w:rsidP="004A04B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Inference and deduction of readers’ reactions</w:t>
            </w:r>
          </w:p>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Evaluate the writer’s success in a piece </w:t>
            </w:r>
          </w:p>
          <w:p w:rsidR="00A841CD" w:rsidRPr="00B20260"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Crafting, drafting and refining a piece of </w:t>
            </w:r>
            <w:r w:rsidR="004A04BA">
              <w:rPr>
                <w:rFonts w:ascii="Century Gothic" w:hAnsi="Century Gothic" w:cs="Tahoma"/>
                <w:bCs/>
                <w:color w:val="000000"/>
              </w:rPr>
              <w:t xml:space="preserve">original </w:t>
            </w:r>
            <w:r>
              <w:rPr>
                <w:rFonts w:ascii="Century Gothic" w:hAnsi="Century Gothic" w:cs="Tahoma"/>
                <w:bCs/>
                <w:color w:val="000000"/>
              </w:rPr>
              <w:t>writin</w:t>
            </w:r>
            <w:r w:rsidR="004A04BA">
              <w:rPr>
                <w:rFonts w:ascii="Century Gothic" w:hAnsi="Century Gothic" w:cs="Tahoma"/>
                <w:bCs/>
                <w:color w:val="000000"/>
              </w:rPr>
              <w:t>g</w:t>
            </w:r>
          </w:p>
        </w:tc>
        <w:tc>
          <w:tcPr>
            <w:tcW w:w="4611" w:type="dxa"/>
            <w:gridSpan w:val="2"/>
          </w:tcPr>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Analysis of language, structure and form</w:t>
            </w:r>
            <w:r w:rsidR="004A04BA">
              <w:rPr>
                <w:rFonts w:ascii="Century Gothic" w:hAnsi="Century Gothic" w:cs="Tahoma"/>
                <w:bCs/>
                <w:color w:val="000000"/>
              </w:rPr>
              <w:t xml:space="preserve"> </w:t>
            </w:r>
          </w:p>
          <w:p w:rsidR="004A04BA" w:rsidRDefault="004A04BA"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Evaluation of writer’s choices</w:t>
            </w:r>
          </w:p>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Application of context </w:t>
            </w:r>
            <w:r w:rsidR="004A04BA">
              <w:rPr>
                <w:rFonts w:ascii="Century Gothic" w:hAnsi="Century Gothic" w:cs="Tahoma"/>
                <w:bCs/>
                <w:color w:val="000000"/>
              </w:rPr>
              <w:t>to novella</w:t>
            </w:r>
          </w:p>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Inference of writers’ meaning and intentions</w:t>
            </w:r>
          </w:p>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Inference and deduction of readers’ reactions</w:t>
            </w:r>
          </w:p>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Exploration of a key theme throughout the full text</w:t>
            </w:r>
          </w:p>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Inference of writers’ meaning and intentions</w:t>
            </w:r>
          </w:p>
          <w:p w:rsidR="00A841CD" w:rsidRDefault="00A841CD" w:rsidP="00126C30">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Inference and deduction of readers’ reactions</w:t>
            </w:r>
          </w:p>
        </w:tc>
      </w:tr>
      <w:tr w:rsidR="009B2650" w:rsidTr="007E2A07">
        <w:tc>
          <w:tcPr>
            <w:tcW w:w="1555" w:type="dxa"/>
            <w:vAlign w:val="center"/>
          </w:tcPr>
          <w:p w:rsidR="009B2650" w:rsidRPr="00D56A3B" w:rsidRDefault="009B2650" w:rsidP="00126C30">
            <w:pPr>
              <w:spacing w:after="0" w:line="240" w:lineRule="auto"/>
              <w:jc w:val="center"/>
              <w:rPr>
                <w:rFonts w:ascii="Century Gothic" w:hAnsi="Century Gothic" w:cs="Tahoma"/>
                <w:b/>
                <w:bCs/>
                <w:color w:val="000000"/>
              </w:rPr>
            </w:pPr>
            <w:r w:rsidRPr="00D56A3B">
              <w:rPr>
                <w:rFonts w:ascii="Century Gothic" w:hAnsi="Century Gothic" w:cs="Tahoma"/>
                <w:b/>
                <w:bCs/>
                <w:color w:val="000000"/>
              </w:rPr>
              <w:lastRenderedPageBreak/>
              <w:t>Assessments</w:t>
            </w:r>
          </w:p>
        </w:tc>
        <w:tc>
          <w:tcPr>
            <w:tcW w:w="4611" w:type="dxa"/>
            <w:gridSpan w:val="2"/>
          </w:tcPr>
          <w:p w:rsidR="00EF48F5" w:rsidRPr="00EF48F5" w:rsidRDefault="00EF48F5" w:rsidP="00EF48F5">
            <w:pPr>
              <w:spacing w:after="0" w:line="240" w:lineRule="auto"/>
              <w:rPr>
                <w:rFonts w:ascii="Century Gothic" w:hAnsi="Century Gothic" w:cs="Tahoma"/>
                <w:bCs/>
                <w:color w:val="000000"/>
              </w:rPr>
            </w:pPr>
            <w:r w:rsidRPr="00EF48F5">
              <w:rPr>
                <w:rFonts w:ascii="Century Gothic" w:hAnsi="Century Gothic" w:cs="Tahoma"/>
                <w:bCs/>
                <w:color w:val="000000"/>
              </w:rPr>
              <w:t>Fortnightly assessments on the skills associated to A Christmas Carol and Language Paper 1.</w:t>
            </w:r>
          </w:p>
          <w:p w:rsidR="00EF48F5" w:rsidRPr="00EF48F5" w:rsidRDefault="00EF48F5" w:rsidP="00EF48F5">
            <w:pPr>
              <w:spacing w:after="0" w:line="240" w:lineRule="auto"/>
              <w:rPr>
                <w:rFonts w:ascii="Century Gothic" w:hAnsi="Century Gothic" w:cs="Tahoma"/>
                <w:bCs/>
                <w:color w:val="000000"/>
              </w:rPr>
            </w:pPr>
          </w:p>
          <w:p w:rsidR="009B2650" w:rsidRPr="009B2650" w:rsidRDefault="009B2650" w:rsidP="009B2650">
            <w:pPr>
              <w:spacing w:after="0" w:line="240" w:lineRule="auto"/>
              <w:rPr>
                <w:rFonts w:ascii="Century Gothic" w:hAnsi="Century Gothic" w:cs="Tahoma"/>
                <w:bCs/>
                <w:color w:val="000000"/>
              </w:rPr>
            </w:pPr>
          </w:p>
        </w:tc>
        <w:tc>
          <w:tcPr>
            <w:tcW w:w="4611" w:type="dxa"/>
            <w:gridSpan w:val="2"/>
          </w:tcPr>
          <w:p w:rsidR="00EF48F5" w:rsidRPr="00EF48F5" w:rsidRDefault="00EF48F5" w:rsidP="00EF48F5">
            <w:pPr>
              <w:spacing w:after="0" w:line="240" w:lineRule="auto"/>
              <w:rPr>
                <w:rFonts w:ascii="Century Gothic" w:hAnsi="Century Gothic" w:cs="Tahoma"/>
                <w:bCs/>
                <w:color w:val="000000"/>
              </w:rPr>
            </w:pPr>
            <w:r w:rsidRPr="00EF48F5">
              <w:rPr>
                <w:rFonts w:ascii="Century Gothic" w:hAnsi="Century Gothic" w:cs="Tahoma"/>
                <w:bCs/>
                <w:color w:val="000000"/>
              </w:rPr>
              <w:t xml:space="preserve">Fortnightly assessments on the skills associated to </w:t>
            </w:r>
            <w:r>
              <w:rPr>
                <w:rFonts w:ascii="Century Gothic" w:hAnsi="Century Gothic" w:cs="Tahoma"/>
                <w:bCs/>
                <w:color w:val="000000"/>
              </w:rPr>
              <w:t>Macbeth</w:t>
            </w:r>
            <w:r w:rsidRPr="00EF48F5">
              <w:rPr>
                <w:rFonts w:ascii="Century Gothic" w:hAnsi="Century Gothic" w:cs="Tahoma"/>
                <w:bCs/>
                <w:color w:val="000000"/>
              </w:rPr>
              <w:t xml:space="preserve"> and Language Paper </w:t>
            </w:r>
            <w:r>
              <w:rPr>
                <w:rFonts w:ascii="Century Gothic" w:hAnsi="Century Gothic" w:cs="Tahoma"/>
                <w:bCs/>
                <w:color w:val="000000"/>
              </w:rPr>
              <w:t>2</w:t>
            </w:r>
            <w:r w:rsidRPr="00EF48F5">
              <w:rPr>
                <w:rFonts w:ascii="Century Gothic" w:hAnsi="Century Gothic" w:cs="Tahoma"/>
                <w:bCs/>
                <w:color w:val="000000"/>
              </w:rPr>
              <w:t>.</w:t>
            </w:r>
          </w:p>
          <w:p w:rsidR="009B2650" w:rsidRPr="00EF48F5" w:rsidRDefault="009B2650" w:rsidP="00EF48F5">
            <w:pPr>
              <w:spacing w:after="0" w:line="240" w:lineRule="auto"/>
              <w:rPr>
                <w:rFonts w:ascii="Century Gothic" w:hAnsi="Century Gothic" w:cs="Tahoma"/>
                <w:bCs/>
                <w:color w:val="000000"/>
              </w:rPr>
            </w:pPr>
          </w:p>
        </w:tc>
        <w:tc>
          <w:tcPr>
            <w:tcW w:w="4611" w:type="dxa"/>
            <w:gridSpan w:val="2"/>
          </w:tcPr>
          <w:p w:rsidR="00EF48F5" w:rsidRDefault="00EF48F5" w:rsidP="00EF48F5">
            <w:pPr>
              <w:spacing w:after="0" w:line="240" w:lineRule="auto"/>
              <w:rPr>
                <w:rFonts w:ascii="Century Gothic" w:hAnsi="Century Gothic" w:cs="Tahoma"/>
                <w:bCs/>
                <w:color w:val="000000"/>
              </w:rPr>
            </w:pPr>
            <w:r w:rsidRPr="00EF48F5">
              <w:rPr>
                <w:rFonts w:ascii="Century Gothic" w:hAnsi="Century Gothic" w:cs="Tahoma"/>
                <w:bCs/>
                <w:color w:val="000000"/>
              </w:rPr>
              <w:t xml:space="preserve">Fortnightly assessments on the skills associated to </w:t>
            </w:r>
            <w:r>
              <w:rPr>
                <w:rFonts w:ascii="Century Gothic" w:hAnsi="Century Gothic" w:cs="Tahoma"/>
                <w:bCs/>
                <w:color w:val="000000"/>
              </w:rPr>
              <w:t xml:space="preserve">Animal Farm </w:t>
            </w:r>
            <w:r w:rsidRPr="00EF48F5">
              <w:rPr>
                <w:rFonts w:ascii="Century Gothic" w:hAnsi="Century Gothic" w:cs="Tahoma"/>
                <w:bCs/>
                <w:color w:val="000000"/>
              </w:rPr>
              <w:t>and Language Paper 1</w:t>
            </w:r>
            <w:r>
              <w:rPr>
                <w:rFonts w:ascii="Century Gothic" w:hAnsi="Century Gothic" w:cs="Tahoma"/>
                <w:bCs/>
                <w:color w:val="000000"/>
              </w:rPr>
              <w:t xml:space="preserve"> / 2</w:t>
            </w:r>
            <w:r w:rsidRPr="00EF48F5">
              <w:rPr>
                <w:rFonts w:ascii="Century Gothic" w:hAnsi="Century Gothic" w:cs="Tahoma"/>
                <w:bCs/>
                <w:color w:val="000000"/>
              </w:rPr>
              <w:t>.</w:t>
            </w:r>
          </w:p>
          <w:p w:rsidR="00EF48F5" w:rsidRPr="00EF48F5" w:rsidRDefault="00EF48F5" w:rsidP="00EF48F5">
            <w:pPr>
              <w:spacing w:after="0" w:line="240" w:lineRule="auto"/>
              <w:rPr>
                <w:rFonts w:ascii="Century Gothic" w:hAnsi="Century Gothic" w:cs="Tahoma"/>
                <w:bCs/>
                <w:color w:val="000000"/>
              </w:rPr>
            </w:pPr>
            <w:r>
              <w:rPr>
                <w:rFonts w:ascii="Century Gothic" w:hAnsi="Century Gothic" w:cs="Tahoma"/>
                <w:bCs/>
                <w:color w:val="000000"/>
              </w:rPr>
              <w:t xml:space="preserve">Preparation for Mock Exams. </w:t>
            </w:r>
          </w:p>
          <w:p w:rsidR="009B2650" w:rsidRPr="00001370" w:rsidRDefault="009B2650" w:rsidP="00EF48F5">
            <w:pPr>
              <w:pStyle w:val="ListParagraph"/>
              <w:spacing w:after="0" w:line="240" w:lineRule="auto"/>
              <w:ind w:left="179"/>
              <w:rPr>
                <w:rFonts w:ascii="Century Gothic" w:hAnsi="Century Gothic" w:cs="Tahoma"/>
                <w:bCs/>
                <w:color w:val="000000"/>
              </w:rPr>
            </w:pPr>
          </w:p>
        </w:tc>
      </w:tr>
      <w:tr w:rsidR="009B2650" w:rsidTr="00A65B2E">
        <w:trPr>
          <w:trHeight w:val="945"/>
        </w:trPr>
        <w:tc>
          <w:tcPr>
            <w:tcW w:w="1555" w:type="dxa"/>
            <w:vAlign w:val="center"/>
          </w:tcPr>
          <w:p w:rsidR="009B2650" w:rsidRDefault="009B2650" w:rsidP="00126C30">
            <w:pPr>
              <w:spacing w:after="0" w:line="240" w:lineRule="auto"/>
              <w:jc w:val="center"/>
              <w:rPr>
                <w:rFonts w:ascii="Century Gothic" w:hAnsi="Century Gothic" w:cs="Tahoma"/>
                <w:b/>
                <w:bCs/>
                <w:color w:val="000000"/>
              </w:rPr>
            </w:pPr>
            <w:r>
              <w:rPr>
                <w:rFonts w:ascii="Century Gothic" w:hAnsi="Century Gothic" w:cs="Tahoma"/>
                <w:b/>
                <w:bCs/>
                <w:color w:val="000000"/>
              </w:rPr>
              <w:t>Curiosity</w:t>
            </w:r>
          </w:p>
          <w:p w:rsidR="009B2650" w:rsidRPr="00D56A3B" w:rsidRDefault="009B2650" w:rsidP="00126C30">
            <w:pPr>
              <w:spacing w:after="0" w:line="240" w:lineRule="auto"/>
              <w:jc w:val="center"/>
              <w:rPr>
                <w:rFonts w:ascii="Century Gothic" w:hAnsi="Century Gothic" w:cs="Tahoma"/>
                <w:b/>
                <w:bCs/>
                <w:color w:val="000000"/>
              </w:rPr>
            </w:pPr>
          </w:p>
        </w:tc>
        <w:tc>
          <w:tcPr>
            <w:tcW w:w="4611" w:type="dxa"/>
            <w:gridSpan w:val="2"/>
          </w:tcPr>
          <w:p w:rsidR="00B83C32" w:rsidRDefault="00B83C32" w:rsidP="00B83C32">
            <w:pPr>
              <w:pStyle w:val="ListParagraph"/>
              <w:numPr>
                <w:ilvl w:val="0"/>
                <w:numId w:val="26"/>
              </w:numPr>
              <w:spacing w:after="0" w:line="240" w:lineRule="auto"/>
              <w:ind w:left="237" w:hanging="200"/>
              <w:rPr>
                <w:rFonts w:ascii="Century Gothic" w:hAnsi="Century Gothic" w:cs="Tahoma"/>
                <w:bCs/>
                <w:color w:val="000000"/>
              </w:rPr>
            </w:pPr>
            <w:r w:rsidRPr="006443F6">
              <w:rPr>
                <w:rFonts w:ascii="Century Gothic" w:hAnsi="Century Gothic" w:cs="Tahoma"/>
                <w:bCs/>
                <w:color w:val="000000"/>
              </w:rPr>
              <w:t xml:space="preserve">Research on </w:t>
            </w:r>
            <w:r>
              <w:rPr>
                <w:rFonts w:ascii="Century Gothic" w:hAnsi="Century Gothic" w:cs="Tahoma"/>
                <w:bCs/>
                <w:color w:val="000000"/>
              </w:rPr>
              <w:t>Dickens’</w:t>
            </w:r>
            <w:r w:rsidRPr="006443F6">
              <w:rPr>
                <w:rFonts w:ascii="Century Gothic" w:hAnsi="Century Gothic" w:cs="Tahoma"/>
                <w:bCs/>
                <w:color w:val="000000"/>
              </w:rPr>
              <w:t xml:space="preserve"> context and the influences on him. </w:t>
            </w:r>
          </w:p>
          <w:p w:rsidR="009B2650" w:rsidRDefault="009B2650" w:rsidP="00744365">
            <w:pPr>
              <w:pStyle w:val="ListParagraph"/>
              <w:numPr>
                <w:ilvl w:val="0"/>
                <w:numId w:val="26"/>
              </w:numPr>
              <w:spacing w:after="0" w:line="240" w:lineRule="auto"/>
              <w:ind w:left="179" w:hanging="257"/>
              <w:rPr>
                <w:rFonts w:ascii="Century Gothic" w:hAnsi="Century Gothic" w:cs="Tahoma"/>
                <w:bCs/>
                <w:color w:val="000000"/>
              </w:rPr>
            </w:pPr>
            <w:r w:rsidRPr="00F4306C">
              <w:rPr>
                <w:rFonts w:ascii="Century Gothic" w:hAnsi="Century Gothic" w:cs="Tahoma"/>
                <w:bCs/>
                <w:color w:val="000000"/>
              </w:rPr>
              <w:t xml:space="preserve">Reading of a full range of </w:t>
            </w:r>
            <w:r>
              <w:rPr>
                <w:rFonts w:ascii="Century Gothic" w:hAnsi="Century Gothic" w:cs="Tahoma"/>
                <w:bCs/>
                <w:color w:val="000000"/>
              </w:rPr>
              <w:t>19 century</w:t>
            </w:r>
            <w:r w:rsidRPr="00F4306C">
              <w:rPr>
                <w:rFonts w:ascii="Century Gothic" w:hAnsi="Century Gothic" w:cs="Tahoma"/>
                <w:bCs/>
                <w:color w:val="000000"/>
              </w:rPr>
              <w:t xml:space="preserve"> texts, considering writers’ purposes and intentions. </w:t>
            </w:r>
          </w:p>
          <w:p w:rsidR="009B2650" w:rsidRPr="000615BC" w:rsidRDefault="009B2650" w:rsidP="00744365">
            <w:pPr>
              <w:pStyle w:val="ListParagraph"/>
              <w:numPr>
                <w:ilvl w:val="0"/>
                <w:numId w:val="26"/>
              </w:numPr>
              <w:shd w:val="clear" w:color="auto" w:fill="FFFFFF"/>
              <w:spacing w:after="0" w:line="240" w:lineRule="auto"/>
              <w:ind w:left="179" w:hanging="257"/>
              <w:textAlignment w:val="baseline"/>
              <w:rPr>
                <w:rFonts w:ascii="Century Gothic" w:eastAsia="Times New Roman" w:hAnsi="Century Gothic" w:cs="Times New Roman"/>
                <w:lang w:eastAsia="en-GB"/>
              </w:rPr>
            </w:pPr>
            <w:r w:rsidRPr="000615BC">
              <w:rPr>
                <w:rFonts w:ascii="Century Gothic" w:eastAsia="Times New Roman" w:hAnsi="Century Gothic" w:cs="Times New Roman"/>
                <w:lang w:eastAsia="en-GB"/>
              </w:rPr>
              <w:t>8</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September- International Literacy Day</w:t>
            </w:r>
          </w:p>
          <w:p w:rsidR="009B2650" w:rsidRDefault="009B2650" w:rsidP="00744365">
            <w:pPr>
              <w:pStyle w:val="ListParagraph"/>
              <w:numPr>
                <w:ilvl w:val="0"/>
                <w:numId w:val="26"/>
              </w:numPr>
              <w:spacing w:after="0" w:line="240" w:lineRule="auto"/>
              <w:ind w:left="179" w:hanging="257"/>
              <w:rPr>
                <w:rFonts w:ascii="Century Gothic" w:hAnsi="Century Gothic" w:cs="Tahoma"/>
                <w:bCs/>
                <w:color w:val="000000"/>
              </w:rPr>
            </w:pPr>
            <w:r>
              <w:rPr>
                <w:rFonts w:ascii="Century Gothic" w:hAnsi="Century Gothic" w:cs="Tahoma"/>
                <w:bCs/>
                <w:color w:val="000000"/>
              </w:rPr>
              <w:t>Apply to become an English/Literacy Leader</w:t>
            </w:r>
          </w:p>
          <w:p w:rsidR="009B2650" w:rsidRDefault="009B2650" w:rsidP="00744365">
            <w:pPr>
              <w:pStyle w:val="ListParagraph"/>
              <w:numPr>
                <w:ilvl w:val="0"/>
                <w:numId w:val="26"/>
              </w:numPr>
              <w:spacing w:after="0" w:line="240" w:lineRule="auto"/>
              <w:ind w:left="171" w:hanging="129"/>
              <w:rPr>
                <w:rFonts w:ascii="Century Gothic" w:hAnsi="Century Gothic" w:cs="Tahoma"/>
                <w:bCs/>
                <w:color w:val="000000"/>
              </w:rPr>
            </w:pPr>
            <w:r w:rsidRPr="00F4306C">
              <w:rPr>
                <w:rFonts w:ascii="Century Gothic" w:hAnsi="Century Gothic" w:cs="Tahoma"/>
                <w:bCs/>
                <w:color w:val="000000"/>
              </w:rPr>
              <w:t xml:space="preserve">Read another novel by Dickens. </w:t>
            </w:r>
          </w:p>
          <w:p w:rsidR="009B2650" w:rsidRPr="00DB7896" w:rsidRDefault="009B2650" w:rsidP="00744365">
            <w:pPr>
              <w:pStyle w:val="ListParagraph"/>
              <w:numPr>
                <w:ilvl w:val="0"/>
                <w:numId w:val="26"/>
              </w:numPr>
              <w:shd w:val="clear" w:color="auto" w:fill="FFFFFF"/>
              <w:spacing w:after="0" w:line="240" w:lineRule="auto"/>
              <w:ind w:left="171" w:hanging="129"/>
              <w:textAlignment w:val="baseline"/>
              <w:rPr>
                <w:rFonts w:ascii="Century Gothic" w:eastAsia="Times New Roman" w:hAnsi="Century Gothic" w:cs="Times New Roman"/>
                <w:lang w:eastAsia="en-GB"/>
              </w:rPr>
            </w:pPr>
            <w:r w:rsidRPr="000615BC">
              <w:rPr>
                <w:rFonts w:ascii="Century Gothic" w:eastAsia="Times New Roman" w:hAnsi="Century Gothic" w:cs="Times New Roman"/>
                <w:lang w:eastAsia="en-GB"/>
              </w:rPr>
              <w:t>7</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October - National Poetry Day</w:t>
            </w:r>
          </w:p>
          <w:p w:rsidR="009B2650" w:rsidRPr="00F4306C" w:rsidRDefault="009B2650" w:rsidP="00744365">
            <w:pPr>
              <w:pStyle w:val="ListParagraph"/>
              <w:numPr>
                <w:ilvl w:val="0"/>
                <w:numId w:val="26"/>
              </w:numPr>
              <w:spacing w:after="0" w:line="240" w:lineRule="auto"/>
              <w:ind w:left="171" w:hanging="129"/>
              <w:rPr>
                <w:rFonts w:ascii="Century Gothic" w:hAnsi="Century Gothic" w:cs="Tahoma"/>
                <w:bCs/>
                <w:color w:val="000000"/>
              </w:rPr>
            </w:pPr>
            <w:r>
              <w:rPr>
                <w:rFonts w:ascii="Century Gothic" w:hAnsi="Century Gothic" w:cs="Tahoma"/>
                <w:bCs/>
                <w:color w:val="000000"/>
              </w:rPr>
              <w:t xml:space="preserve">Revision Focus: Secondary reading on theory and academic essays on the novella. </w:t>
            </w:r>
            <w:bookmarkStart w:id="0" w:name="_GoBack"/>
            <w:bookmarkEnd w:id="0"/>
          </w:p>
        </w:tc>
        <w:tc>
          <w:tcPr>
            <w:tcW w:w="4611" w:type="dxa"/>
            <w:gridSpan w:val="2"/>
          </w:tcPr>
          <w:p w:rsidR="009B2650" w:rsidRDefault="009B2650" w:rsidP="00744365">
            <w:pPr>
              <w:pStyle w:val="ListParagraph"/>
              <w:numPr>
                <w:ilvl w:val="0"/>
                <w:numId w:val="26"/>
              </w:numPr>
              <w:spacing w:after="0" w:line="240" w:lineRule="auto"/>
              <w:ind w:left="237" w:hanging="200"/>
              <w:rPr>
                <w:rFonts w:ascii="Century Gothic" w:hAnsi="Century Gothic" w:cs="Tahoma"/>
                <w:bCs/>
                <w:color w:val="000000"/>
              </w:rPr>
            </w:pPr>
            <w:r w:rsidRPr="006443F6">
              <w:rPr>
                <w:rFonts w:ascii="Century Gothic" w:hAnsi="Century Gothic" w:cs="Tahoma"/>
                <w:bCs/>
                <w:color w:val="000000"/>
              </w:rPr>
              <w:t xml:space="preserve">Research on Shakespearean context and the influences on him. </w:t>
            </w:r>
          </w:p>
          <w:p w:rsidR="009B2650" w:rsidRPr="000615BC" w:rsidRDefault="009B2650" w:rsidP="00744365">
            <w:pPr>
              <w:pStyle w:val="ListParagraph"/>
              <w:numPr>
                <w:ilvl w:val="0"/>
                <w:numId w:val="26"/>
              </w:numPr>
              <w:shd w:val="clear" w:color="auto" w:fill="FFFFFF"/>
              <w:spacing w:after="0" w:line="240" w:lineRule="auto"/>
              <w:ind w:left="237" w:hanging="200"/>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28 January-4</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February-National Storytelling week</w:t>
            </w:r>
          </w:p>
          <w:p w:rsidR="009B2650" w:rsidRDefault="009B2650" w:rsidP="00744365">
            <w:pPr>
              <w:pStyle w:val="ListParagraph"/>
              <w:numPr>
                <w:ilvl w:val="0"/>
                <w:numId w:val="26"/>
              </w:numPr>
              <w:spacing w:after="0" w:line="240" w:lineRule="auto"/>
              <w:ind w:left="237" w:hanging="200"/>
              <w:rPr>
                <w:rFonts w:ascii="Century Gothic" w:hAnsi="Century Gothic" w:cs="Tahoma"/>
                <w:bCs/>
                <w:color w:val="000000"/>
              </w:rPr>
            </w:pPr>
            <w:r>
              <w:rPr>
                <w:rFonts w:ascii="Century Gothic" w:hAnsi="Century Gothic" w:cs="Tahoma"/>
                <w:bCs/>
                <w:color w:val="000000"/>
              </w:rPr>
              <w:t>Extra-Curricular: Theatre Trip</w:t>
            </w:r>
          </w:p>
          <w:p w:rsidR="009B2650" w:rsidRDefault="009B2650" w:rsidP="00744365">
            <w:pPr>
              <w:pStyle w:val="ListParagraph"/>
              <w:numPr>
                <w:ilvl w:val="0"/>
                <w:numId w:val="26"/>
              </w:numPr>
              <w:spacing w:after="0" w:line="240" w:lineRule="auto"/>
              <w:ind w:left="210" w:hanging="227"/>
              <w:rPr>
                <w:rFonts w:ascii="Century Gothic" w:hAnsi="Century Gothic" w:cs="Tahoma"/>
                <w:bCs/>
                <w:color w:val="000000"/>
              </w:rPr>
            </w:pPr>
            <w:r w:rsidRPr="002F52A5">
              <w:rPr>
                <w:rFonts w:ascii="Century Gothic" w:hAnsi="Century Gothic" w:cs="Tahoma"/>
                <w:bCs/>
                <w:color w:val="000000"/>
              </w:rPr>
              <w:t>Reading of a full range of 19</w:t>
            </w:r>
            <w:r w:rsidRPr="002F52A5">
              <w:rPr>
                <w:rFonts w:ascii="Century Gothic" w:hAnsi="Century Gothic" w:cs="Tahoma"/>
                <w:bCs/>
                <w:color w:val="000000"/>
                <w:vertAlign w:val="superscript"/>
              </w:rPr>
              <w:t>th</w:t>
            </w:r>
            <w:r w:rsidRPr="002F52A5">
              <w:rPr>
                <w:rFonts w:ascii="Century Gothic" w:hAnsi="Century Gothic" w:cs="Tahoma"/>
                <w:bCs/>
                <w:color w:val="000000"/>
              </w:rPr>
              <w:t xml:space="preserve"> Century fiction texts, considering writers’ purposes and intentions.</w:t>
            </w:r>
          </w:p>
          <w:p w:rsidR="009B2650" w:rsidRPr="000615BC" w:rsidRDefault="009B2650" w:rsidP="00744365">
            <w:pPr>
              <w:pStyle w:val="ListParagraph"/>
              <w:numPr>
                <w:ilvl w:val="0"/>
                <w:numId w:val="26"/>
              </w:numPr>
              <w:shd w:val="clear" w:color="auto" w:fill="FFFFFF"/>
              <w:spacing w:after="0" w:line="240" w:lineRule="auto"/>
              <w:ind w:left="210" w:hanging="227"/>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3</w:t>
            </w:r>
            <w:r w:rsidRPr="000615BC">
              <w:rPr>
                <w:rFonts w:ascii="Century Gothic" w:eastAsia="Times New Roman" w:hAnsi="Century Gothic" w:cs="Times New Roman"/>
                <w:bdr w:val="none" w:sz="0" w:space="0" w:color="auto" w:frame="1"/>
                <w:vertAlign w:val="superscript"/>
                <w:lang w:eastAsia="en-GB"/>
              </w:rPr>
              <w:t>rd</w:t>
            </w:r>
            <w:r w:rsidRPr="000615BC">
              <w:rPr>
                <w:rFonts w:ascii="Century Gothic" w:eastAsia="Times New Roman" w:hAnsi="Century Gothic" w:cs="Times New Roman"/>
                <w:bdr w:val="none" w:sz="0" w:space="0" w:color="auto" w:frame="1"/>
                <w:lang w:eastAsia="en-GB"/>
              </w:rPr>
              <w:t> March- World Book Day</w:t>
            </w:r>
          </w:p>
          <w:p w:rsidR="009B2650" w:rsidRPr="00DB7896" w:rsidRDefault="009B2650" w:rsidP="00744365">
            <w:pPr>
              <w:pStyle w:val="ListParagraph"/>
              <w:numPr>
                <w:ilvl w:val="0"/>
                <w:numId w:val="26"/>
              </w:numPr>
              <w:shd w:val="clear" w:color="auto" w:fill="FFFFFF"/>
              <w:spacing w:after="0" w:line="240" w:lineRule="auto"/>
              <w:ind w:left="210" w:hanging="227"/>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21</w:t>
            </w:r>
            <w:r w:rsidRPr="000615BC">
              <w:rPr>
                <w:rFonts w:ascii="Century Gothic" w:eastAsia="Times New Roman" w:hAnsi="Century Gothic" w:cs="Times New Roman"/>
                <w:bdr w:val="none" w:sz="0" w:space="0" w:color="auto" w:frame="1"/>
                <w:vertAlign w:val="superscript"/>
                <w:lang w:eastAsia="en-GB"/>
              </w:rPr>
              <w:t>st</w:t>
            </w:r>
            <w:r w:rsidRPr="000615BC">
              <w:rPr>
                <w:rFonts w:ascii="Century Gothic" w:eastAsia="Times New Roman" w:hAnsi="Century Gothic" w:cs="Times New Roman"/>
                <w:bdr w:val="none" w:sz="0" w:space="0" w:color="auto" w:frame="1"/>
                <w:lang w:eastAsia="en-GB"/>
              </w:rPr>
              <w:t> March- World Poetry Day</w:t>
            </w:r>
          </w:p>
          <w:p w:rsidR="009B2650" w:rsidRPr="002F52A5" w:rsidRDefault="009B2650" w:rsidP="00744365">
            <w:pPr>
              <w:pStyle w:val="ListParagraph"/>
              <w:numPr>
                <w:ilvl w:val="0"/>
                <w:numId w:val="26"/>
              </w:numPr>
              <w:spacing w:after="0" w:line="240" w:lineRule="auto"/>
              <w:ind w:left="210" w:hanging="227"/>
              <w:rPr>
                <w:rFonts w:ascii="Century Gothic" w:hAnsi="Century Gothic" w:cs="Tahoma"/>
                <w:bCs/>
                <w:color w:val="000000"/>
              </w:rPr>
            </w:pPr>
            <w:r>
              <w:rPr>
                <w:rFonts w:ascii="Century Gothic" w:hAnsi="Century Gothic" w:cs="Tahoma"/>
                <w:bCs/>
                <w:color w:val="000000"/>
              </w:rPr>
              <w:t>Revision Focus: Macbeth and Language Paper 2</w:t>
            </w:r>
          </w:p>
        </w:tc>
        <w:tc>
          <w:tcPr>
            <w:tcW w:w="4611" w:type="dxa"/>
            <w:gridSpan w:val="2"/>
          </w:tcPr>
          <w:p w:rsidR="005952DA" w:rsidRPr="005952DA" w:rsidRDefault="005952DA" w:rsidP="005952DA">
            <w:pPr>
              <w:pStyle w:val="ListParagraph"/>
              <w:numPr>
                <w:ilvl w:val="0"/>
                <w:numId w:val="26"/>
              </w:numPr>
              <w:spacing w:after="0" w:line="240" w:lineRule="auto"/>
              <w:ind w:left="237" w:hanging="200"/>
              <w:rPr>
                <w:rFonts w:ascii="Century Gothic" w:hAnsi="Century Gothic" w:cs="Tahoma"/>
                <w:bCs/>
                <w:color w:val="000000"/>
              </w:rPr>
            </w:pPr>
            <w:r w:rsidRPr="006443F6">
              <w:rPr>
                <w:rFonts w:ascii="Century Gothic" w:hAnsi="Century Gothic" w:cs="Tahoma"/>
                <w:bCs/>
                <w:color w:val="000000"/>
              </w:rPr>
              <w:t xml:space="preserve">Research on </w:t>
            </w:r>
            <w:r>
              <w:rPr>
                <w:rFonts w:ascii="Century Gothic" w:hAnsi="Century Gothic" w:cs="Tahoma"/>
                <w:bCs/>
                <w:color w:val="000000"/>
              </w:rPr>
              <w:t>Orwell’s</w:t>
            </w:r>
            <w:r w:rsidRPr="006443F6">
              <w:rPr>
                <w:rFonts w:ascii="Century Gothic" w:hAnsi="Century Gothic" w:cs="Tahoma"/>
                <w:bCs/>
                <w:color w:val="000000"/>
              </w:rPr>
              <w:t xml:space="preserve"> context and the influences on him.</w:t>
            </w:r>
          </w:p>
          <w:p w:rsidR="009B2650" w:rsidRDefault="009B2650" w:rsidP="00744365">
            <w:pPr>
              <w:pStyle w:val="ListParagraph"/>
              <w:numPr>
                <w:ilvl w:val="0"/>
                <w:numId w:val="26"/>
              </w:numPr>
              <w:spacing w:after="0" w:line="240" w:lineRule="auto"/>
              <w:ind w:left="168" w:hanging="127"/>
              <w:rPr>
                <w:rFonts w:ascii="Century Gothic" w:hAnsi="Century Gothic" w:cs="Tahoma"/>
                <w:bCs/>
                <w:color w:val="000000"/>
              </w:rPr>
            </w:pPr>
            <w:r w:rsidRPr="00FC3C92">
              <w:rPr>
                <w:rFonts w:ascii="Century Gothic" w:hAnsi="Century Gothic" w:cs="Tahoma"/>
                <w:bCs/>
                <w:color w:val="000000"/>
              </w:rPr>
              <w:t xml:space="preserve">Research context influencing all fifteen poets; write essays comparing the poems to one another. </w:t>
            </w:r>
          </w:p>
          <w:p w:rsidR="009B2650" w:rsidRPr="00AF5333" w:rsidRDefault="009B2650" w:rsidP="00744365">
            <w:pPr>
              <w:pStyle w:val="ListParagraph"/>
              <w:numPr>
                <w:ilvl w:val="0"/>
                <w:numId w:val="26"/>
              </w:numPr>
              <w:spacing w:after="0" w:line="240" w:lineRule="auto"/>
              <w:ind w:left="168" w:hanging="127"/>
              <w:rPr>
                <w:rFonts w:ascii="Century Gothic" w:hAnsi="Century Gothic" w:cs="Tahoma"/>
                <w:bCs/>
                <w:i/>
                <w:color w:val="000000"/>
                <w:u w:val="single"/>
              </w:rPr>
            </w:pPr>
            <w:r>
              <w:rPr>
                <w:rFonts w:ascii="Century Gothic" w:hAnsi="Century Gothic"/>
                <w:color w:val="000000"/>
                <w:shd w:val="clear" w:color="auto" w:fill="FFFFFF"/>
              </w:rPr>
              <w:t>May - National share a story month.</w:t>
            </w:r>
          </w:p>
          <w:p w:rsidR="009B2650" w:rsidRPr="00FC3C92" w:rsidRDefault="009B2650" w:rsidP="00744365">
            <w:pPr>
              <w:pStyle w:val="ListParagraph"/>
              <w:numPr>
                <w:ilvl w:val="0"/>
                <w:numId w:val="26"/>
              </w:numPr>
              <w:spacing w:after="0" w:line="240" w:lineRule="auto"/>
              <w:ind w:left="168" w:hanging="127"/>
              <w:rPr>
                <w:rFonts w:ascii="Century Gothic" w:hAnsi="Century Gothic" w:cs="Tahoma"/>
                <w:bCs/>
                <w:color w:val="000000"/>
              </w:rPr>
            </w:pPr>
            <w:r>
              <w:rPr>
                <w:rFonts w:ascii="Century Gothic" w:hAnsi="Century Gothic" w:cs="Tahoma"/>
                <w:bCs/>
                <w:color w:val="000000"/>
              </w:rPr>
              <w:t>Secondary reading based on theory and other academic essays on the Literature texts studied</w:t>
            </w:r>
          </w:p>
          <w:p w:rsidR="009B2650" w:rsidRDefault="009B2650" w:rsidP="00744365">
            <w:pPr>
              <w:pStyle w:val="ListParagraph"/>
              <w:numPr>
                <w:ilvl w:val="0"/>
                <w:numId w:val="26"/>
              </w:numPr>
              <w:spacing w:after="0" w:line="240" w:lineRule="auto"/>
              <w:ind w:left="126" w:hanging="169"/>
              <w:rPr>
                <w:rFonts w:ascii="Century Gothic" w:hAnsi="Century Gothic" w:cs="Tahoma"/>
                <w:bCs/>
                <w:color w:val="000000"/>
              </w:rPr>
            </w:pPr>
            <w:r w:rsidRPr="00FC3C92">
              <w:rPr>
                <w:rFonts w:ascii="Century Gothic" w:hAnsi="Century Gothic" w:cs="Tahoma"/>
                <w:bCs/>
                <w:color w:val="000000"/>
              </w:rPr>
              <w:t xml:space="preserve">Research Orwell and read another of his novels. </w:t>
            </w:r>
          </w:p>
          <w:p w:rsidR="009B2650" w:rsidRDefault="009B2650" w:rsidP="00744365">
            <w:pPr>
              <w:pStyle w:val="ListParagraph"/>
              <w:numPr>
                <w:ilvl w:val="0"/>
                <w:numId w:val="26"/>
              </w:numPr>
              <w:spacing w:after="0" w:line="240" w:lineRule="auto"/>
              <w:ind w:left="126" w:hanging="169"/>
              <w:rPr>
                <w:rFonts w:ascii="Century Gothic" w:hAnsi="Century Gothic" w:cs="Tahoma"/>
                <w:bCs/>
                <w:color w:val="000000"/>
              </w:rPr>
            </w:pPr>
            <w:r>
              <w:rPr>
                <w:rFonts w:ascii="Century Gothic" w:hAnsi="Century Gothic" w:cs="Tahoma"/>
                <w:bCs/>
                <w:color w:val="000000"/>
              </w:rPr>
              <w:t xml:space="preserve">Revision Focus: Animal Farm, 15 poems and both Language Paper 1 and 2 layouts. </w:t>
            </w:r>
          </w:p>
          <w:p w:rsidR="009B2650" w:rsidRPr="009B2650" w:rsidRDefault="009B2650" w:rsidP="009B2650">
            <w:pPr>
              <w:spacing w:after="0" w:line="240" w:lineRule="auto"/>
              <w:ind w:left="-43"/>
              <w:rPr>
                <w:rFonts w:ascii="Century Gothic" w:hAnsi="Century Gothic" w:cs="Tahoma"/>
                <w:bCs/>
                <w:color w:val="000000"/>
              </w:rPr>
            </w:pPr>
          </w:p>
        </w:tc>
      </w:tr>
    </w:tbl>
    <w:p w:rsidR="0023206D" w:rsidRDefault="0023206D" w:rsidP="006D765D">
      <w:pPr>
        <w:spacing w:after="0" w:line="240" w:lineRule="auto"/>
        <w:rPr>
          <w:rFonts w:ascii="Century Gothic" w:hAnsi="Century Gothic" w:cs="Tahoma"/>
          <w:bCs/>
          <w:color w:val="000000"/>
        </w:rPr>
      </w:pPr>
    </w:p>
    <w:sectPr w:rsidR="0023206D" w:rsidSect="00C6358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215.2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A7141"/>
    <w:multiLevelType w:val="hybridMultilevel"/>
    <w:tmpl w:val="3244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2A7BA5"/>
    <w:multiLevelType w:val="hybridMultilevel"/>
    <w:tmpl w:val="59B0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63A26"/>
    <w:multiLevelType w:val="hybridMultilevel"/>
    <w:tmpl w:val="E3F8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10F3F"/>
    <w:multiLevelType w:val="hybridMultilevel"/>
    <w:tmpl w:val="5C88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620CF"/>
    <w:multiLevelType w:val="hybridMultilevel"/>
    <w:tmpl w:val="ED3A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64E83"/>
    <w:multiLevelType w:val="hybridMultilevel"/>
    <w:tmpl w:val="7452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CD6175"/>
    <w:multiLevelType w:val="hybridMultilevel"/>
    <w:tmpl w:val="461C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4"/>
  </w:num>
  <w:num w:numId="4">
    <w:abstractNumId w:val="27"/>
  </w:num>
  <w:num w:numId="5">
    <w:abstractNumId w:val="8"/>
  </w:num>
  <w:num w:numId="6">
    <w:abstractNumId w:val="9"/>
  </w:num>
  <w:num w:numId="7">
    <w:abstractNumId w:val="22"/>
  </w:num>
  <w:num w:numId="8">
    <w:abstractNumId w:val="17"/>
  </w:num>
  <w:num w:numId="9">
    <w:abstractNumId w:val="3"/>
  </w:num>
  <w:num w:numId="10">
    <w:abstractNumId w:val="0"/>
  </w:num>
  <w:num w:numId="11">
    <w:abstractNumId w:val="16"/>
  </w:num>
  <w:num w:numId="12">
    <w:abstractNumId w:val="20"/>
  </w:num>
  <w:num w:numId="13">
    <w:abstractNumId w:val="18"/>
  </w:num>
  <w:num w:numId="14">
    <w:abstractNumId w:val="5"/>
  </w:num>
  <w:num w:numId="15">
    <w:abstractNumId w:val="2"/>
  </w:num>
  <w:num w:numId="16">
    <w:abstractNumId w:val="13"/>
  </w:num>
  <w:num w:numId="17">
    <w:abstractNumId w:val="10"/>
  </w:num>
  <w:num w:numId="18">
    <w:abstractNumId w:val="23"/>
  </w:num>
  <w:num w:numId="19">
    <w:abstractNumId w:val="25"/>
  </w:num>
  <w:num w:numId="20">
    <w:abstractNumId w:val="4"/>
  </w:num>
  <w:num w:numId="21">
    <w:abstractNumId w:val="1"/>
  </w:num>
  <w:num w:numId="22">
    <w:abstractNumId w:val="12"/>
  </w:num>
  <w:num w:numId="23">
    <w:abstractNumId w:val="26"/>
  </w:num>
  <w:num w:numId="24">
    <w:abstractNumId w:val="6"/>
  </w:num>
  <w:num w:numId="25">
    <w:abstractNumId w:val="21"/>
  </w:num>
  <w:num w:numId="26">
    <w:abstractNumId w:val="14"/>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05D8"/>
    <w:rsid w:val="0000232F"/>
    <w:rsid w:val="00020CCE"/>
    <w:rsid w:val="00032223"/>
    <w:rsid w:val="00037B48"/>
    <w:rsid w:val="000400BB"/>
    <w:rsid w:val="00042531"/>
    <w:rsid w:val="0005049A"/>
    <w:rsid w:val="000636AA"/>
    <w:rsid w:val="00084DE6"/>
    <w:rsid w:val="000F38D7"/>
    <w:rsid w:val="001016C8"/>
    <w:rsid w:val="00105FE4"/>
    <w:rsid w:val="00126C30"/>
    <w:rsid w:val="00127BAD"/>
    <w:rsid w:val="001644CD"/>
    <w:rsid w:val="00170EA7"/>
    <w:rsid w:val="001908D3"/>
    <w:rsid w:val="0019334A"/>
    <w:rsid w:val="001B5652"/>
    <w:rsid w:val="001C7DEB"/>
    <w:rsid w:val="001F1933"/>
    <w:rsid w:val="001F3EDA"/>
    <w:rsid w:val="002172E8"/>
    <w:rsid w:val="002202DB"/>
    <w:rsid w:val="0023206D"/>
    <w:rsid w:val="0023423A"/>
    <w:rsid w:val="00235D12"/>
    <w:rsid w:val="002443B5"/>
    <w:rsid w:val="00281902"/>
    <w:rsid w:val="00284018"/>
    <w:rsid w:val="002A3C8F"/>
    <w:rsid w:val="002B69AE"/>
    <w:rsid w:val="002C3811"/>
    <w:rsid w:val="002E788E"/>
    <w:rsid w:val="002F52A5"/>
    <w:rsid w:val="00304B61"/>
    <w:rsid w:val="00311FA6"/>
    <w:rsid w:val="00320616"/>
    <w:rsid w:val="003538FE"/>
    <w:rsid w:val="00355EC5"/>
    <w:rsid w:val="003613BF"/>
    <w:rsid w:val="00397C0F"/>
    <w:rsid w:val="003A017B"/>
    <w:rsid w:val="003A7E33"/>
    <w:rsid w:val="003B1431"/>
    <w:rsid w:val="003C3B58"/>
    <w:rsid w:val="00400C82"/>
    <w:rsid w:val="004522BA"/>
    <w:rsid w:val="004655BC"/>
    <w:rsid w:val="0047269C"/>
    <w:rsid w:val="0047765C"/>
    <w:rsid w:val="004A04BA"/>
    <w:rsid w:val="004A4B6D"/>
    <w:rsid w:val="004B037E"/>
    <w:rsid w:val="004B1D8A"/>
    <w:rsid w:val="004B72E3"/>
    <w:rsid w:val="004B7BF4"/>
    <w:rsid w:val="004E52FC"/>
    <w:rsid w:val="005131A6"/>
    <w:rsid w:val="00576408"/>
    <w:rsid w:val="0058029E"/>
    <w:rsid w:val="00584996"/>
    <w:rsid w:val="00587F4D"/>
    <w:rsid w:val="00593832"/>
    <w:rsid w:val="005947D1"/>
    <w:rsid w:val="005952DA"/>
    <w:rsid w:val="005A0CCE"/>
    <w:rsid w:val="005A2962"/>
    <w:rsid w:val="005A4F89"/>
    <w:rsid w:val="005D5C09"/>
    <w:rsid w:val="00625E6F"/>
    <w:rsid w:val="006443F6"/>
    <w:rsid w:val="00673BAB"/>
    <w:rsid w:val="006C5CA4"/>
    <w:rsid w:val="006D765D"/>
    <w:rsid w:val="006E3780"/>
    <w:rsid w:val="00733398"/>
    <w:rsid w:val="00743396"/>
    <w:rsid w:val="00744365"/>
    <w:rsid w:val="00751202"/>
    <w:rsid w:val="00777C4F"/>
    <w:rsid w:val="007A7F2D"/>
    <w:rsid w:val="00826BBB"/>
    <w:rsid w:val="0083184B"/>
    <w:rsid w:val="00842113"/>
    <w:rsid w:val="00864697"/>
    <w:rsid w:val="00887EDC"/>
    <w:rsid w:val="00893BFD"/>
    <w:rsid w:val="008C0E2C"/>
    <w:rsid w:val="008C354D"/>
    <w:rsid w:val="008C4F58"/>
    <w:rsid w:val="008C5170"/>
    <w:rsid w:val="008D6C35"/>
    <w:rsid w:val="00911AA4"/>
    <w:rsid w:val="00967B35"/>
    <w:rsid w:val="009753FC"/>
    <w:rsid w:val="009A0BC7"/>
    <w:rsid w:val="009B2650"/>
    <w:rsid w:val="009B5639"/>
    <w:rsid w:val="009C1D76"/>
    <w:rsid w:val="009C2320"/>
    <w:rsid w:val="009D6A2F"/>
    <w:rsid w:val="00A11E89"/>
    <w:rsid w:val="00A22009"/>
    <w:rsid w:val="00A4743F"/>
    <w:rsid w:val="00A841CD"/>
    <w:rsid w:val="00A91BF6"/>
    <w:rsid w:val="00AF471C"/>
    <w:rsid w:val="00B20260"/>
    <w:rsid w:val="00B359D8"/>
    <w:rsid w:val="00B57528"/>
    <w:rsid w:val="00B61A10"/>
    <w:rsid w:val="00B83C32"/>
    <w:rsid w:val="00BB4836"/>
    <w:rsid w:val="00BC3F7F"/>
    <w:rsid w:val="00BD6726"/>
    <w:rsid w:val="00BE1FA1"/>
    <w:rsid w:val="00BE6AD8"/>
    <w:rsid w:val="00C00353"/>
    <w:rsid w:val="00C24C1E"/>
    <w:rsid w:val="00C31356"/>
    <w:rsid w:val="00C42544"/>
    <w:rsid w:val="00C50435"/>
    <w:rsid w:val="00C63580"/>
    <w:rsid w:val="00C7134F"/>
    <w:rsid w:val="00C9145B"/>
    <w:rsid w:val="00CB7125"/>
    <w:rsid w:val="00CB72C3"/>
    <w:rsid w:val="00CD2F36"/>
    <w:rsid w:val="00D15A56"/>
    <w:rsid w:val="00D415D0"/>
    <w:rsid w:val="00D56A3B"/>
    <w:rsid w:val="00D7032B"/>
    <w:rsid w:val="00DB466C"/>
    <w:rsid w:val="00DB7F16"/>
    <w:rsid w:val="00DC4B86"/>
    <w:rsid w:val="00DC4C50"/>
    <w:rsid w:val="00DC604A"/>
    <w:rsid w:val="00DD7762"/>
    <w:rsid w:val="00DE0B69"/>
    <w:rsid w:val="00DE2C62"/>
    <w:rsid w:val="00DE7A1C"/>
    <w:rsid w:val="00DF6D55"/>
    <w:rsid w:val="00E16419"/>
    <w:rsid w:val="00E301F2"/>
    <w:rsid w:val="00E540A6"/>
    <w:rsid w:val="00E8230A"/>
    <w:rsid w:val="00E96808"/>
    <w:rsid w:val="00EB31D5"/>
    <w:rsid w:val="00ED451C"/>
    <w:rsid w:val="00EF48F5"/>
    <w:rsid w:val="00F024DF"/>
    <w:rsid w:val="00F03625"/>
    <w:rsid w:val="00F11E0C"/>
    <w:rsid w:val="00F14C19"/>
    <w:rsid w:val="00F26F79"/>
    <w:rsid w:val="00F42478"/>
    <w:rsid w:val="00F4306C"/>
    <w:rsid w:val="00F45A2B"/>
    <w:rsid w:val="00F60840"/>
    <w:rsid w:val="00F67129"/>
    <w:rsid w:val="00F76251"/>
    <w:rsid w:val="00F96021"/>
    <w:rsid w:val="00FC3C92"/>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40193"/>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FB6ED-7CA8-478E-89DD-29850C78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Ayre</dc:creator>
  <cp:lastModifiedBy>Catterina Maiolani-Margetts</cp:lastModifiedBy>
  <cp:revision>9</cp:revision>
  <cp:lastPrinted>2017-01-30T07:48:00Z</cp:lastPrinted>
  <dcterms:created xsi:type="dcterms:W3CDTF">2023-07-04T06:43:00Z</dcterms:created>
  <dcterms:modified xsi:type="dcterms:W3CDTF">2023-07-11T11:23:00Z</dcterms:modified>
</cp:coreProperties>
</file>