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5"/>
        <w:gridCol w:w="2305"/>
        <w:gridCol w:w="2306"/>
        <w:gridCol w:w="2305"/>
        <w:gridCol w:w="2306"/>
        <w:gridCol w:w="2305"/>
        <w:gridCol w:w="2306"/>
      </w:tblGrid>
      <w:tr w:rsidR="00D56A3B" w:rsidTr="004522BA">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3B1431">
              <w:rPr>
                <w:rFonts w:ascii="Century Gothic" w:hAnsi="Century Gothic" w:cs="Tahoma"/>
                <w:b/>
                <w:bCs/>
                <w:color w:val="000000"/>
              </w:rPr>
              <w:t>1</w:t>
            </w:r>
            <w:r w:rsidR="00BE6AD8">
              <w:rPr>
                <w:rFonts w:ascii="Century Gothic" w:hAnsi="Century Gothic" w:cs="Tahoma"/>
                <w:b/>
                <w:bCs/>
                <w:color w:val="000000"/>
              </w:rPr>
              <w:t>1</w:t>
            </w:r>
            <w:r w:rsidRPr="00D56A3B">
              <w:rPr>
                <w:rFonts w:ascii="Century Gothic" w:hAnsi="Century Gothic" w:cs="Tahoma"/>
                <w:b/>
                <w:bCs/>
                <w:color w:val="000000"/>
              </w:rPr>
              <w:t xml:space="preserve"> - </w:t>
            </w:r>
            <w:r w:rsidR="00E16419">
              <w:rPr>
                <w:rFonts w:ascii="Century Gothic" w:hAnsi="Century Gothic" w:cs="Tahoma"/>
                <w:b/>
                <w:bCs/>
                <w:color w:val="000000"/>
              </w:rPr>
              <w:t>English</w:t>
            </w:r>
          </w:p>
        </w:tc>
      </w:tr>
      <w:tr w:rsidR="00D56A3B" w:rsidTr="0023206D">
        <w:tc>
          <w:tcPr>
            <w:tcW w:w="1555" w:type="dxa"/>
            <w:vAlign w:val="center"/>
          </w:tcPr>
          <w:p w:rsidR="00D56A3B" w:rsidRPr="00D56A3B" w:rsidRDefault="00D56A3B" w:rsidP="0023206D">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Curriculum </w:t>
            </w:r>
            <w:r w:rsidR="0023206D">
              <w:rPr>
                <w:rFonts w:ascii="Century Gothic" w:hAnsi="Century Gothic" w:cs="Tahoma"/>
                <w:b/>
                <w:bCs/>
                <w:color w:val="000000"/>
              </w:rPr>
              <w:t>I</w:t>
            </w:r>
            <w:r w:rsidRPr="00D56A3B">
              <w:rPr>
                <w:rFonts w:ascii="Century Gothic" w:hAnsi="Century Gothic" w:cs="Tahoma"/>
                <w:b/>
                <w:bCs/>
                <w:color w:val="000000"/>
              </w:rPr>
              <w:t>ntent</w:t>
            </w:r>
          </w:p>
        </w:tc>
        <w:tc>
          <w:tcPr>
            <w:tcW w:w="13833" w:type="dxa"/>
            <w:gridSpan w:val="6"/>
          </w:tcPr>
          <w:p w:rsidR="0023206D" w:rsidRDefault="00F17778" w:rsidP="00412887">
            <w:pPr>
              <w:spacing w:after="0" w:line="240" w:lineRule="auto"/>
              <w:rPr>
                <w:rFonts w:ascii="Century Gothic" w:hAnsi="Century Gothic" w:cs="Tahoma"/>
                <w:bCs/>
                <w:color w:val="000000"/>
              </w:rPr>
            </w:pPr>
            <w:r>
              <w:rPr>
                <w:rFonts w:ascii="Century Gothic" w:hAnsi="Century Gothic" w:cs="Tahoma"/>
                <w:bCs/>
                <w:color w:val="000000"/>
              </w:rPr>
              <w:t>In Year 11, students will revise the four exam papers they have been preparing for throughout KS4</w:t>
            </w:r>
            <w:r w:rsidR="00412887" w:rsidRPr="00412887">
              <w:rPr>
                <w:rFonts w:ascii="Century Gothic" w:hAnsi="Century Gothic" w:cs="Tahoma"/>
                <w:bCs/>
                <w:color w:val="000000"/>
              </w:rPr>
              <w:t xml:space="preserve">. Across the year students will </w:t>
            </w:r>
            <w:r w:rsidR="00412887">
              <w:rPr>
                <w:rFonts w:ascii="Century Gothic" w:hAnsi="Century Gothic" w:cs="Tahoma"/>
                <w:bCs/>
                <w:color w:val="000000"/>
              </w:rPr>
              <w:t>consolidate their knowledge of</w:t>
            </w:r>
            <w:r w:rsidR="00412887" w:rsidRPr="00412887">
              <w:rPr>
                <w:rFonts w:ascii="Century Gothic" w:hAnsi="Century Gothic" w:cs="Tahoma"/>
                <w:bCs/>
                <w:color w:val="000000"/>
              </w:rPr>
              <w:t xml:space="preserve"> the structure of all the GCSE English papers for both Language and Literature. The year is structured in separate exam components in order to give students an understanding of the requirements, success criteria and timing of each. In terms of </w:t>
            </w:r>
            <w:r w:rsidR="00412887">
              <w:rPr>
                <w:rFonts w:ascii="Century Gothic" w:hAnsi="Century Gothic" w:cs="Tahoma"/>
                <w:bCs/>
                <w:color w:val="000000"/>
              </w:rPr>
              <w:t>Literature</w:t>
            </w:r>
            <w:r w:rsidR="00412887" w:rsidRPr="00412887">
              <w:rPr>
                <w:rFonts w:ascii="Century Gothic" w:hAnsi="Century Gothic" w:cs="Tahoma"/>
                <w:bCs/>
                <w:color w:val="000000"/>
              </w:rPr>
              <w:t xml:space="preserve">, students will </w:t>
            </w:r>
            <w:r w:rsidR="00412887">
              <w:rPr>
                <w:rFonts w:ascii="Century Gothic" w:hAnsi="Century Gothic" w:cs="Tahoma"/>
                <w:bCs/>
                <w:color w:val="000000"/>
              </w:rPr>
              <w:t>revise and refine their knowledge</w:t>
            </w:r>
            <w:r w:rsidR="00412887" w:rsidRPr="00412887">
              <w:rPr>
                <w:rFonts w:ascii="Century Gothic" w:hAnsi="Century Gothic" w:cs="Tahoma"/>
                <w:bCs/>
                <w:color w:val="000000"/>
              </w:rPr>
              <w:t xml:space="preserve"> of the set texts for English Literature,</w:t>
            </w:r>
            <w:r w:rsidR="00412887">
              <w:rPr>
                <w:rFonts w:ascii="Century Gothic" w:hAnsi="Century Gothic" w:cs="Tahoma"/>
                <w:bCs/>
                <w:color w:val="000000"/>
              </w:rPr>
              <w:t xml:space="preserve"> analysing and exploring these texts in relation to the language and structure, the writers’ intentions and the contexts within which they were written. In English Language, students will continue to refine their skills at reading and understanding unfamiliar texts, particularly through analysing their impact on readers, evaluating writers’ choices and comparing the perspectives. </w:t>
            </w:r>
            <w:r w:rsidR="00412887" w:rsidRPr="00412887">
              <w:rPr>
                <w:rFonts w:ascii="Century Gothic" w:hAnsi="Century Gothic" w:cs="Tahoma"/>
                <w:bCs/>
                <w:color w:val="000000"/>
              </w:rPr>
              <w:t>In writing, students will continue to hone their writing skills through writing for different purposes and audiences, as well as in different formats.</w:t>
            </w:r>
            <w:r w:rsidR="00412887">
              <w:rPr>
                <w:rFonts w:ascii="Century Gothic" w:hAnsi="Century Gothic" w:cs="Tahoma"/>
                <w:bCs/>
                <w:color w:val="000000"/>
              </w:rPr>
              <w:t xml:space="preserve"> There will be a continued focus on the style, tone and technical accuracy of writing through rhetorical and figurative devices, syntax and grammar. </w:t>
            </w:r>
          </w:p>
        </w:tc>
      </w:tr>
      <w:tr w:rsidR="00BC3F7F" w:rsidTr="0023206D">
        <w:tc>
          <w:tcPr>
            <w:tcW w:w="1555" w:type="dxa"/>
            <w:vAlign w:val="center"/>
          </w:tcPr>
          <w:p w:rsidR="00D56A3B" w:rsidRPr="00D56A3B" w:rsidRDefault="00D56A3B" w:rsidP="0023206D">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Term</w:t>
            </w:r>
          </w:p>
        </w:tc>
        <w:tc>
          <w:tcPr>
            <w:tcW w:w="2305"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1</w:t>
            </w:r>
          </w:p>
        </w:tc>
        <w:tc>
          <w:tcPr>
            <w:tcW w:w="2306"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2</w:t>
            </w:r>
          </w:p>
        </w:tc>
        <w:tc>
          <w:tcPr>
            <w:tcW w:w="2305"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1</w:t>
            </w:r>
          </w:p>
        </w:tc>
        <w:tc>
          <w:tcPr>
            <w:tcW w:w="2306"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2</w:t>
            </w:r>
          </w:p>
        </w:tc>
        <w:tc>
          <w:tcPr>
            <w:tcW w:w="2305"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1</w:t>
            </w:r>
          </w:p>
        </w:tc>
        <w:tc>
          <w:tcPr>
            <w:tcW w:w="2306" w:type="dxa"/>
          </w:tcPr>
          <w:p w:rsidR="00D56A3B" w:rsidRPr="00D56A3B" w:rsidRDefault="00D56A3B" w:rsidP="00BE6AD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2</w:t>
            </w:r>
          </w:p>
        </w:tc>
      </w:tr>
      <w:tr w:rsidR="00D62D61" w:rsidTr="008D3E94">
        <w:trPr>
          <w:trHeight w:val="568"/>
        </w:trPr>
        <w:tc>
          <w:tcPr>
            <w:tcW w:w="1555" w:type="dxa"/>
            <w:vAlign w:val="center"/>
          </w:tcPr>
          <w:p w:rsidR="00D62D61" w:rsidRDefault="00D62D61" w:rsidP="00B2253F">
            <w:pPr>
              <w:spacing w:after="0" w:line="240" w:lineRule="auto"/>
              <w:jc w:val="center"/>
              <w:rPr>
                <w:rFonts w:ascii="Century Gothic" w:hAnsi="Century Gothic" w:cs="Tahoma"/>
                <w:b/>
                <w:bCs/>
                <w:color w:val="000000"/>
              </w:rPr>
            </w:pPr>
            <w:r>
              <w:rPr>
                <w:rFonts w:ascii="Century Gothic" w:hAnsi="Century Gothic" w:cs="Tahoma"/>
                <w:b/>
                <w:bCs/>
                <w:color w:val="000000"/>
              </w:rPr>
              <w:t>Exam Paper</w:t>
            </w:r>
          </w:p>
        </w:tc>
        <w:tc>
          <w:tcPr>
            <w:tcW w:w="4611" w:type="dxa"/>
            <w:gridSpan w:val="2"/>
            <w:vAlign w:val="center"/>
          </w:tcPr>
          <w:p w:rsidR="00D62D61" w:rsidRDefault="00D62D61" w:rsidP="00B2253F">
            <w:pPr>
              <w:spacing w:after="0" w:line="240" w:lineRule="auto"/>
              <w:jc w:val="center"/>
              <w:rPr>
                <w:rFonts w:ascii="Century Gothic" w:hAnsi="Century Gothic" w:cs="Tahoma"/>
                <w:b/>
                <w:bCs/>
                <w:color w:val="000000"/>
              </w:rPr>
            </w:pPr>
            <w:r>
              <w:rPr>
                <w:rFonts w:ascii="Century Gothic" w:hAnsi="Century Gothic" w:cs="Tahoma"/>
                <w:b/>
                <w:bCs/>
                <w:color w:val="000000"/>
              </w:rPr>
              <w:t xml:space="preserve">Literature Paper 1 and </w:t>
            </w:r>
          </w:p>
          <w:p w:rsidR="00D62D61" w:rsidRDefault="00D62D61" w:rsidP="00B2253F">
            <w:pPr>
              <w:spacing w:after="0" w:line="240" w:lineRule="auto"/>
              <w:jc w:val="center"/>
              <w:rPr>
                <w:rFonts w:ascii="Century Gothic" w:hAnsi="Century Gothic" w:cs="Tahoma"/>
                <w:b/>
                <w:bCs/>
                <w:color w:val="000000"/>
              </w:rPr>
            </w:pPr>
            <w:r>
              <w:rPr>
                <w:rFonts w:ascii="Century Gothic" w:hAnsi="Century Gothic" w:cs="Tahoma"/>
                <w:b/>
                <w:bCs/>
                <w:color w:val="000000"/>
              </w:rPr>
              <w:t>Language Paper 2</w:t>
            </w:r>
          </w:p>
        </w:tc>
        <w:tc>
          <w:tcPr>
            <w:tcW w:w="4611" w:type="dxa"/>
            <w:gridSpan w:val="2"/>
            <w:vAlign w:val="center"/>
          </w:tcPr>
          <w:p w:rsidR="00D62D61" w:rsidRDefault="00D62D61" w:rsidP="00B2253F">
            <w:pPr>
              <w:spacing w:after="0" w:line="240" w:lineRule="auto"/>
              <w:jc w:val="center"/>
              <w:rPr>
                <w:rFonts w:ascii="Century Gothic" w:hAnsi="Century Gothic" w:cs="Tahoma"/>
                <w:b/>
                <w:bCs/>
                <w:color w:val="000000"/>
              </w:rPr>
            </w:pPr>
            <w:r>
              <w:rPr>
                <w:rFonts w:ascii="Century Gothic" w:hAnsi="Century Gothic" w:cs="Tahoma"/>
                <w:b/>
                <w:bCs/>
                <w:color w:val="000000"/>
              </w:rPr>
              <w:t xml:space="preserve">Literature Paper 2 and </w:t>
            </w:r>
          </w:p>
          <w:p w:rsidR="00D62D61" w:rsidRDefault="00D62D61" w:rsidP="00B2253F">
            <w:pPr>
              <w:spacing w:after="0" w:line="240" w:lineRule="auto"/>
              <w:jc w:val="center"/>
              <w:rPr>
                <w:rFonts w:ascii="Century Gothic" w:hAnsi="Century Gothic" w:cs="Tahoma"/>
                <w:b/>
                <w:bCs/>
                <w:color w:val="000000"/>
              </w:rPr>
            </w:pPr>
            <w:r>
              <w:rPr>
                <w:rFonts w:ascii="Century Gothic" w:hAnsi="Century Gothic" w:cs="Tahoma"/>
                <w:b/>
                <w:bCs/>
                <w:color w:val="000000"/>
              </w:rPr>
              <w:t>Language Paper 1</w:t>
            </w:r>
          </w:p>
        </w:tc>
        <w:tc>
          <w:tcPr>
            <w:tcW w:w="2305" w:type="dxa"/>
            <w:vAlign w:val="center"/>
          </w:tcPr>
          <w:p w:rsidR="00D62D61" w:rsidRDefault="00D62D61" w:rsidP="00B2253F">
            <w:pPr>
              <w:spacing w:after="0" w:line="240" w:lineRule="auto"/>
              <w:jc w:val="center"/>
              <w:rPr>
                <w:rFonts w:ascii="Century Gothic" w:hAnsi="Century Gothic" w:cs="Tahoma"/>
                <w:b/>
                <w:bCs/>
                <w:color w:val="000000"/>
              </w:rPr>
            </w:pPr>
            <w:r>
              <w:rPr>
                <w:rFonts w:ascii="Century Gothic" w:hAnsi="Century Gothic" w:cs="Tahoma"/>
                <w:b/>
                <w:bCs/>
                <w:color w:val="000000"/>
              </w:rPr>
              <w:t>Consolidation</w:t>
            </w:r>
          </w:p>
        </w:tc>
        <w:tc>
          <w:tcPr>
            <w:tcW w:w="2306" w:type="dxa"/>
            <w:vAlign w:val="center"/>
          </w:tcPr>
          <w:p w:rsidR="00D62D61" w:rsidRDefault="00D62D61" w:rsidP="00B2253F">
            <w:pPr>
              <w:spacing w:after="0" w:line="240" w:lineRule="auto"/>
              <w:jc w:val="center"/>
              <w:rPr>
                <w:rFonts w:ascii="Century Gothic" w:hAnsi="Century Gothic" w:cs="Tahoma"/>
                <w:b/>
                <w:bCs/>
                <w:color w:val="000000"/>
              </w:rPr>
            </w:pPr>
          </w:p>
        </w:tc>
      </w:tr>
      <w:tr w:rsidR="00D62D61" w:rsidTr="000745E6">
        <w:tc>
          <w:tcPr>
            <w:tcW w:w="1555" w:type="dxa"/>
            <w:vAlign w:val="center"/>
          </w:tcPr>
          <w:p w:rsidR="00D62D61" w:rsidRPr="00D56A3B" w:rsidRDefault="00D62D61" w:rsidP="0085750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Knowledge</w:t>
            </w:r>
          </w:p>
        </w:tc>
        <w:tc>
          <w:tcPr>
            <w:tcW w:w="4611" w:type="dxa"/>
            <w:gridSpan w:val="2"/>
          </w:tcPr>
          <w:p w:rsidR="00D62D61" w:rsidRPr="00001370" w:rsidRDefault="00D62D61"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Plot, character and theme in George Orwell’s Animal Farm. </w:t>
            </w:r>
          </w:p>
          <w:p w:rsidR="00D62D61" w:rsidRDefault="00D62D61"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Plot, character and theme in the Shakespeare play: Macbeth</w:t>
            </w:r>
          </w:p>
          <w:p w:rsidR="00D62D61" w:rsidRPr="00857508" w:rsidRDefault="00D62D61"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Historical context influencing writers</w:t>
            </w:r>
          </w:p>
          <w:p w:rsidR="00D62D61" w:rsidRPr="00B20260" w:rsidRDefault="00D62D61"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Language, structure and form devices</w:t>
            </w:r>
          </w:p>
          <w:p w:rsidR="00D62D61" w:rsidRDefault="00D62D61" w:rsidP="00857508">
            <w:pPr>
              <w:pStyle w:val="ListParagraph"/>
              <w:numPr>
                <w:ilvl w:val="0"/>
                <w:numId w:val="23"/>
              </w:numPr>
              <w:ind w:left="171" w:hanging="142"/>
              <w:rPr>
                <w:rFonts w:ascii="Century Gothic" w:hAnsi="Century Gothic" w:cs="Arial"/>
              </w:rPr>
            </w:pPr>
            <w:r>
              <w:rPr>
                <w:rFonts w:ascii="Century Gothic" w:hAnsi="Century Gothic" w:cs="Arial"/>
              </w:rPr>
              <w:t>Language devices including both rhetorical and figurative devices</w:t>
            </w:r>
          </w:p>
          <w:p w:rsidR="00D62D61" w:rsidRDefault="00D62D61" w:rsidP="00857508">
            <w:pPr>
              <w:pStyle w:val="ListParagraph"/>
              <w:numPr>
                <w:ilvl w:val="0"/>
                <w:numId w:val="23"/>
              </w:numPr>
              <w:ind w:left="171" w:hanging="142"/>
              <w:rPr>
                <w:rFonts w:ascii="Century Gothic" w:hAnsi="Century Gothic" w:cs="Arial"/>
              </w:rPr>
            </w:pPr>
            <w:r>
              <w:rPr>
                <w:rFonts w:ascii="Century Gothic" w:hAnsi="Century Gothic" w:cs="Arial"/>
              </w:rPr>
              <w:t xml:space="preserve">Word classes </w:t>
            </w:r>
          </w:p>
          <w:p w:rsidR="00D62D61" w:rsidRDefault="00D62D61" w:rsidP="00857508">
            <w:pPr>
              <w:pStyle w:val="ListParagraph"/>
              <w:numPr>
                <w:ilvl w:val="0"/>
                <w:numId w:val="23"/>
              </w:numPr>
              <w:ind w:left="171" w:hanging="142"/>
              <w:rPr>
                <w:rFonts w:ascii="Century Gothic" w:hAnsi="Century Gothic" w:cs="Arial"/>
              </w:rPr>
            </w:pPr>
            <w:r>
              <w:rPr>
                <w:rFonts w:ascii="Century Gothic" w:hAnsi="Century Gothic" w:cs="Arial"/>
              </w:rPr>
              <w:t>Structural devices including sentence types</w:t>
            </w:r>
          </w:p>
          <w:p w:rsidR="00D62D61" w:rsidRPr="005A6A79" w:rsidRDefault="00D62D61" w:rsidP="00857508">
            <w:pPr>
              <w:pStyle w:val="ListParagraph"/>
              <w:numPr>
                <w:ilvl w:val="0"/>
                <w:numId w:val="23"/>
              </w:numPr>
              <w:ind w:left="171" w:hanging="142"/>
              <w:rPr>
                <w:rFonts w:ascii="Century Gothic" w:hAnsi="Century Gothic" w:cs="Arial"/>
              </w:rPr>
            </w:pPr>
            <w:r>
              <w:rPr>
                <w:rFonts w:ascii="Century Gothic" w:hAnsi="Century Gothic" w:cs="Arial"/>
              </w:rPr>
              <w:t>Format of different writing styles, including article, speech and memoir</w:t>
            </w:r>
          </w:p>
        </w:tc>
        <w:tc>
          <w:tcPr>
            <w:tcW w:w="4611" w:type="dxa"/>
            <w:gridSpan w:val="2"/>
          </w:tcPr>
          <w:p w:rsidR="00D62D61" w:rsidRPr="00001370" w:rsidRDefault="00D62D61"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Plot, character and theme in Charles Dickens’ </w:t>
            </w:r>
            <w:r>
              <w:rPr>
                <w:rFonts w:ascii="Century Gothic" w:hAnsi="Century Gothic" w:cs="Tahoma"/>
                <w:bCs/>
                <w:i/>
                <w:color w:val="000000"/>
              </w:rPr>
              <w:t>A Christmas Carol</w:t>
            </w:r>
          </w:p>
          <w:p w:rsidR="00D62D61" w:rsidRDefault="00D62D61"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Key concepts in Conflict poetry collection</w:t>
            </w:r>
          </w:p>
          <w:p w:rsidR="00D62D61" w:rsidRPr="00857508" w:rsidRDefault="00D62D61"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Historical context influencing writers</w:t>
            </w:r>
          </w:p>
          <w:p w:rsidR="00D62D61" w:rsidRPr="00B20260" w:rsidRDefault="00D62D61"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Language, structure and form devices</w:t>
            </w:r>
          </w:p>
          <w:p w:rsidR="00D62D61" w:rsidRDefault="00D62D61" w:rsidP="00857508">
            <w:pPr>
              <w:pStyle w:val="ListParagraph"/>
              <w:numPr>
                <w:ilvl w:val="0"/>
                <w:numId w:val="23"/>
              </w:numPr>
              <w:ind w:left="171" w:hanging="142"/>
              <w:rPr>
                <w:rFonts w:ascii="Century Gothic" w:hAnsi="Century Gothic" w:cs="Arial"/>
              </w:rPr>
            </w:pPr>
            <w:r>
              <w:rPr>
                <w:rFonts w:ascii="Century Gothic" w:hAnsi="Century Gothic" w:cs="Arial"/>
              </w:rPr>
              <w:t>Language devices including both rhetorical and figurative devices</w:t>
            </w:r>
          </w:p>
          <w:p w:rsidR="00D62D61" w:rsidRDefault="00D62D61" w:rsidP="00857508">
            <w:pPr>
              <w:pStyle w:val="ListParagraph"/>
              <w:numPr>
                <w:ilvl w:val="0"/>
                <w:numId w:val="23"/>
              </w:numPr>
              <w:ind w:left="171" w:hanging="142"/>
              <w:rPr>
                <w:rFonts w:ascii="Century Gothic" w:hAnsi="Century Gothic" w:cs="Arial"/>
              </w:rPr>
            </w:pPr>
            <w:r>
              <w:rPr>
                <w:rFonts w:ascii="Century Gothic" w:hAnsi="Century Gothic" w:cs="Arial"/>
              </w:rPr>
              <w:t xml:space="preserve">Word classes </w:t>
            </w:r>
          </w:p>
          <w:p w:rsidR="00D62D61" w:rsidRDefault="00D62D61" w:rsidP="00857508">
            <w:pPr>
              <w:pStyle w:val="ListParagraph"/>
              <w:numPr>
                <w:ilvl w:val="0"/>
                <w:numId w:val="23"/>
              </w:numPr>
              <w:ind w:left="171" w:hanging="142"/>
              <w:rPr>
                <w:rFonts w:ascii="Century Gothic" w:hAnsi="Century Gothic" w:cs="Arial"/>
              </w:rPr>
            </w:pPr>
            <w:r>
              <w:rPr>
                <w:rFonts w:ascii="Century Gothic" w:hAnsi="Century Gothic" w:cs="Arial"/>
              </w:rPr>
              <w:t>Structural devices including sentence types</w:t>
            </w:r>
          </w:p>
          <w:p w:rsidR="00D62D61" w:rsidRDefault="00D62D61" w:rsidP="00857508">
            <w:pPr>
              <w:pStyle w:val="ListParagraph"/>
              <w:numPr>
                <w:ilvl w:val="0"/>
                <w:numId w:val="23"/>
              </w:numPr>
              <w:ind w:left="171" w:hanging="142"/>
              <w:rPr>
                <w:rFonts w:ascii="Century Gothic" w:hAnsi="Century Gothic" w:cs="Arial"/>
              </w:rPr>
            </w:pPr>
            <w:r>
              <w:rPr>
                <w:rFonts w:ascii="Century Gothic" w:hAnsi="Century Gothic" w:cs="Arial"/>
              </w:rPr>
              <w:t>Narrative structures</w:t>
            </w:r>
          </w:p>
          <w:p w:rsidR="00D62D61" w:rsidRDefault="00D62D61" w:rsidP="00857508">
            <w:pPr>
              <w:pStyle w:val="ListParagraph"/>
              <w:numPr>
                <w:ilvl w:val="0"/>
                <w:numId w:val="23"/>
              </w:numPr>
              <w:ind w:left="171" w:hanging="142"/>
              <w:rPr>
                <w:rFonts w:ascii="Century Gothic" w:hAnsi="Century Gothic" w:cs="Arial"/>
              </w:rPr>
            </w:pPr>
            <w:r>
              <w:rPr>
                <w:rFonts w:ascii="Century Gothic" w:hAnsi="Century Gothic" w:cs="Arial"/>
              </w:rPr>
              <w:t>Characterisation</w:t>
            </w:r>
          </w:p>
          <w:p w:rsidR="00D62D61" w:rsidRPr="00E16419" w:rsidRDefault="00D62D61" w:rsidP="00857508">
            <w:pPr>
              <w:pStyle w:val="ListParagraph"/>
              <w:numPr>
                <w:ilvl w:val="0"/>
                <w:numId w:val="23"/>
              </w:numPr>
              <w:ind w:left="171" w:hanging="142"/>
              <w:rPr>
                <w:rFonts w:ascii="Century Gothic" w:hAnsi="Century Gothic" w:cs="Arial"/>
              </w:rPr>
            </w:pPr>
            <w:r>
              <w:rPr>
                <w:rFonts w:ascii="Century Gothic" w:hAnsi="Century Gothic" w:cs="Arial"/>
              </w:rPr>
              <w:t>Conventions of 19</w:t>
            </w:r>
            <w:r w:rsidRPr="005A6A79">
              <w:rPr>
                <w:rFonts w:ascii="Century Gothic" w:hAnsi="Century Gothic" w:cs="Arial"/>
                <w:vertAlign w:val="superscript"/>
              </w:rPr>
              <w:t>th</w:t>
            </w:r>
            <w:r>
              <w:rPr>
                <w:rFonts w:ascii="Century Gothic" w:hAnsi="Century Gothic" w:cs="Arial"/>
              </w:rPr>
              <w:t xml:space="preserve"> Century literature</w:t>
            </w:r>
          </w:p>
        </w:tc>
        <w:tc>
          <w:tcPr>
            <w:tcW w:w="2305" w:type="dxa"/>
          </w:tcPr>
          <w:p w:rsidR="00D62D61" w:rsidRPr="00E16419" w:rsidRDefault="00D62D61" w:rsidP="00857508">
            <w:pPr>
              <w:pStyle w:val="ListParagraph"/>
              <w:numPr>
                <w:ilvl w:val="0"/>
                <w:numId w:val="23"/>
              </w:numPr>
              <w:ind w:left="171" w:hanging="142"/>
              <w:rPr>
                <w:rFonts w:ascii="Century Gothic" w:hAnsi="Century Gothic" w:cs="Arial"/>
              </w:rPr>
            </w:pPr>
            <w:r>
              <w:rPr>
                <w:rFonts w:ascii="Century Gothic" w:hAnsi="Century Gothic" w:cs="Arial"/>
              </w:rPr>
              <w:t>A consolidation of the English Language and English Literature courses, dependent on the needs of the class.</w:t>
            </w:r>
          </w:p>
        </w:tc>
        <w:tc>
          <w:tcPr>
            <w:tcW w:w="2306" w:type="dxa"/>
          </w:tcPr>
          <w:p w:rsidR="00D62D61" w:rsidRPr="00E16419" w:rsidRDefault="00D62D61" w:rsidP="00D62D61">
            <w:pPr>
              <w:pStyle w:val="ListParagraph"/>
              <w:ind w:left="171"/>
              <w:rPr>
                <w:rFonts w:ascii="Century Gothic" w:hAnsi="Century Gothic" w:cs="Arial"/>
              </w:rPr>
            </w:pPr>
          </w:p>
        </w:tc>
      </w:tr>
      <w:tr w:rsidR="00857508" w:rsidTr="00BE6AD8">
        <w:tc>
          <w:tcPr>
            <w:tcW w:w="1555" w:type="dxa"/>
            <w:vAlign w:val="center"/>
          </w:tcPr>
          <w:p w:rsidR="00857508" w:rsidRPr="00D56A3B" w:rsidRDefault="00857508" w:rsidP="0085750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Skills</w:t>
            </w:r>
          </w:p>
        </w:tc>
        <w:tc>
          <w:tcPr>
            <w:tcW w:w="2305" w:type="dxa"/>
          </w:tcPr>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Analysis of language, structure and form</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Exploration of a key theme </w:t>
            </w:r>
            <w:r>
              <w:rPr>
                <w:rFonts w:ascii="Century Gothic" w:hAnsi="Century Gothic" w:cs="Tahoma"/>
                <w:bCs/>
                <w:color w:val="000000"/>
              </w:rPr>
              <w:lastRenderedPageBreak/>
              <w:t>throughout the full text</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Application of context to a full text exploration</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of writers’ meaning and intentions</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and deduction of readers’ reactions</w:t>
            </w:r>
          </w:p>
        </w:tc>
        <w:tc>
          <w:tcPr>
            <w:tcW w:w="2306" w:type="dxa"/>
          </w:tcPr>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Analyse language and structure in an extract of contemporary non-fiction</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Evaluate the writer’s success in a piece of contemporary non-fiction</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Identify similarities and compare perspectives between two non-fiction texts</w:t>
            </w:r>
          </w:p>
          <w:p w:rsidR="00857508" w:rsidRPr="00B20260"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Crafting, drafting and refining a piece of original transactional writing</w:t>
            </w:r>
          </w:p>
        </w:tc>
        <w:tc>
          <w:tcPr>
            <w:tcW w:w="2305" w:type="dxa"/>
          </w:tcPr>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Analysis of language, structure and form</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 xml:space="preserve">Exploration of a key theme </w:t>
            </w:r>
            <w:r>
              <w:rPr>
                <w:rFonts w:ascii="Century Gothic" w:hAnsi="Century Gothic" w:cs="Tahoma"/>
                <w:bCs/>
                <w:color w:val="000000"/>
              </w:rPr>
              <w:lastRenderedPageBreak/>
              <w:t>throughout the full text</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Application of context to a full text exploration</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of writers’ meaning and intentions</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Inference and deduction of readers’ reactions</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Comparison of two poems</w:t>
            </w:r>
          </w:p>
        </w:tc>
        <w:tc>
          <w:tcPr>
            <w:tcW w:w="2306" w:type="dxa"/>
          </w:tcPr>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Analyse language and structure in a short extract of unfamiliar 19</w:t>
            </w:r>
            <w:r w:rsidRPr="005A6A79">
              <w:rPr>
                <w:rFonts w:ascii="Century Gothic" w:hAnsi="Century Gothic" w:cs="Tahoma"/>
                <w:bCs/>
                <w:color w:val="000000"/>
                <w:vertAlign w:val="superscript"/>
              </w:rPr>
              <w:t>th</w:t>
            </w:r>
            <w:r>
              <w:rPr>
                <w:rFonts w:ascii="Century Gothic" w:hAnsi="Century Gothic" w:cs="Tahoma"/>
                <w:bCs/>
                <w:color w:val="000000"/>
              </w:rPr>
              <w:t xml:space="preserve"> Century literature</w:t>
            </w:r>
          </w:p>
          <w:p w:rsidR="00857508"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Evaluate the writer’s success in a piece of 19</w:t>
            </w:r>
            <w:r w:rsidRPr="005A6A79">
              <w:rPr>
                <w:rFonts w:ascii="Century Gothic" w:hAnsi="Century Gothic" w:cs="Tahoma"/>
                <w:bCs/>
                <w:color w:val="000000"/>
                <w:vertAlign w:val="superscript"/>
              </w:rPr>
              <w:t>th</w:t>
            </w:r>
            <w:r>
              <w:rPr>
                <w:rFonts w:ascii="Century Gothic" w:hAnsi="Century Gothic" w:cs="Tahoma"/>
                <w:bCs/>
                <w:color w:val="000000"/>
              </w:rPr>
              <w:t xml:space="preserve"> Century literature</w:t>
            </w:r>
          </w:p>
          <w:p w:rsidR="00857508" w:rsidRPr="00B20260"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t>Crafting, drafting and refining a piece of original narrative writing</w:t>
            </w:r>
          </w:p>
        </w:tc>
        <w:tc>
          <w:tcPr>
            <w:tcW w:w="2305" w:type="dxa"/>
          </w:tcPr>
          <w:p w:rsidR="00857508" w:rsidRPr="00B20260" w:rsidRDefault="00857508" w:rsidP="00857508">
            <w:pPr>
              <w:pStyle w:val="ListParagraph"/>
              <w:numPr>
                <w:ilvl w:val="0"/>
                <w:numId w:val="24"/>
              </w:numPr>
              <w:spacing w:after="0" w:line="240" w:lineRule="auto"/>
              <w:ind w:left="201" w:hanging="142"/>
              <w:rPr>
                <w:rFonts w:ascii="Century Gothic" w:hAnsi="Century Gothic" w:cs="Tahoma"/>
                <w:bCs/>
                <w:color w:val="000000"/>
              </w:rPr>
            </w:pPr>
            <w:r>
              <w:rPr>
                <w:rFonts w:ascii="Century Gothic" w:hAnsi="Century Gothic" w:cs="Tahoma"/>
                <w:bCs/>
                <w:color w:val="000000"/>
              </w:rPr>
              <w:lastRenderedPageBreak/>
              <w:t>The full range of analysis, evaluation, exploration and comparison</w:t>
            </w:r>
            <w:r w:rsidR="001D4020">
              <w:rPr>
                <w:rFonts w:ascii="Century Gothic" w:hAnsi="Century Gothic" w:cs="Tahoma"/>
                <w:bCs/>
                <w:color w:val="000000"/>
              </w:rPr>
              <w:t xml:space="preserve">, as well as </w:t>
            </w:r>
            <w:r w:rsidR="001D4020">
              <w:rPr>
                <w:rFonts w:ascii="Century Gothic" w:hAnsi="Century Gothic" w:cs="Tahoma"/>
                <w:bCs/>
                <w:color w:val="000000"/>
              </w:rPr>
              <w:lastRenderedPageBreak/>
              <w:t>transactional and imaginative writing,</w:t>
            </w:r>
            <w:r>
              <w:rPr>
                <w:rFonts w:ascii="Century Gothic" w:hAnsi="Century Gothic" w:cs="Tahoma"/>
                <w:bCs/>
                <w:color w:val="000000"/>
              </w:rPr>
              <w:t xml:space="preserve"> as taught through the course. </w:t>
            </w:r>
          </w:p>
        </w:tc>
        <w:tc>
          <w:tcPr>
            <w:tcW w:w="2306" w:type="dxa"/>
          </w:tcPr>
          <w:p w:rsidR="00857508" w:rsidRPr="00BE6AD8" w:rsidRDefault="00857508" w:rsidP="00857508">
            <w:pPr>
              <w:spacing w:after="0" w:line="240" w:lineRule="auto"/>
              <w:ind w:left="59"/>
              <w:rPr>
                <w:rFonts w:ascii="Century Gothic" w:hAnsi="Century Gothic" w:cs="Tahoma"/>
                <w:bCs/>
                <w:color w:val="000000"/>
              </w:rPr>
            </w:pPr>
          </w:p>
        </w:tc>
      </w:tr>
      <w:tr w:rsidR="00857508" w:rsidTr="00BE6AD8">
        <w:tc>
          <w:tcPr>
            <w:tcW w:w="1555" w:type="dxa"/>
            <w:vAlign w:val="center"/>
          </w:tcPr>
          <w:p w:rsidR="00857508" w:rsidRPr="00D56A3B" w:rsidRDefault="00857508" w:rsidP="00857508">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Assessments</w:t>
            </w:r>
          </w:p>
        </w:tc>
        <w:tc>
          <w:tcPr>
            <w:tcW w:w="2305" w:type="dxa"/>
          </w:tcPr>
          <w:p w:rsidR="00857508" w:rsidRPr="00001370" w:rsidRDefault="00857508" w:rsidP="00857508">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 xml:space="preserve">Hour-long assessment: extract analysis and full text exploration of </w:t>
            </w:r>
            <w:r>
              <w:rPr>
                <w:rFonts w:ascii="Century Gothic" w:hAnsi="Century Gothic" w:cs="Tahoma"/>
                <w:bCs/>
                <w:i/>
                <w:color w:val="000000"/>
              </w:rPr>
              <w:t xml:space="preserve">Macbeth </w:t>
            </w:r>
          </w:p>
          <w:p w:rsidR="00857508" w:rsidRPr="00001370" w:rsidRDefault="00857508" w:rsidP="00857508">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 xml:space="preserve">45-minute assessment: full text exploration of </w:t>
            </w:r>
            <w:r w:rsidR="006D2479">
              <w:rPr>
                <w:rFonts w:ascii="Century Gothic" w:hAnsi="Century Gothic" w:cs="Tahoma"/>
                <w:bCs/>
                <w:i/>
                <w:color w:val="000000"/>
              </w:rPr>
              <w:t>Animal Farm</w:t>
            </w:r>
          </w:p>
        </w:tc>
        <w:tc>
          <w:tcPr>
            <w:tcW w:w="2306" w:type="dxa"/>
          </w:tcPr>
          <w:p w:rsidR="00857508" w:rsidRDefault="00857508" w:rsidP="00857508">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 xml:space="preserve">80-minute assessment: extract analysis, evaluation and comparison of two </w:t>
            </w:r>
            <w:r w:rsidRPr="005A6A79">
              <w:rPr>
                <w:rFonts w:ascii="Century Gothic" w:hAnsi="Century Gothic" w:cs="Tahoma"/>
                <w:bCs/>
                <w:color w:val="000000"/>
              </w:rPr>
              <w:t xml:space="preserve">unseen </w:t>
            </w:r>
            <w:r>
              <w:rPr>
                <w:rFonts w:ascii="Century Gothic" w:hAnsi="Century Gothic" w:cs="Tahoma"/>
                <w:bCs/>
                <w:color w:val="000000"/>
              </w:rPr>
              <w:t>extracts</w:t>
            </w:r>
          </w:p>
          <w:p w:rsidR="00857508" w:rsidRPr="005A6A79" w:rsidRDefault="00857508" w:rsidP="00857508">
            <w:pPr>
              <w:pStyle w:val="ListParagraph"/>
              <w:numPr>
                <w:ilvl w:val="0"/>
                <w:numId w:val="25"/>
              </w:numPr>
              <w:spacing w:after="0" w:line="240" w:lineRule="auto"/>
              <w:ind w:left="179" w:hanging="116"/>
              <w:rPr>
                <w:rFonts w:ascii="Century Gothic" w:hAnsi="Century Gothic" w:cs="Tahoma"/>
                <w:bCs/>
                <w:color w:val="000000"/>
              </w:rPr>
            </w:pPr>
            <w:r w:rsidRPr="005A6A79">
              <w:rPr>
                <w:rFonts w:ascii="Century Gothic" w:hAnsi="Century Gothic" w:cs="Tahoma"/>
                <w:bCs/>
                <w:color w:val="000000"/>
              </w:rPr>
              <w:t>45</w:t>
            </w:r>
            <w:r>
              <w:rPr>
                <w:rFonts w:ascii="Century Gothic" w:hAnsi="Century Gothic" w:cs="Tahoma"/>
                <w:bCs/>
                <w:color w:val="000000"/>
              </w:rPr>
              <w:t>-</w:t>
            </w:r>
            <w:r w:rsidRPr="005A6A79">
              <w:rPr>
                <w:rFonts w:ascii="Century Gothic" w:hAnsi="Century Gothic" w:cs="Tahoma"/>
                <w:bCs/>
                <w:color w:val="000000"/>
              </w:rPr>
              <w:t xml:space="preserve">minute assessment: </w:t>
            </w:r>
            <w:r>
              <w:rPr>
                <w:rFonts w:ascii="Century Gothic" w:hAnsi="Century Gothic" w:cs="Tahoma"/>
                <w:bCs/>
                <w:color w:val="000000"/>
              </w:rPr>
              <w:t>transactional</w:t>
            </w:r>
            <w:r w:rsidRPr="005A6A79">
              <w:rPr>
                <w:rFonts w:ascii="Century Gothic" w:hAnsi="Century Gothic" w:cs="Tahoma"/>
                <w:bCs/>
                <w:color w:val="000000"/>
              </w:rPr>
              <w:t xml:space="preserve"> writing</w:t>
            </w:r>
          </w:p>
        </w:tc>
        <w:tc>
          <w:tcPr>
            <w:tcW w:w="2305" w:type="dxa"/>
          </w:tcPr>
          <w:p w:rsidR="00857508" w:rsidRPr="00001370" w:rsidRDefault="00857508" w:rsidP="00857508">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 xml:space="preserve">Hour-long assessment: extract analysis and full text exploration of </w:t>
            </w:r>
            <w:r>
              <w:rPr>
                <w:rFonts w:ascii="Century Gothic" w:hAnsi="Century Gothic" w:cs="Tahoma"/>
                <w:bCs/>
                <w:i/>
                <w:color w:val="000000"/>
              </w:rPr>
              <w:t>A Christmas Carol</w:t>
            </w:r>
          </w:p>
          <w:p w:rsidR="00857508" w:rsidRPr="00001370" w:rsidRDefault="00857508" w:rsidP="00857508">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75-minute assessment: poetry anthology comparison and two unseen poems comparison</w:t>
            </w:r>
          </w:p>
        </w:tc>
        <w:tc>
          <w:tcPr>
            <w:tcW w:w="2306" w:type="dxa"/>
          </w:tcPr>
          <w:p w:rsidR="00857508" w:rsidRPr="005A6A79" w:rsidRDefault="00857508" w:rsidP="00857508">
            <w:pPr>
              <w:pStyle w:val="ListParagraph"/>
              <w:numPr>
                <w:ilvl w:val="0"/>
                <w:numId w:val="25"/>
              </w:numPr>
              <w:spacing w:after="0" w:line="240" w:lineRule="auto"/>
              <w:ind w:left="179" w:hanging="116"/>
              <w:rPr>
                <w:rFonts w:ascii="Century Gothic" w:hAnsi="Century Gothic" w:cs="Tahoma"/>
                <w:bCs/>
                <w:color w:val="000000"/>
              </w:rPr>
            </w:pPr>
            <w:r>
              <w:rPr>
                <w:rFonts w:ascii="Century Gothic" w:hAnsi="Century Gothic" w:cs="Tahoma"/>
                <w:bCs/>
                <w:color w:val="000000"/>
              </w:rPr>
              <w:t xml:space="preserve">Hour-long assessment: extract analysis and evaluation of </w:t>
            </w:r>
            <w:r w:rsidRPr="005A6A79">
              <w:rPr>
                <w:rFonts w:ascii="Century Gothic" w:hAnsi="Century Gothic" w:cs="Tahoma"/>
                <w:bCs/>
                <w:color w:val="000000"/>
              </w:rPr>
              <w:t xml:space="preserve">unseen </w:t>
            </w:r>
            <w:r>
              <w:rPr>
                <w:rFonts w:ascii="Century Gothic" w:hAnsi="Century Gothic" w:cs="Tahoma"/>
                <w:bCs/>
                <w:color w:val="000000"/>
              </w:rPr>
              <w:t>extract</w:t>
            </w:r>
          </w:p>
          <w:p w:rsidR="00857508" w:rsidRPr="005A6A79" w:rsidRDefault="00857508" w:rsidP="00857508">
            <w:pPr>
              <w:pStyle w:val="ListParagraph"/>
              <w:numPr>
                <w:ilvl w:val="0"/>
                <w:numId w:val="25"/>
              </w:numPr>
              <w:spacing w:after="0" w:line="240" w:lineRule="auto"/>
              <w:ind w:left="179" w:hanging="116"/>
              <w:rPr>
                <w:rFonts w:ascii="Century Gothic" w:hAnsi="Century Gothic" w:cs="Tahoma"/>
                <w:bCs/>
                <w:color w:val="000000"/>
              </w:rPr>
            </w:pPr>
            <w:r w:rsidRPr="005A6A79">
              <w:rPr>
                <w:rFonts w:ascii="Century Gothic" w:hAnsi="Century Gothic" w:cs="Tahoma"/>
                <w:bCs/>
                <w:color w:val="000000"/>
              </w:rPr>
              <w:t>45</w:t>
            </w:r>
            <w:r>
              <w:rPr>
                <w:rFonts w:ascii="Century Gothic" w:hAnsi="Century Gothic" w:cs="Tahoma"/>
                <w:bCs/>
                <w:color w:val="000000"/>
              </w:rPr>
              <w:t>-</w:t>
            </w:r>
            <w:r w:rsidRPr="005A6A79">
              <w:rPr>
                <w:rFonts w:ascii="Century Gothic" w:hAnsi="Century Gothic" w:cs="Tahoma"/>
                <w:bCs/>
                <w:color w:val="000000"/>
              </w:rPr>
              <w:t xml:space="preserve">minute assessment: </w:t>
            </w:r>
            <w:r>
              <w:rPr>
                <w:rFonts w:ascii="Century Gothic" w:hAnsi="Century Gothic" w:cs="Tahoma"/>
                <w:bCs/>
                <w:color w:val="000000"/>
              </w:rPr>
              <w:t>narrative writing</w:t>
            </w:r>
          </w:p>
        </w:tc>
        <w:tc>
          <w:tcPr>
            <w:tcW w:w="2305" w:type="dxa"/>
          </w:tcPr>
          <w:p w:rsidR="00857508" w:rsidRPr="00E16419" w:rsidRDefault="001D4020" w:rsidP="00857508">
            <w:pPr>
              <w:spacing w:after="0" w:line="240" w:lineRule="auto"/>
              <w:rPr>
                <w:rFonts w:ascii="Century Gothic" w:hAnsi="Century Gothic" w:cs="Tahoma"/>
                <w:bCs/>
                <w:color w:val="000000"/>
              </w:rPr>
            </w:pPr>
            <w:r>
              <w:rPr>
                <w:rFonts w:ascii="Century Gothic" w:hAnsi="Century Gothic" w:cs="Tahoma"/>
                <w:bCs/>
                <w:color w:val="000000"/>
              </w:rPr>
              <w:t xml:space="preserve">To be determined by the teacher dependent on the needs of the class. </w:t>
            </w:r>
          </w:p>
        </w:tc>
        <w:tc>
          <w:tcPr>
            <w:tcW w:w="2306" w:type="dxa"/>
          </w:tcPr>
          <w:p w:rsidR="00857508" w:rsidRPr="00E16419" w:rsidRDefault="00857508" w:rsidP="00857508">
            <w:pPr>
              <w:spacing w:after="0" w:line="240" w:lineRule="auto"/>
              <w:rPr>
                <w:rFonts w:ascii="Century Gothic" w:hAnsi="Century Gothic" w:cs="Tahoma"/>
                <w:bCs/>
                <w:color w:val="000000"/>
              </w:rPr>
            </w:pPr>
          </w:p>
        </w:tc>
      </w:tr>
      <w:tr w:rsidR="00857508" w:rsidTr="001D4020">
        <w:tc>
          <w:tcPr>
            <w:tcW w:w="1555" w:type="dxa"/>
            <w:vAlign w:val="center"/>
          </w:tcPr>
          <w:p w:rsidR="00857508" w:rsidRPr="00D56A3B" w:rsidRDefault="00857508" w:rsidP="001D4020">
            <w:pPr>
              <w:spacing w:after="0" w:line="240" w:lineRule="auto"/>
              <w:jc w:val="center"/>
              <w:rPr>
                <w:rFonts w:ascii="Century Gothic" w:hAnsi="Century Gothic" w:cs="Tahoma"/>
                <w:b/>
                <w:bCs/>
                <w:color w:val="000000"/>
              </w:rPr>
            </w:pPr>
            <w:r>
              <w:rPr>
                <w:rFonts w:ascii="Century Gothic" w:hAnsi="Century Gothic" w:cs="Tahoma"/>
                <w:b/>
                <w:bCs/>
                <w:color w:val="000000"/>
              </w:rPr>
              <w:t>Curiosity</w:t>
            </w:r>
          </w:p>
        </w:tc>
        <w:tc>
          <w:tcPr>
            <w:tcW w:w="2305" w:type="dxa"/>
          </w:tcPr>
          <w:p w:rsidR="001D4020" w:rsidRDefault="001D4020" w:rsidP="00620371">
            <w:pPr>
              <w:pStyle w:val="ListParagraph"/>
              <w:numPr>
                <w:ilvl w:val="0"/>
                <w:numId w:val="26"/>
              </w:numPr>
              <w:spacing w:after="0" w:line="240" w:lineRule="auto"/>
              <w:ind w:left="179" w:hanging="116"/>
              <w:rPr>
                <w:rFonts w:ascii="Century Gothic" w:hAnsi="Century Gothic" w:cs="Tahoma"/>
                <w:bCs/>
                <w:color w:val="000000"/>
              </w:rPr>
            </w:pPr>
            <w:r w:rsidRPr="003017D8">
              <w:rPr>
                <w:rFonts w:ascii="Century Gothic" w:hAnsi="Century Gothic" w:cs="Tahoma"/>
                <w:bCs/>
                <w:color w:val="000000"/>
              </w:rPr>
              <w:t xml:space="preserve">Research on Shakespearean context and the influences on </w:t>
            </w:r>
            <w:r w:rsidR="00D62D61">
              <w:rPr>
                <w:rFonts w:ascii="Century Gothic" w:hAnsi="Century Gothic" w:cs="Tahoma"/>
                <w:bCs/>
                <w:color w:val="000000"/>
              </w:rPr>
              <w:t>the authors</w:t>
            </w:r>
          </w:p>
          <w:p w:rsidR="003017D8" w:rsidRDefault="003017D8" w:rsidP="00620371">
            <w:pPr>
              <w:pStyle w:val="ListParagraph"/>
              <w:numPr>
                <w:ilvl w:val="0"/>
                <w:numId w:val="26"/>
              </w:numPr>
              <w:spacing w:after="0" w:line="240" w:lineRule="auto"/>
              <w:ind w:left="179" w:hanging="116"/>
              <w:rPr>
                <w:rFonts w:ascii="Century Gothic" w:hAnsi="Century Gothic" w:cs="Tahoma"/>
                <w:bCs/>
                <w:color w:val="000000"/>
              </w:rPr>
            </w:pPr>
            <w:r>
              <w:rPr>
                <w:rFonts w:ascii="Century Gothic" w:hAnsi="Century Gothic" w:cs="Tahoma"/>
                <w:bCs/>
                <w:color w:val="000000"/>
              </w:rPr>
              <w:t xml:space="preserve">Student Leader role: An </w:t>
            </w:r>
            <w:r>
              <w:rPr>
                <w:rFonts w:ascii="Century Gothic" w:hAnsi="Century Gothic" w:cs="Tahoma"/>
                <w:bCs/>
                <w:color w:val="000000"/>
              </w:rPr>
              <w:lastRenderedPageBreak/>
              <w:t>English/Literacy Leader.</w:t>
            </w:r>
          </w:p>
          <w:p w:rsidR="003017D8" w:rsidRPr="000615BC" w:rsidRDefault="003017D8" w:rsidP="00620371">
            <w:pPr>
              <w:pStyle w:val="ListParagraph"/>
              <w:numPr>
                <w:ilvl w:val="0"/>
                <w:numId w:val="26"/>
              </w:numPr>
              <w:shd w:val="clear" w:color="auto" w:fill="FFFFFF"/>
              <w:spacing w:after="0" w:line="240" w:lineRule="auto"/>
              <w:ind w:left="179" w:hanging="116"/>
              <w:textAlignment w:val="baseline"/>
              <w:rPr>
                <w:rFonts w:ascii="Century Gothic" w:eastAsia="Times New Roman" w:hAnsi="Century Gothic" w:cs="Times New Roman"/>
                <w:lang w:eastAsia="en-GB"/>
              </w:rPr>
            </w:pPr>
            <w:r w:rsidRPr="000615BC">
              <w:rPr>
                <w:rFonts w:ascii="Century Gothic" w:eastAsia="Times New Roman" w:hAnsi="Century Gothic" w:cs="Times New Roman"/>
                <w:lang w:eastAsia="en-GB"/>
              </w:rPr>
              <w:t>8</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September- International Literacy Day</w:t>
            </w:r>
          </w:p>
          <w:p w:rsidR="003017D8" w:rsidRPr="00DB7896" w:rsidRDefault="003017D8" w:rsidP="00620371">
            <w:pPr>
              <w:pStyle w:val="ListParagraph"/>
              <w:numPr>
                <w:ilvl w:val="0"/>
                <w:numId w:val="26"/>
              </w:numPr>
              <w:shd w:val="clear" w:color="auto" w:fill="FFFFFF"/>
              <w:spacing w:after="0" w:line="240" w:lineRule="auto"/>
              <w:ind w:left="179" w:hanging="116"/>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October - Natio</w:t>
            </w:r>
            <w:bookmarkStart w:id="0" w:name="_GoBack"/>
            <w:bookmarkEnd w:id="0"/>
            <w:r w:rsidRPr="000615BC">
              <w:rPr>
                <w:rFonts w:ascii="Century Gothic" w:eastAsia="Times New Roman" w:hAnsi="Century Gothic" w:cs="Times New Roman"/>
                <w:bdr w:val="none" w:sz="0" w:space="0" w:color="auto" w:frame="1"/>
                <w:lang w:eastAsia="en-GB"/>
              </w:rPr>
              <w:t>nal Poetry Day</w:t>
            </w:r>
          </w:p>
          <w:p w:rsidR="003017D8" w:rsidRPr="003017D8" w:rsidRDefault="003017D8" w:rsidP="00620371">
            <w:pPr>
              <w:pStyle w:val="ListParagraph"/>
              <w:numPr>
                <w:ilvl w:val="0"/>
                <w:numId w:val="26"/>
              </w:numPr>
              <w:spacing w:after="0" w:line="240" w:lineRule="auto"/>
              <w:ind w:left="179" w:hanging="116"/>
              <w:rPr>
                <w:rFonts w:ascii="Century Gothic" w:hAnsi="Century Gothic" w:cs="Tahoma"/>
                <w:bCs/>
                <w:color w:val="000000"/>
              </w:rPr>
            </w:pPr>
            <w:r>
              <w:rPr>
                <w:rFonts w:ascii="Century Gothic" w:hAnsi="Century Gothic" w:cs="Tahoma"/>
                <w:bCs/>
                <w:color w:val="000000"/>
              </w:rPr>
              <w:t xml:space="preserve"> Revision Focus: Secondary reading on the novel. </w:t>
            </w:r>
          </w:p>
        </w:tc>
        <w:tc>
          <w:tcPr>
            <w:tcW w:w="2306" w:type="dxa"/>
          </w:tcPr>
          <w:p w:rsidR="00857508" w:rsidRPr="003017D8" w:rsidRDefault="001D4020" w:rsidP="00620371">
            <w:pPr>
              <w:pStyle w:val="ListParagraph"/>
              <w:numPr>
                <w:ilvl w:val="0"/>
                <w:numId w:val="26"/>
              </w:numPr>
              <w:spacing w:after="0" w:line="240" w:lineRule="auto"/>
              <w:ind w:left="279" w:hanging="158"/>
              <w:rPr>
                <w:rFonts w:ascii="Century Gothic" w:hAnsi="Century Gothic" w:cs="Tahoma"/>
                <w:bCs/>
                <w:color w:val="000000"/>
              </w:rPr>
            </w:pPr>
            <w:r w:rsidRPr="003017D8">
              <w:rPr>
                <w:rFonts w:ascii="Century Gothic" w:hAnsi="Century Gothic" w:cs="Tahoma"/>
                <w:bCs/>
                <w:color w:val="000000"/>
              </w:rPr>
              <w:lastRenderedPageBreak/>
              <w:t xml:space="preserve">Reading of a full range of contemporary non-fiction texts, considering writers’ purposes and intentions. </w:t>
            </w:r>
          </w:p>
          <w:p w:rsidR="003017D8" w:rsidRPr="003017D8" w:rsidRDefault="003017D8" w:rsidP="00620371">
            <w:pPr>
              <w:pStyle w:val="ListParagraph"/>
              <w:numPr>
                <w:ilvl w:val="0"/>
                <w:numId w:val="28"/>
              </w:numPr>
              <w:shd w:val="clear" w:color="auto" w:fill="FFFFFF"/>
              <w:spacing w:after="0" w:line="240" w:lineRule="auto"/>
              <w:ind w:left="279" w:hanging="158"/>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lastRenderedPageBreak/>
              <w:t>28 January</w:t>
            </w:r>
            <w:r>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w:t>
            </w:r>
            <w:r>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4</w:t>
            </w:r>
            <w:r w:rsidRPr="000615BC">
              <w:rPr>
                <w:rFonts w:ascii="Century Gothic" w:eastAsia="Times New Roman" w:hAnsi="Century Gothic" w:cs="Times New Roman"/>
                <w:bdr w:val="none" w:sz="0" w:space="0" w:color="auto" w:frame="1"/>
                <w:vertAlign w:val="superscript"/>
                <w:lang w:eastAsia="en-GB"/>
              </w:rPr>
              <w:t>th</w:t>
            </w:r>
            <w:r w:rsidRPr="000615BC">
              <w:rPr>
                <w:rFonts w:ascii="Century Gothic" w:eastAsia="Times New Roman" w:hAnsi="Century Gothic" w:cs="Times New Roman"/>
                <w:bdr w:val="none" w:sz="0" w:space="0" w:color="auto" w:frame="1"/>
                <w:lang w:eastAsia="en-GB"/>
              </w:rPr>
              <w:t> February-National Storytelling week</w:t>
            </w:r>
          </w:p>
          <w:p w:rsidR="003017D8" w:rsidRPr="000615BC" w:rsidRDefault="003017D8" w:rsidP="00620371">
            <w:pPr>
              <w:pStyle w:val="ListParagraph"/>
              <w:numPr>
                <w:ilvl w:val="0"/>
                <w:numId w:val="28"/>
              </w:numPr>
              <w:shd w:val="clear" w:color="auto" w:fill="FFFFFF"/>
              <w:spacing w:after="0" w:line="240" w:lineRule="auto"/>
              <w:ind w:left="279" w:hanging="158"/>
              <w:textAlignment w:val="baseline"/>
              <w:rPr>
                <w:rFonts w:ascii="Century Gothic" w:eastAsia="Times New Roman" w:hAnsi="Century Gothic" w:cs="Times New Roman"/>
                <w:lang w:eastAsia="en-GB"/>
              </w:rPr>
            </w:pPr>
            <w:r>
              <w:rPr>
                <w:rFonts w:ascii="Century Gothic" w:eastAsia="Times New Roman" w:hAnsi="Century Gothic" w:cs="Times New Roman"/>
                <w:lang w:eastAsia="en-GB"/>
              </w:rPr>
              <w:t>Revision Focus: Reading and writing paper</w:t>
            </w:r>
          </w:p>
          <w:p w:rsidR="003017D8" w:rsidRPr="003017D8" w:rsidRDefault="003017D8" w:rsidP="003017D8">
            <w:pPr>
              <w:shd w:val="clear" w:color="auto" w:fill="FFFFFF"/>
              <w:spacing w:after="0" w:line="240" w:lineRule="auto"/>
              <w:ind w:left="45"/>
              <w:textAlignment w:val="baseline"/>
              <w:rPr>
                <w:rFonts w:ascii="Century Gothic" w:eastAsia="Times New Roman" w:hAnsi="Century Gothic" w:cs="Times New Roman"/>
                <w:lang w:eastAsia="en-GB"/>
              </w:rPr>
            </w:pPr>
          </w:p>
        </w:tc>
        <w:tc>
          <w:tcPr>
            <w:tcW w:w="2305" w:type="dxa"/>
          </w:tcPr>
          <w:p w:rsidR="00857508" w:rsidRPr="003017D8" w:rsidRDefault="001D4020" w:rsidP="00620371">
            <w:pPr>
              <w:pStyle w:val="ListParagraph"/>
              <w:numPr>
                <w:ilvl w:val="0"/>
                <w:numId w:val="28"/>
              </w:numPr>
              <w:spacing w:after="0" w:line="240" w:lineRule="auto"/>
              <w:ind w:left="237" w:hanging="200"/>
              <w:rPr>
                <w:rFonts w:ascii="Century Gothic" w:hAnsi="Century Gothic" w:cs="Tahoma"/>
                <w:bCs/>
                <w:color w:val="000000"/>
              </w:rPr>
            </w:pPr>
            <w:r w:rsidRPr="003017D8">
              <w:rPr>
                <w:rFonts w:ascii="Century Gothic" w:hAnsi="Century Gothic" w:cs="Tahoma"/>
                <w:bCs/>
                <w:color w:val="000000"/>
              </w:rPr>
              <w:lastRenderedPageBreak/>
              <w:t xml:space="preserve">Research context influencing all fifteen poets; write essays comparing the </w:t>
            </w:r>
            <w:r w:rsidRPr="003017D8">
              <w:rPr>
                <w:rFonts w:ascii="Century Gothic" w:hAnsi="Century Gothic" w:cs="Tahoma"/>
                <w:bCs/>
                <w:color w:val="000000"/>
              </w:rPr>
              <w:lastRenderedPageBreak/>
              <w:t xml:space="preserve">poems to one another. </w:t>
            </w:r>
          </w:p>
          <w:p w:rsidR="003017D8" w:rsidRPr="000615BC" w:rsidRDefault="003017D8" w:rsidP="00620371">
            <w:pPr>
              <w:pStyle w:val="ListParagraph"/>
              <w:numPr>
                <w:ilvl w:val="0"/>
                <w:numId w:val="28"/>
              </w:numPr>
              <w:shd w:val="clear" w:color="auto" w:fill="FFFFFF"/>
              <w:spacing w:after="0" w:line="240" w:lineRule="auto"/>
              <w:ind w:left="237" w:hanging="200"/>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3</w:t>
            </w:r>
            <w:r w:rsidRPr="000615BC">
              <w:rPr>
                <w:rFonts w:ascii="Century Gothic" w:eastAsia="Times New Roman" w:hAnsi="Century Gothic" w:cs="Times New Roman"/>
                <w:bdr w:val="none" w:sz="0" w:space="0" w:color="auto" w:frame="1"/>
                <w:vertAlign w:val="superscript"/>
                <w:lang w:eastAsia="en-GB"/>
              </w:rPr>
              <w:t>rd</w:t>
            </w:r>
            <w:r w:rsidRPr="000615BC">
              <w:rPr>
                <w:rFonts w:ascii="Century Gothic" w:eastAsia="Times New Roman" w:hAnsi="Century Gothic" w:cs="Times New Roman"/>
                <w:bdr w:val="none" w:sz="0" w:space="0" w:color="auto" w:frame="1"/>
                <w:lang w:eastAsia="en-GB"/>
              </w:rPr>
              <w:t> March</w:t>
            </w:r>
            <w:r>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 World Book Day</w:t>
            </w:r>
          </w:p>
          <w:p w:rsidR="003017D8" w:rsidRPr="003017D8" w:rsidRDefault="003017D8" w:rsidP="00620371">
            <w:pPr>
              <w:pStyle w:val="ListParagraph"/>
              <w:numPr>
                <w:ilvl w:val="0"/>
                <w:numId w:val="28"/>
              </w:numPr>
              <w:shd w:val="clear" w:color="auto" w:fill="FFFFFF"/>
              <w:spacing w:after="0" w:line="240" w:lineRule="auto"/>
              <w:ind w:left="237" w:hanging="200"/>
              <w:textAlignment w:val="baseline"/>
              <w:rPr>
                <w:rFonts w:ascii="Century Gothic" w:eastAsia="Times New Roman" w:hAnsi="Century Gothic" w:cs="Times New Roman"/>
                <w:lang w:eastAsia="en-GB"/>
              </w:rPr>
            </w:pPr>
            <w:r w:rsidRPr="000615BC">
              <w:rPr>
                <w:rFonts w:ascii="Century Gothic" w:eastAsia="Times New Roman" w:hAnsi="Century Gothic" w:cs="Times New Roman"/>
                <w:bdr w:val="none" w:sz="0" w:space="0" w:color="auto" w:frame="1"/>
                <w:lang w:eastAsia="en-GB"/>
              </w:rPr>
              <w:t>21</w:t>
            </w:r>
            <w:r w:rsidRPr="000615BC">
              <w:rPr>
                <w:rFonts w:ascii="Century Gothic" w:eastAsia="Times New Roman" w:hAnsi="Century Gothic" w:cs="Times New Roman"/>
                <w:bdr w:val="none" w:sz="0" w:space="0" w:color="auto" w:frame="1"/>
                <w:vertAlign w:val="superscript"/>
                <w:lang w:eastAsia="en-GB"/>
              </w:rPr>
              <w:t>st</w:t>
            </w:r>
            <w:r w:rsidRPr="000615BC">
              <w:rPr>
                <w:rFonts w:ascii="Century Gothic" w:eastAsia="Times New Roman" w:hAnsi="Century Gothic" w:cs="Times New Roman"/>
                <w:bdr w:val="none" w:sz="0" w:space="0" w:color="auto" w:frame="1"/>
                <w:lang w:eastAsia="en-GB"/>
              </w:rPr>
              <w:t> March</w:t>
            </w:r>
            <w:r>
              <w:rPr>
                <w:rFonts w:ascii="Century Gothic" w:eastAsia="Times New Roman" w:hAnsi="Century Gothic" w:cs="Times New Roman"/>
                <w:bdr w:val="none" w:sz="0" w:space="0" w:color="auto" w:frame="1"/>
                <w:lang w:eastAsia="en-GB"/>
              </w:rPr>
              <w:t xml:space="preserve"> </w:t>
            </w:r>
            <w:r w:rsidRPr="000615BC">
              <w:rPr>
                <w:rFonts w:ascii="Century Gothic" w:eastAsia="Times New Roman" w:hAnsi="Century Gothic" w:cs="Times New Roman"/>
                <w:bdr w:val="none" w:sz="0" w:space="0" w:color="auto" w:frame="1"/>
                <w:lang w:eastAsia="en-GB"/>
              </w:rPr>
              <w:t>- World Poetry Day</w:t>
            </w:r>
          </w:p>
          <w:p w:rsidR="003017D8" w:rsidRPr="003017D8" w:rsidRDefault="003017D8" w:rsidP="00620371">
            <w:pPr>
              <w:pStyle w:val="ListParagraph"/>
              <w:numPr>
                <w:ilvl w:val="0"/>
                <w:numId w:val="28"/>
              </w:numPr>
              <w:shd w:val="clear" w:color="auto" w:fill="FFFFFF"/>
              <w:spacing w:after="0" w:line="240" w:lineRule="auto"/>
              <w:ind w:left="237" w:hanging="200"/>
              <w:textAlignment w:val="baseline"/>
              <w:rPr>
                <w:rFonts w:ascii="Century Gothic" w:eastAsia="Times New Roman" w:hAnsi="Century Gothic" w:cs="Times New Roman"/>
                <w:lang w:eastAsia="en-GB"/>
              </w:rPr>
            </w:pPr>
            <w:r w:rsidRPr="003017D8">
              <w:rPr>
                <w:rFonts w:ascii="Century Gothic" w:eastAsia="Times New Roman" w:hAnsi="Century Gothic" w:cs="Times New Roman"/>
                <w:lang w:eastAsia="en-GB"/>
              </w:rPr>
              <w:t xml:space="preserve">Revision Focus: </w:t>
            </w:r>
            <w:r>
              <w:rPr>
                <w:rFonts w:ascii="Century Gothic" w:eastAsia="Times New Roman" w:hAnsi="Century Gothic" w:cs="Times New Roman"/>
                <w:lang w:eastAsia="en-GB"/>
              </w:rPr>
              <w:t xml:space="preserve">Secondary reading on the novella and poems. </w:t>
            </w:r>
          </w:p>
        </w:tc>
        <w:tc>
          <w:tcPr>
            <w:tcW w:w="2306" w:type="dxa"/>
          </w:tcPr>
          <w:p w:rsidR="00857508" w:rsidRDefault="001D4020" w:rsidP="00620371">
            <w:pPr>
              <w:pStyle w:val="ListParagraph"/>
              <w:numPr>
                <w:ilvl w:val="0"/>
                <w:numId w:val="28"/>
              </w:numPr>
              <w:spacing w:after="0" w:line="240" w:lineRule="auto"/>
              <w:ind w:left="352" w:hanging="227"/>
              <w:rPr>
                <w:rFonts w:ascii="Century Gothic" w:hAnsi="Century Gothic" w:cs="Tahoma"/>
                <w:bCs/>
                <w:color w:val="000000"/>
              </w:rPr>
            </w:pPr>
            <w:r w:rsidRPr="003017D8">
              <w:rPr>
                <w:rFonts w:ascii="Century Gothic" w:hAnsi="Century Gothic" w:cs="Tahoma"/>
                <w:bCs/>
                <w:color w:val="000000"/>
              </w:rPr>
              <w:lastRenderedPageBreak/>
              <w:t>Reading of a full range of 19</w:t>
            </w:r>
            <w:r w:rsidRPr="003017D8">
              <w:rPr>
                <w:rFonts w:ascii="Century Gothic" w:hAnsi="Century Gothic" w:cs="Tahoma"/>
                <w:bCs/>
                <w:color w:val="000000"/>
                <w:vertAlign w:val="superscript"/>
              </w:rPr>
              <w:t>th</w:t>
            </w:r>
            <w:r w:rsidRPr="003017D8">
              <w:rPr>
                <w:rFonts w:ascii="Century Gothic" w:hAnsi="Century Gothic" w:cs="Tahoma"/>
                <w:bCs/>
                <w:color w:val="000000"/>
              </w:rPr>
              <w:t xml:space="preserve"> Century fiction texts, considering writers’ </w:t>
            </w:r>
            <w:r w:rsidRPr="003017D8">
              <w:rPr>
                <w:rFonts w:ascii="Century Gothic" w:hAnsi="Century Gothic" w:cs="Tahoma"/>
                <w:bCs/>
                <w:color w:val="000000"/>
              </w:rPr>
              <w:lastRenderedPageBreak/>
              <w:t>purposes and intentions.</w:t>
            </w:r>
          </w:p>
          <w:p w:rsidR="009418DD" w:rsidRPr="009418DD" w:rsidRDefault="009418DD" w:rsidP="00620371">
            <w:pPr>
              <w:pStyle w:val="ListParagraph"/>
              <w:numPr>
                <w:ilvl w:val="0"/>
                <w:numId w:val="28"/>
              </w:numPr>
              <w:spacing w:after="0" w:line="240" w:lineRule="auto"/>
              <w:ind w:left="352" w:hanging="227"/>
              <w:rPr>
                <w:rFonts w:ascii="Century Gothic" w:hAnsi="Century Gothic" w:cs="Tahoma"/>
                <w:bCs/>
                <w:color w:val="000000"/>
              </w:rPr>
            </w:pPr>
            <w:r>
              <w:rPr>
                <w:rFonts w:ascii="Century Gothic" w:hAnsi="Century Gothic"/>
                <w:color w:val="000000"/>
                <w:shd w:val="clear" w:color="auto" w:fill="FFFFFF"/>
              </w:rPr>
              <w:t>May - National share a story month</w:t>
            </w:r>
          </w:p>
          <w:p w:rsidR="009418DD" w:rsidRPr="003017D8" w:rsidRDefault="009418DD" w:rsidP="00620371">
            <w:pPr>
              <w:pStyle w:val="ListParagraph"/>
              <w:numPr>
                <w:ilvl w:val="0"/>
                <w:numId w:val="28"/>
              </w:numPr>
              <w:spacing w:after="0" w:line="240" w:lineRule="auto"/>
              <w:ind w:left="352" w:hanging="227"/>
              <w:rPr>
                <w:rFonts w:ascii="Century Gothic" w:hAnsi="Century Gothic" w:cs="Tahoma"/>
                <w:bCs/>
                <w:color w:val="000000"/>
              </w:rPr>
            </w:pPr>
            <w:r>
              <w:rPr>
                <w:rFonts w:ascii="Century Gothic" w:hAnsi="Century Gothic" w:cs="Tahoma"/>
                <w:bCs/>
                <w:color w:val="000000"/>
              </w:rPr>
              <w:t xml:space="preserve">Revision Focus: Reading and writing paper </w:t>
            </w:r>
          </w:p>
        </w:tc>
        <w:tc>
          <w:tcPr>
            <w:tcW w:w="2305" w:type="dxa"/>
          </w:tcPr>
          <w:p w:rsidR="00857508" w:rsidRPr="00E16419" w:rsidRDefault="001D4020" w:rsidP="00857508">
            <w:pPr>
              <w:spacing w:after="0" w:line="240" w:lineRule="auto"/>
              <w:rPr>
                <w:rFonts w:ascii="Century Gothic" w:hAnsi="Century Gothic" w:cs="Tahoma"/>
                <w:bCs/>
                <w:color w:val="000000"/>
              </w:rPr>
            </w:pPr>
            <w:r>
              <w:rPr>
                <w:rFonts w:ascii="Century Gothic" w:hAnsi="Century Gothic" w:cs="Tahoma"/>
                <w:bCs/>
                <w:color w:val="000000"/>
              </w:rPr>
              <w:lastRenderedPageBreak/>
              <w:t>Revision</w:t>
            </w:r>
          </w:p>
        </w:tc>
        <w:tc>
          <w:tcPr>
            <w:tcW w:w="2306" w:type="dxa"/>
          </w:tcPr>
          <w:p w:rsidR="00857508" w:rsidRPr="00E16419" w:rsidRDefault="00857508" w:rsidP="00857508">
            <w:pPr>
              <w:spacing w:after="0" w:line="240" w:lineRule="auto"/>
              <w:rPr>
                <w:rFonts w:ascii="Century Gothic" w:hAnsi="Century Gothic" w:cs="Tahoma"/>
                <w:bCs/>
                <w:color w:val="000000"/>
              </w:rPr>
            </w:pPr>
          </w:p>
        </w:tc>
      </w:tr>
    </w:tbl>
    <w:p w:rsidR="0023206D" w:rsidRDefault="0023206D" w:rsidP="00E16419">
      <w:pPr>
        <w:spacing w:after="0" w:line="240" w:lineRule="auto"/>
        <w:rPr>
          <w:rFonts w:ascii="Century Gothic" w:hAnsi="Century Gothic" w:cs="Tahoma"/>
          <w:bCs/>
          <w:color w:val="000000"/>
        </w:rPr>
      </w:pPr>
    </w:p>
    <w:sectPr w:rsidR="0023206D"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9pt;height:215.1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A7141"/>
    <w:multiLevelType w:val="hybridMultilevel"/>
    <w:tmpl w:val="3244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63A26"/>
    <w:multiLevelType w:val="hybridMultilevel"/>
    <w:tmpl w:val="E3F8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620CF"/>
    <w:multiLevelType w:val="hybridMultilevel"/>
    <w:tmpl w:val="ED3A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64E83"/>
    <w:multiLevelType w:val="hybridMultilevel"/>
    <w:tmpl w:val="7452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D6175"/>
    <w:multiLevelType w:val="hybridMultilevel"/>
    <w:tmpl w:val="78BA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164C6"/>
    <w:multiLevelType w:val="hybridMultilevel"/>
    <w:tmpl w:val="5E66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303A95"/>
    <w:multiLevelType w:val="hybridMultilevel"/>
    <w:tmpl w:val="D450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2"/>
  </w:num>
  <w:num w:numId="4">
    <w:abstractNumId w:val="27"/>
  </w:num>
  <w:num w:numId="5">
    <w:abstractNumId w:val="8"/>
  </w:num>
  <w:num w:numId="6">
    <w:abstractNumId w:val="9"/>
  </w:num>
  <w:num w:numId="7">
    <w:abstractNumId w:val="20"/>
  </w:num>
  <w:num w:numId="8">
    <w:abstractNumId w:val="15"/>
  </w:num>
  <w:num w:numId="9">
    <w:abstractNumId w:val="3"/>
  </w:num>
  <w:num w:numId="10">
    <w:abstractNumId w:val="0"/>
  </w:num>
  <w:num w:numId="11">
    <w:abstractNumId w:val="14"/>
  </w:num>
  <w:num w:numId="12">
    <w:abstractNumId w:val="18"/>
  </w:num>
  <w:num w:numId="13">
    <w:abstractNumId w:val="16"/>
  </w:num>
  <w:num w:numId="14">
    <w:abstractNumId w:val="5"/>
  </w:num>
  <w:num w:numId="15">
    <w:abstractNumId w:val="2"/>
  </w:num>
  <w:num w:numId="16">
    <w:abstractNumId w:val="12"/>
  </w:num>
  <w:num w:numId="17">
    <w:abstractNumId w:val="10"/>
  </w:num>
  <w:num w:numId="18">
    <w:abstractNumId w:val="21"/>
  </w:num>
  <w:num w:numId="19">
    <w:abstractNumId w:val="23"/>
  </w:num>
  <w:num w:numId="20">
    <w:abstractNumId w:val="4"/>
  </w:num>
  <w:num w:numId="21">
    <w:abstractNumId w:val="1"/>
  </w:num>
  <w:num w:numId="22">
    <w:abstractNumId w:val="11"/>
  </w:num>
  <w:num w:numId="23">
    <w:abstractNumId w:val="24"/>
  </w:num>
  <w:num w:numId="24">
    <w:abstractNumId w:val="6"/>
  </w:num>
  <w:num w:numId="25">
    <w:abstractNumId w:val="19"/>
  </w:num>
  <w:num w:numId="26">
    <w:abstractNumId w:val="26"/>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05D8"/>
    <w:rsid w:val="00001370"/>
    <w:rsid w:val="0000232F"/>
    <w:rsid w:val="00020CCE"/>
    <w:rsid w:val="00032223"/>
    <w:rsid w:val="00037B48"/>
    <w:rsid w:val="000400BB"/>
    <w:rsid w:val="00042531"/>
    <w:rsid w:val="0005049A"/>
    <w:rsid w:val="000636AA"/>
    <w:rsid w:val="000F38D7"/>
    <w:rsid w:val="001016C8"/>
    <w:rsid w:val="00105FE4"/>
    <w:rsid w:val="00127BAD"/>
    <w:rsid w:val="001644CD"/>
    <w:rsid w:val="00170EA7"/>
    <w:rsid w:val="001908D3"/>
    <w:rsid w:val="0019334A"/>
    <w:rsid w:val="001B5652"/>
    <w:rsid w:val="001C7DEB"/>
    <w:rsid w:val="001D4020"/>
    <w:rsid w:val="001F1933"/>
    <w:rsid w:val="001F3EDA"/>
    <w:rsid w:val="002172E8"/>
    <w:rsid w:val="002202DB"/>
    <w:rsid w:val="0023206D"/>
    <w:rsid w:val="0023423A"/>
    <w:rsid w:val="00235D12"/>
    <w:rsid w:val="002443B5"/>
    <w:rsid w:val="00281902"/>
    <w:rsid w:val="00284018"/>
    <w:rsid w:val="002A3C8F"/>
    <w:rsid w:val="002B69AE"/>
    <w:rsid w:val="002C3811"/>
    <w:rsid w:val="002E788E"/>
    <w:rsid w:val="003017D8"/>
    <w:rsid w:val="00304B61"/>
    <w:rsid w:val="00311FA6"/>
    <w:rsid w:val="00320616"/>
    <w:rsid w:val="003538FE"/>
    <w:rsid w:val="00355EC5"/>
    <w:rsid w:val="003613BF"/>
    <w:rsid w:val="00397C0F"/>
    <w:rsid w:val="003A017B"/>
    <w:rsid w:val="003A7E33"/>
    <w:rsid w:val="003B1431"/>
    <w:rsid w:val="003C3B58"/>
    <w:rsid w:val="00400C82"/>
    <w:rsid w:val="00412887"/>
    <w:rsid w:val="004522BA"/>
    <w:rsid w:val="004655BC"/>
    <w:rsid w:val="00470A6D"/>
    <w:rsid w:val="0047269C"/>
    <w:rsid w:val="0047765C"/>
    <w:rsid w:val="004A4B6D"/>
    <w:rsid w:val="004B037E"/>
    <w:rsid w:val="004B1D8A"/>
    <w:rsid w:val="004B7BF4"/>
    <w:rsid w:val="004E52FC"/>
    <w:rsid w:val="005131A6"/>
    <w:rsid w:val="00576408"/>
    <w:rsid w:val="0058029E"/>
    <w:rsid w:val="00584996"/>
    <w:rsid w:val="00587F4D"/>
    <w:rsid w:val="00593832"/>
    <w:rsid w:val="005947D1"/>
    <w:rsid w:val="005A0CCE"/>
    <w:rsid w:val="005A2962"/>
    <w:rsid w:val="005A4F89"/>
    <w:rsid w:val="005A6A79"/>
    <w:rsid w:val="005D5C09"/>
    <w:rsid w:val="00620371"/>
    <w:rsid w:val="00673BAB"/>
    <w:rsid w:val="006C5CA4"/>
    <w:rsid w:val="006D2479"/>
    <w:rsid w:val="006E3780"/>
    <w:rsid w:val="00743396"/>
    <w:rsid w:val="00751202"/>
    <w:rsid w:val="00777C4F"/>
    <w:rsid w:val="007A7F2D"/>
    <w:rsid w:val="00826BBB"/>
    <w:rsid w:val="0083184B"/>
    <w:rsid w:val="00842113"/>
    <w:rsid w:val="00857508"/>
    <w:rsid w:val="00864697"/>
    <w:rsid w:val="00887EDC"/>
    <w:rsid w:val="00893BFD"/>
    <w:rsid w:val="008C0E2C"/>
    <w:rsid w:val="008C354D"/>
    <w:rsid w:val="008C4F58"/>
    <w:rsid w:val="008D6C35"/>
    <w:rsid w:val="00911AA4"/>
    <w:rsid w:val="0092293F"/>
    <w:rsid w:val="009418DD"/>
    <w:rsid w:val="00967B35"/>
    <w:rsid w:val="009753FC"/>
    <w:rsid w:val="009A0BC7"/>
    <w:rsid w:val="009B5639"/>
    <w:rsid w:val="009C1D76"/>
    <w:rsid w:val="009C2320"/>
    <w:rsid w:val="009D6A2F"/>
    <w:rsid w:val="00A11E89"/>
    <w:rsid w:val="00A22009"/>
    <w:rsid w:val="00A4743F"/>
    <w:rsid w:val="00A91BF6"/>
    <w:rsid w:val="00AF471C"/>
    <w:rsid w:val="00B20260"/>
    <w:rsid w:val="00B2253F"/>
    <w:rsid w:val="00B359D8"/>
    <w:rsid w:val="00B57528"/>
    <w:rsid w:val="00B61A10"/>
    <w:rsid w:val="00BB4836"/>
    <w:rsid w:val="00BC3F7F"/>
    <w:rsid w:val="00BD6726"/>
    <w:rsid w:val="00BE1FA1"/>
    <w:rsid w:val="00BE6AD8"/>
    <w:rsid w:val="00C00353"/>
    <w:rsid w:val="00C24C1E"/>
    <w:rsid w:val="00C31356"/>
    <w:rsid w:val="00C42544"/>
    <w:rsid w:val="00C50435"/>
    <w:rsid w:val="00C63580"/>
    <w:rsid w:val="00C7134F"/>
    <w:rsid w:val="00C9145B"/>
    <w:rsid w:val="00CB7125"/>
    <w:rsid w:val="00CB72C3"/>
    <w:rsid w:val="00CD2F36"/>
    <w:rsid w:val="00D15A56"/>
    <w:rsid w:val="00D415D0"/>
    <w:rsid w:val="00D56A3B"/>
    <w:rsid w:val="00D62D61"/>
    <w:rsid w:val="00D7032B"/>
    <w:rsid w:val="00DB466C"/>
    <w:rsid w:val="00DB7F16"/>
    <w:rsid w:val="00DC4B86"/>
    <w:rsid w:val="00DC604A"/>
    <w:rsid w:val="00DD7762"/>
    <w:rsid w:val="00DE0B69"/>
    <w:rsid w:val="00DE2C62"/>
    <w:rsid w:val="00DF6D55"/>
    <w:rsid w:val="00E16419"/>
    <w:rsid w:val="00E301F2"/>
    <w:rsid w:val="00E50A3B"/>
    <w:rsid w:val="00E540A6"/>
    <w:rsid w:val="00E8230A"/>
    <w:rsid w:val="00E96808"/>
    <w:rsid w:val="00EB31D5"/>
    <w:rsid w:val="00ED451C"/>
    <w:rsid w:val="00F024DF"/>
    <w:rsid w:val="00F03625"/>
    <w:rsid w:val="00F11E0C"/>
    <w:rsid w:val="00F14C19"/>
    <w:rsid w:val="00F17778"/>
    <w:rsid w:val="00F26F79"/>
    <w:rsid w:val="00F42478"/>
    <w:rsid w:val="00F45A2B"/>
    <w:rsid w:val="00F60840"/>
    <w:rsid w:val="00F67129"/>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F7F19"/>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976A-D255-42CB-AE69-0140FA54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Ayre</dc:creator>
  <cp:lastModifiedBy>Catterina Maiolani-Margetts</cp:lastModifiedBy>
  <cp:revision>5</cp:revision>
  <cp:lastPrinted>2017-01-30T07:48:00Z</cp:lastPrinted>
  <dcterms:created xsi:type="dcterms:W3CDTF">2023-07-04T06:43:00Z</dcterms:created>
  <dcterms:modified xsi:type="dcterms:W3CDTF">2023-07-19T09:10:00Z</dcterms:modified>
</cp:coreProperties>
</file>