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1"/>
        <w:gridCol w:w="2237"/>
        <w:gridCol w:w="2578"/>
        <w:gridCol w:w="2418"/>
        <w:gridCol w:w="2410"/>
        <w:gridCol w:w="2268"/>
        <w:gridCol w:w="1926"/>
      </w:tblGrid>
      <w:tr w:rsidR="00D56A3B" w:rsidTr="00431348">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771FF">
              <w:rPr>
                <w:rFonts w:ascii="Century Gothic" w:hAnsi="Century Gothic" w:cs="Tahoma"/>
                <w:b/>
                <w:bCs/>
                <w:color w:val="000000"/>
              </w:rPr>
              <w:t>1</w:t>
            </w:r>
            <w:r w:rsidR="00D87D47">
              <w:rPr>
                <w:rFonts w:ascii="Century Gothic" w:hAnsi="Century Gothic" w:cs="Tahoma"/>
                <w:b/>
                <w:bCs/>
                <w:color w:val="000000"/>
              </w:rPr>
              <w:t>1</w:t>
            </w:r>
            <w:r w:rsidR="00F220EB">
              <w:rPr>
                <w:rFonts w:ascii="Century Gothic" w:hAnsi="Century Gothic" w:cs="Tahoma"/>
                <w:b/>
                <w:bCs/>
                <w:color w:val="000000"/>
              </w:rPr>
              <w:t xml:space="preserve"> </w:t>
            </w:r>
            <w:r w:rsidR="006636B6">
              <w:rPr>
                <w:rFonts w:ascii="Century Gothic" w:hAnsi="Century Gothic" w:cs="Tahoma"/>
                <w:b/>
                <w:bCs/>
                <w:color w:val="000000"/>
              </w:rPr>
              <w:t>Enterprise and Marketing</w:t>
            </w:r>
          </w:p>
        </w:tc>
      </w:tr>
      <w:tr w:rsidR="00C23B63" w:rsidTr="00431348">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7" w:type="dxa"/>
            <w:gridSpan w:val="6"/>
          </w:tcPr>
          <w:p w:rsidR="005131A6" w:rsidRPr="00C21A27" w:rsidRDefault="00390C23" w:rsidP="00C21A27">
            <w:pPr>
              <w:spacing w:after="0" w:line="240" w:lineRule="auto"/>
              <w:rPr>
                <w:rFonts w:ascii="Century Gothic" w:hAnsi="Century Gothic" w:cs="Tahoma"/>
                <w:bCs/>
                <w:color w:val="000000"/>
                <w:sz w:val="18"/>
              </w:rPr>
            </w:pPr>
            <w:r>
              <w:rPr>
                <w:rFonts w:ascii="Century Gothic" w:hAnsi="Century Gothic" w:cs="Tahoma"/>
                <w:bCs/>
                <w:color w:val="000000"/>
                <w:sz w:val="18"/>
              </w:rPr>
              <w:t>The curriculum has been designed to challenge, inspire and engage all students, offering them an insight into the considerations and decision that need to be made when running your own business. While the course focuses mainly on the enterprise and marketing aspects of a business, students are still given an overview of all functional areas of a business and will learn how each of these areas must work together to make a successful business. Students will use real life case studies on a range of businesses from small sole traders to large multinationals, that will be used to support their learning and which will allow them to apply their learning to the real world.</w:t>
            </w:r>
          </w:p>
        </w:tc>
      </w:tr>
      <w:tr w:rsidR="001D608E" w:rsidTr="00CE4A8D">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3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57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41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9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790CCF" w:rsidTr="00CE4A8D">
        <w:tc>
          <w:tcPr>
            <w:tcW w:w="1551" w:type="dxa"/>
          </w:tcPr>
          <w:p w:rsidR="00790CCF" w:rsidRPr="00D56A3B" w:rsidRDefault="00790CCF" w:rsidP="00790CCF">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37" w:type="dxa"/>
          </w:tcPr>
          <w:p w:rsidR="000F087D" w:rsidRDefault="000F087D" w:rsidP="000F087D">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 xml:space="preserve">Costs of producing a product or </w:t>
            </w:r>
            <w:r w:rsidR="002F6077">
              <w:rPr>
                <w:rFonts w:ascii="Century Gothic" w:eastAsia="Times New Roman" w:hAnsi="Century Gothic" w:cs="Calibri"/>
                <w:color w:val="000000"/>
                <w:sz w:val="18"/>
                <w:szCs w:val="18"/>
                <w:lang w:eastAsia="en-GB"/>
              </w:rPr>
              <w:t xml:space="preserve">service - Fixed and Variable Costs </w:t>
            </w:r>
          </w:p>
          <w:p w:rsidR="002F6077" w:rsidRDefault="002F6077" w:rsidP="000F087D">
            <w:pPr>
              <w:spacing w:after="0" w:line="240" w:lineRule="auto"/>
              <w:rPr>
                <w:rFonts w:ascii="Century Gothic" w:hAnsi="Century Gothic" w:cs="Tahoma"/>
                <w:bCs/>
                <w:color w:val="000000"/>
                <w:sz w:val="18"/>
                <w:szCs w:val="18"/>
              </w:rPr>
            </w:pPr>
          </w:p>
          <w:p w:rsidR="002F6077" w:rsidRDefault="002F6077" w:rsidP="000F087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Calculating Revenue </w:t>
            </w:r>
          </w:p>
          <w:p w:rsidR="002F6077" w:rsidRDefault="002F6077" w:rsidP="000F087D">
            <w:pPr>
              <w:spacing w:after="0" w:line="240" w:lineRule="auto"/>
              <w:rPr>
                <w:rFonts w:ascii="Century Gothic" w:hAnsi="Century Gothic" w:cs="Tahoma"/>
                <w:bCs/>
                <w:color w:val="000000"/>
                <w:sz w:val="18"/>
                <w:szCs w:val="18"/>
              </w:rPr>
            </w:pPr>
          </w:p>
          <w:p w:rsidR="002F6077" w:rsidRDefault="002F6077" w:rsidP="000F087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Calculating Profit </w:t>
            </w:r>
          </w:p>
          <w:p w:rsidR="002F6077" w:rsidRDefault="002F6077" w:rsidP="000F087D">
            <w:pPr>
              <w:spacing w:after="0" w:line="240" w:lineRule="auto"/>
              <w:rPr>
                <w:rFonts w:ascii="Century Gothic" w:hAnsi="Century Gothic" w:cs="Tahoma"/>
                <w:bCs/>
                <w:color w:val="000000"/>
                <w:sz w:val="18"/>
                <w:szCs w:val="18"/>
              </w:rPr>
            </w:pPr>
          </w:p>
          <w:p w:rsidR="002F6077" w:rsidRDefault="002F6077" w:rsidP="000F087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Breakeven</w:t>
            </w:r>
          </w:p>
          <w:p w:rsidR="002F6077" w:rsidRDefault="002F6077" w:rsidP="000F087D">
            <w:pPr>
              <w:spacing w:after="0" w:line="240" w:lineRule="auto"/>
              <w:rPr>
                <w:rFonts w:ascii="Century Gothic" w:hAnsi="Century Gothic" w:cs="Tahoma"/>
                <w:bCs/>
                <w:color w:val="000000"/>
                <w:sz w:val="18"/>
                <w:szCs w:val="18"/>
              </w:rPr>
            </w:pPr>
          </w:p>
          <w:p w:rsidR="002F6077" w:rsidRDefault="002F6077" w:rsidP="000F087D">
            <w:pPr>
              <w:spacing w:after="0" w:line="240" w:lineRule="auto"/>
              <w:rPr>
                <w:rFonts w:ascii="Century Gothic" w:hAnsi="Century Gothic" w:cs="Tahoma"/>
                <w:bCs/>
                <w:color w:val="000000"/>
                <w:sz w:val="18"/>
                <w:szCs w:val="18"/>
              </w:rPr>
            </w:pPr>
            <w:r w:rsidRPr="00ED1664">
              <w:rPr>
                <w:rFonts w:ascii="Century Gothic" w:hAnsi="Century Gothic" w:cs="Tahoma"/>
                <w:b/>
                <w:bCs/>
                <w:color w:val="000000"/>
                <w:sz w:val="18"/>
                <w:szCs w:val="18"/>
              </w:rPr>
              <w:t>Recap</w:t>
            </w:r>
            <w:r>
              <w:rPr>
                <w:rFonts w:ascii="Century Gothic" w:hAnsi="Century Gothic" w:cs="Tahoma"/>
                <w:bCs/>
                <w:color w:val="000000"/>
                <w:sz w:val="18"/>
                <w:szCs w:val="18"/>
              </w:rPr>
              <w:t>: Market Segmentation</w:t>
            </w:r>
          </w:p>
          <w:p w:rsidR="002F6077" w:rsidRDefault="002F6077" w:rsidP="000F087D">
            <w:pPr>
              <w:spacing w:after="0" w:line="240" w:lineRule="auto"/>
              <w:rPr>
                <w:rFonts w:ascii="Century Gothic" w:hAnsi="Century Gothic" w:cs="Tahoma"/>
                <w:bCs/>
                <w:color w:val="000000"/>
                <w:sz w:val="18"/>
                <w:szCs w:val="18"/>
              </w:rPr>
            </w:pPr>
          </w:p>
          <w:p w:rsidR="002F6077" w:rsidRPr="00670FF5" w:rsidRDefault="002F6077" w:rsidP="000F087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Market Research  </w:t>
            </w:r>
          </w:p>
          <w:p w:rsidR="00927ECF" w:rsidRPr="00670FF5" w:rsidRDefault="00927ECF" w:rsidP="00790CCF">
            <w:pPr>
              <w:spacing w:after="0" w:line="240" w:lineRule="auto"/>
              <w:rPr>
                <w:rFonts w:ascii="Century Gothic" w:hAnsi="Century Gothic" w:cs="Tahoma"/>
                <w:bCs/>
                <w:color w:val="000000"/>
                <w:sz w:val="18"/>
                <w:szCs w:val="18"/>
              </w:rPr>
            </w:pPr>
          </w:p>
        </w:tc>
        <w:tc>
          <w:tcPr>
            <w:tcW w:w="2578" w:type="dxa"/>
          </w:tcPr>
          <w:p w:rsidR="00F44F15" w:rsidRDefault="00F44F15"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How to create Product Differentiation</w:t>
            </w:r>
          </w:p>
          <w:p w:rsidR="00F44F15" w:rsidRDefault="00F44F15" w:rsidP="0066623B">
            <w:pPr>
              <w:spacing w:after="0" w:line="240" w:lineRule="auto"/>
              <w:rPr>
                <w:rFonts w:ascii="Century Gothic" w:hAnsi="Century Gothic" w:cs="Tahoma"/>
                <w:bCs/>
                <w:color w:val="000000"/>
                <w:sz w:val="18"/>
                <w:szCs w:val="18"/>
              </w:rPr>
            </w:pPr>
          </w:p>
          <w:p w:rsidR="00F44F15" w:rsidRDefault="00F44F15"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Identifying a clear Unique Selling Point </w:t>
            </w:r>
          </w:p>
          <w:p w:rsidR="00F44F15" w:rsidRDefault="00F44F15" w:rsidP="0066623B">
            <w:pPr>
              <w:spacing w:after="0" w:line="240" w:lineRule="auto"/>
              <w:rPr>
                <w:rFonts w:ascii="Century Gothic" w:hAnsi="Century Gothic" w:cs="Tahoma"/>
                <w:bCs/>
                <w:color w:val="000000"/>
                <w:sz w:val="18"/>
                <w:szCs w:val="18"/>
              </w:rPr>
            </w:pPr>
          </w:p>
          <w:p w:rsidR="00F44F15" w:rsidRDefault="00F44F15"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Design Mix Model</w:t>
            </w:r>
          </w:p>
          <w:p w:rsidR="00F44F15" w:rsidRDefault="00F44F15" w:rsidP="0066623B">
            <w:pPr>
              <w:spacing w:after="0" w:line="240" w:lineRule="auto"/>
              <w:rPr>
                <w:rFonts w:ascii="Century Gothic" w:hAnsi="Century Gothic" w:cs="Tahoma"/>
                <w:bCs/>
                <w:color w:val="000000"/>
                <w:sz w:val="18"/>
                <w:szCs w:val="18"/>
              </w:rPr>
            </w:pPr>
          </w:p>
          <w:p w:rsidR="00F44F15" w:rsidRDefault="00F44F15"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External Factors on Product Development </w:t>
            </w:r>
          </w:p>
          <w:p w:rsidR="00F44F15" w:rsidRDefault="00F44F15" w:rsidP="0066623B">
            <w:pPr>
              <w:spacing w:after="0" w:line="240" w:lineRule="auto"/>
              <w:rPr>
                <w:rFonts w:ascii="Century Gothic" w:hAnsi="Century Gothic" w:cs="Tahoma"/>
                <w:bCs/>
                <w:color w:val="000000"/>
                <w:sz w:val="18"/>
                <w:szCs w:val="18"/>
              </w:rPr>
            </w:pPr>
          </w:p>
          <w:p w:rsidR="00F44F15" w:rsidRDefault="00F44F15"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Legal Issues</w:t>
            </w:r>
          </w:p>
          <w:p w:rsidR="007D109C" w:rsidRDefault="007D109C"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Presentation skills </w:t>
            </w:r>
            <w:bookmarkStart w:id="0" w:name="_GoBack"/>
            <w:bookmarkEnd w:id="0"/>
          </w:p>
          <w:p w:rsidR="00ED1664" w:rsidRDefault="00ED1664" w:rsidP="0066623B">
            <w:pPr>
              <w:spacing w:after="0" w:line="240" w:lineRule="auto"/>
              <w:rPr>
                <w:rFonts w:ascii="Century Gothic" w:hAnsi="Century Gothic" w:cs="Tahoma"/>
                <w:bCs/>
                <w:color w:val="000000"/>
                <w:sz w:val="18"/>
                <w:szCs w:val="18"/>
              </w:rPr>
            </w:pPr>
          </w:p>
          <w:p w:rsidR="00ED1664" w:rsidRDefault="00ED1664" w:rsidP="00ED1664">
            <w:pPr>
              <w:spacing w:after="0" w:line="240" w:lineRule="auto"/>
              <w:rPr>
                <w:rFonts w:ascii="Century Gothic" w:hAnsi="Century Gothic" w:cs="Tahoma"/>
                <w:bCs/>
                <w:color w:val="000000"/>
                <w:sz w:val="18"/>
                <w:szCs w:val="18"/>
              </w:rPr>
            </w:pPr>
            <w:r w:rsidRPr="00ED1664">
              <w:rPr>
                <w:rFonts w:ascii="Century Gothic" w:hAnsi="Century Gothic" w:cs="Tahoma"/>
                <w:b/>
                <w:bCs/>
                <w:color w:val="000000"/>
                <w:sz w:val="18"/>
                <w:szCs w:val="18"/>
              </w:rPr>
              <w:t>Recap</w:t>
            </w:r>
            <w:r>
              <w:rPr>
                <w:rFonts w:ascii="Century Gothic" w:hAnsi="Century Gothic" w:cs="Tahoma"/>
                <w:bCs/>
                <w:color w:val="000000"/>
                <w:sz w:val="18"/>
                <w:szCs w:val="18"/>
              </w:rPr>
              <w:t>: Product Lifecycle</w:t>
            </w:r>
          </w:p>
          <w:p w:rsidR="00ED1664" w:rsidRPr="00670FF5" w:rsidRDefault="00ED1664" w:rsidP="0066623B">
            <w:pPr>
              <w:spacing w:after="0" w:line="240" w:lineRule="auto"/>
              <w:rPr>
                <w:rFonts w:ascii="Century Gothic" w:hAnsi="Century Gothic" w:cs="Tahoma"/>
                <w:bCs/>
                <w:color w:val="000000"/>
                <w:sz w:val="18"/>
                <w:szCs w:val="18"/>
              </w:rPr>
            </w:pPr>
          </w:p>
        </w:tc>
        <w:tc>
          <w:tcPr>
            <w:tcW w:w="2418" w:type="dxa"/>
          </w:tcPr>
          <w:p w:rsidR="00480A61" w:rsidRDefault="00DF70C4" w:rsidP="00F44F15">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 </w:t>
            </w:r>
            <w:r w:rsidR="005A6A07">
              <w:rPr>
                <w:rFonts w:ascii="Century Gothic" w:hAnsi="Century Gothic" w:cs="Tahoma"/>
                <w:bCs/>
                <w:color w:val="000000"/>
                <w:sz w:val="18"/>
              </w:rPr>
              <w:t xml:space="preserve">Factors to consider when pricing a product to attract and retain customers </w:t>
            </w:r>
          </w:p>
          <w:p w:rsidR="005A6A07" w:rsidRDefault="005A6A07" w:rsidP="00F44F15">
            <w:pPr>
              <w:spacing w:after="0" w:line="240" w:lineRule="auto"/>
              <w:rPr>
                <w:rFonts w:ascii="Century Gothic" w:hAnsi="Century Gothic" w:cs="Tahoma"/>
                <w:bCs/>
                <w:color w:val="000000"/>
                <w:sz w:val="18"/>
              </w:rPr>
            </w:pPr>
          </w:p>
          <w:p w:rsidR="005A6A07" w:rsidRDefault="005A6A07" w:rsidP="00F44F15">
            <w:pPr>
              <w:spacing w:after="0" w:line="240" w:lineRule="auto"/>
              <w:rPr>
                <w:rFonts w:ascii="Century Gothic" w:hAnsi="Century Gothic" w:cs="Tahoma"/>
                <w:bCs/>
                <w:color w:val="000000"/>
                <w:sz w:val="18"/>
              </w:rPr>
            </w:pPr>
            <w:r>
              <w:rPr>
                <w:rFonts w:ascii="Century Gothic" w:hAnsi="Century Gothic" w:cs="Tahoma"/>
                <w:bCs/>
                <w:color w:val="000000"/>
                <w:sz w:val="18"/>
              </w:rPr>
              <w:t>Pricing Strategies</w:t>
            </w:r>
          </w:p>
          <w:p w:rsidR="005A6A07" w:rsidRDefault="005A6A07" w:rsidP="00F44F15">
            <w:pPr>
              <w:spacing w:after="0" w:line="240" w:lineRule="auto"/>
              <w:rPr>
                <w:rFonts w:ascii="Century Gothic" w:hAnsi="Century Gothic" w:cs="Tahoma"/>
                <w:bCs/>
                <w:color w:val="000000"/>
                <w:sz w:val="18"/>
              </w:rPr>
            </w:pPr>
          </w:p>
          <w:p w:rsidR="005A6A07" w:rsidRDefault="005A6A07" w:rsidP="00F44F15">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Methods of Promotion  </w:t>
            </w:r>
          </w:p>
          <w:p w:rsidR="005A6A07" w:rsidRDefault="005A6A07" w:rsidP="00F44F15">
            <w:pPr>
              <w:spacing w:after="0" w:line="240" w:lineRule="auto"/>
              <w:rPr>
                <w:rFonts w:ascii="Century Gothic" w:hAnsi="Century Gothic" w:cs="Tahoma"/>
                <w:bCs/>
                <w:color w:val="000000"/>
                <w:sz w:val="18"/>
              </w:rPr>
            </w:pPr>
          </w:p>
          <w:p w:rsidR="005A6A07" w:rsidRDefault="005A6A07" w:rsidP="00F44F15">
            <w:pPr>
              <w:spacing w:after="0" w:line="240" w:lineRule="auto"/>
              <w:rPr>
                <w:rFonts w:ascii="Century Gothic" w:hAnsi="Century Gothic" w:cs="Tahoma"/>
                <w:bCs/>
                <w:color w:val="000000"/>
                <w:sz w:val="18"/>
              </w:rPr>
            </w:pPr>
            <w:r>
              <w:rPr>
                <w:rFonts w:ascii="Century Gothic" w:hAnsi="Century Gothic" w:cs="Tahoma"/>
                <w:bCs/>
                <w:color w:val="000000"/>
                <w:sz w:val="18"/>
              </w:rPr>
              <w:t>Sales Promotion Techniques</w:t>
            </w:r>
          </w:p>
          <w:p w:rsidR="00E27AD5" w:rsidRDefault="00E27AD5" w:rsidP="00F44F15">
            <w:pPr>
              <w:spacing w:after="0" w:line="240" w:lineRule="auto"/>
              <w:rPr>
                <w:rFonts w:ascii="Century Gothic" w:hAnsi="Century Gothic" w:cs="Tahoma"/>
                <w:bCs/>
                <w:color w:val="000000"/>
                <w:sz w:val="18"/>
              </w:rPr>
            </w:pPr>
          </w:p>
          <w:p w:rsidR="00E27AD5" w:rsidRDefault="00E27AD5" w:rsidP="00F44F15">
            <w:pPr>
              <w:spacing w:after="0" w:line="240" w:lineRule="auto"/>
              <w:rPr>
                <w:rFonts w:ascii="Century Gothic" w:hAnsi="Century Gothic" w:cs="Tahoma"/>
                <w:bCs/>
                <w:color w:val="000000"/>
                <w:sz w:val="18"/>
              </w:rPr>
            </w:pPr>
            <w:r>
              <w:rPr>
                <w:rFonts w:ascii="Century Gothic" w:hAnsi="Century Gothic" w:cs="Tahoma"/>
                <w:bCs/>
                <w:color w:val="000000"/>
                <w:sz w:val="18"/>
              </w:rPr>
              <w:t>Customer Service</w:t>
            </w:r>
          </w:p>
          <w:p w:rsidR="00E27AD5" w:rsidRDefault="00E27AD5" w:rsidP="00F44F15">
            <w:pPr>
              <w:spacing w:after="0" w:line="240" w:lineRule="auto"/>
              <w:rPr>
                <w:rFonts w:ascii="Century Gothic" w:hAnsi="Century Gothic" w:cs="Tahoma"/>
                <w:bCs/>
                <w:color w:val="000000"/>
                <w:sz w:val="18"/>
              </w:rPr>
            </w:pPr>
          </w:p>
          <w:p w:rsidR="00E27AD5" w:rsidRPr="00C625EC" w:rsidRDefault="00E27AD5" w:rsidP="00F44F15">
            <w:pPr>
              <w:spacing w:after="0" w:line="240" w:lineRule="auto"/>
              <w:rPr>
                <w:rFonts w:ascii="Century Gothic" w:hAnsi="Century Gothic" w:cs="Tahoma"/>
                <w:bCs/>
                <w:color w:val="000000"/>
                <w:sz w:val="18"/>
              </w:rPr>
            </w:pPr>
            <w:r w:rsidRPr="00E27AD5">
              <w:rPr>
                <w:rFonts w:ascii="Century Gothic" w:hAnsi="Century Gothic" w:cs="Tahoma"/>
                <w:b/>
                <w:bCs/>
                <w:color w:val="000000"/>
                <w:sz w:val="18"/>
              </w:rPr>
              <w:t>Recap:</w:t>
            </w:r>
            <w:r>
              <w:rPr>
                <w:rFonts w:ascii="Century Gothic" w:hAnsi="Century Gothic" w:cs="Tahoma"/>
                <w:bCs/>
                <w:color w:val="000000"/>
                <w:sz w:val="18"/>
              </w:rPr>
              <w:t xml:space="preserve"> Business Ownership </w:t>
            </w:r>
          </w:p>
        </w:tc>
        <w:tc>
          <w:tcPr>
            <w:tcW w:w="2410" w:type="dxa"/>
          </w:tcPr>
          <w:p w:rsidR="006A2045" w:rsidRDefault="00E27AD5" w:rsidP="00E27AD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Sources of Finance </w:t>
            </w:r>
          </w:p>
          <w:p w:rsidR="00E27AD5" w:rsidRDefault="00E27AD5" w:rsidP="00E27AD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Business Plans</w:t>
            </w:r>
          </w:p>
          <w:p w:rsidR="00E27AD5" w:rsidRDefault="00E27AD5" w:rsidP="00E27AD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Functional areas</w:t>
            </w:r>
          </w:p>
          <w:p w:rsidR="00E27AD5" w:rsidRDefault="00E27AD5" w:rsidP="00E27AD5">
            <w:pPr>
              <w:spacing w:after="0" w:line="240" w:lineRule="auto"/>
              <w:rPr>
                <w:rFonts w:ascii="Century Gothic" w:hAnsi="Century Gothic" w:cs="Tahoma"/>
                <w:bCs/>
                <w:color w:val="000000"/>
                <w:sz w:val="18"/>
                <w:szCs w:val="18"/>
              </w:rPr>
            </w:pPr>
          </w:p>
          <w:p w:rsidR="00E27AD5" w:rsidRPr="006A2045" w:rsidRDefault="00E27AD5" w:rsidP="00E27AD5">
            <w:pPr>
              <w:spacing w:after="0" w:line="240" w:lineRule="auto"/>
              <w:rPr>
                <w:rFonts w:ascii="Century Gothic" w:hAnsi="Century Gothic" w:cs="Tahoma"/>
                <w:bCs/>
                <w:color w:val="000000"/>
                <w:sz w:val="18"/>
                <w:szCs w:val="18"/>
              </w:rPr>
            </w:pPr>
            <w:r w:rsidRPr="00E27AD5">
              <w:rPr>
                <w:rFonts w:ascii="Century Gothic" w:hAnsi="Century Gothic" w:cs="Tahoma"/>
                <w:b/>
                <w:bCs/>
                <w:color w:val="000000"/>
                <w:sz w:val="18"/>
                <w:szCs w:val="18"/>
              </w:rPr>
              <w:t>Revision.</w:t>
            </w:r>
            <w:r>
              <w:rPr>
                <w:rFonts w:ascii="Century Gothic" w:hAnsi="Century Gothic" w:cs="Tahoma"/>
                <w:bCs/>
                <w:color w:val="000000"/>
                <w:sz w:val="18"/>
                <w:szCs w:val="18"/>
              </w:rPr>
              <w:t xml:space="preserve"> To be determined based on class progress. </w:t>
            </w:r>
            <w:r>
              <w:rPr>
                <w:rFonts w:ascii="Century Gothic" w:hAnsi="Century Gothic" w:cs="Tahoma"/>
                <w:bCs/>
                <w:color w:val="000000"/>
              </w:rPr>
              <w:t xml:space="preserve"> </w:t>
            </w:r>
          </w:p>
        </w:tc>
        <w:tc>
          <w:tcPr>
            <w:tcW w:w="2268" w:type="dxa"/>
          </w:tcPr>
          <w:p w:rsidR="00AE0951" w:rsidRPr="00E27AD5" w:rsidRDefault="00E27AD5" w:rsidP="00DC6B46">
            <w:pPr>
              <w:spacing w:after="0" w:line="240" w:lineRule="auto"/>
              <w:rPr>
                <w:rFonts w:ascii="Century Gothic" w:hAnsi="Century Gothic" w:cs="Tahoma"/>
                <w:bCs/>
                <w:color w:val="000000"/>
                <w:sz w:val="18"/>
                <w:szCs w:val="18"/>
              </w:rPr>
            </w:pPr>
            <w:r w:rsidRPr="00E27AD5">
              <w:rPr>
                <w:rFonts w:ascii="Century Gothic" w:hAnsi="Century Gothic" w:cs="Tahoma"/>
                <w:b/>
                <w:bCs/>
                <w:color w:val="000000"/>
                <w:sz w:val="18"/>
                <w:szCs w:val="18"/>
              </w:rPr>
              <w:t>Revision.</w:t>
            </w:r>
            <w:r>
              <w:rPr>
                <w:rFonts w:ascii="Century Gothic" w:hAnsi="Century Gothic" w:cs="Tahoma"/>
                <w:bCs/>
                <w:color w:val="000000"/>
                <w:sz w:val="18"/>
                <w:szCs w:val="18"/>
              </w:rPr>
              <w:t xml:space="preserve"> To be determined based on class progress. </w:t>
            </w:r>
            <w:r w:rsidR="00AE0951">
              <w:rPr>
                <w:rFonts w:ascii="Century Gothic" w:hAnsi="Century Gothic" w:cs="Tahoma"/>
                <w:bCs/>
                <w:color w:val="000000"/>
              </w:rPr>
              <w:t xml:space="preserve"> </w:t>
            </w:r>
          </w:p>
        </w:tc>
        <w:tc>
          <w:tcPr>
            <w:tcW w:w="1926" w:type="dxa"/>
          </w:tcPr>
          <w:p w:rsidR="00A64304" w:rsidRDefault="00A64304" w:rsidP="00CE4A8D">
            <w:pPr>
              <w:spacing w:after="0" w:line="240" w:lineRule="auto"/>
              <w:rPr>
                <w:rFonts w:ascii="Century Gothic" w:hAnsi="Century Gothic" w:cs="Tahoma"/>
                <w:bCs/>
                <w:color w:val="000000"/>
              </w:rPr>
            </w:pPr>
            <w:r>
              <w:rPr>
                <w:rFonts w:ascii="Century Gothic" w:hAnsi="Century Gothic" w:cs="Tahoma"/>
                <w:bCs/>
                <w:color w:val="000000"/>
              </w:rPr>
              <w:t xml:space="preserve"> </w:t>
            </w:r>
          </w:p>
        </w:tc>
      </w:tr>
      <w:tr w:rsidR="00790CCF" w:rsidTr="00CE4A8D">
        <w:tc>
          <w:tcPr>
            <w:tcW w:w="1551" w:type="dxa"/>
          </w:tcPr>
          <w:p w:rsidR="00790CCF" w:rsidRPr="00D56A3B" w:rsidRDefault="00790CCF" w:rsidP="00790CCF">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237" w:type="dxa"/>
          </w:tcPr>
          <w:p w:rsidR="00790CCF" w:rsidRPr="0006560C" w:rsidRDefault="0066623B" w:rsidP="00790CCF">
            <w:pPr>
              <w:spacing w:after="0" w:line="240" w:lineRule="auto"/>
              <w:rPr>
                <w:rFonts w:ascii="Century Gothic" w:hAnsi="Century Gothic" w:cs="Tahoma"/>
                <w:bCs/>
                <w:color w:val="000000"/>
                <w:sz w:val="18"/>
              </w:rPr>
            </w:pPr>
            <w:r>
              <w:rPr>
                <w:rFonts w:ascii="Century Gothic" w:hAnsi="Century Gothic" w:cs="Tahoma"/>
                <w:bCs/>
                <w:color w:val="000000"/>
                <w:sz w:val="18"/>
              </w:rPr>
              <w:t>Define, Identify, Explain</w:t>
            </w:r>
          </w:p>
        </w:tc>
        <w:tc>
          <w:tcPr>
            <w:tcW w:w="2578" w:type="dxa"/>
          </w:tcPr>
          <w:p w:rsidR="00790CCF" w:rsidRDefault="00CE4A8D" w:rsidP="00790CCF">
            <w:pPr>
              <w:spacing w:after="0" w:line="240" w:lineRule="auto"/>
              <w:rPr>
                <w:rFonts w:ascii="Century Gothic" w:hAnsi="Century Gothic" w:cs="Tahoma"/>
                <w:bCs/>
                <w:color w:val="000000"/>
              </w:rPr>
            </w:pPr>
            <w:r>
              <w:rPr>
                <w:rFonts w:ascii="Century Gothic" w:hAnsi="Century Gothic" w:cs="Tahoma"/>
                <w:bCs/>
                <w:color w:val="000000"/>
                <w:sz w:val="18"/>
              </w:rPr>
              <w:t>Define, State, Recall, Explain, Discuss</w:t>
            </w:r>
          </w:p>
        </w:tc>
        <w:tc>
          <w:tcPr>
            <w:tcW w:w="2418" w:type="dxa"/>
          </w:tcPr>
          <w:p w:rsidR="00790CCF" w:rsidRPr="0006560C" w:rsidRDefault="00CE4A8D"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Define, State, Recall, Explain, Discuss, Analyse, </w:t>
            </w:r>
            <w:r w:rsidR="00DC6B46">
              <w:rPr>
                <w:rFonts w:ascii="Century Gothic" w:hAnsi="Century Gothic" w:cs="Tahoma"/>
                <w:bCs/>
                <w:color w:val="000000"/>
                <w:sz w:val="18"/>
              </w:rPr>
              <w:t>Assess</w:t>
            </w:r>
          </w:p>
        </w:tc>
        <w:tc>
          <w:tcPr>
            <w:tcW w:w="2410" w:type="dxa"/>
          </w:tcPr>
          <w:p w:rsidR="00790CCF" w:rsidRPr="0006560C" w:rsidRDefault="00DC6B46" w:rsidP="00790CCF">
            <w:pPr>
              <w:spacing w:after="0" w:line="240" w:lineRule="auto"/>
              <w:rPr>
                <w:rFonts w:ascii="Century Gothic" w:hAnsi="Century Gothic" w:cs="Tahoma"/>
                <w:bCs/>
                <w:color w:val="000000"/>
                <w:sz w:val="18"/>
              </w:rPr>
            </w:pPr>
            <w:r>
              <w:rPr>
                <w:rFonts w:ascii="Century Gothic" w:hAnsi="Century Gothic" w:cs="Tahoma"/>
                <w:bCs/>
                <w:color w:val="000000"/>
                <w:sz w:val="18"/>
              </w:rPr>
              <w:t>Define, State, Recall, Explain, Discuss, Analyse, Assess</w:t>
            </w:r>
          </w:p>
        </w:tc>
        <w:tc>
          <w:tcPr>
            <w:tcW w:w="2268" w:type="dxa"/>
          </w:tcPr>
          <w:p w:rsidR="00790CCF" w:rsidRDefault="00CE4A8D" w:rsidP="00790CCF">
            <w:pPr>
              <w:spacing w:after="0" w:line="240" w:lineRule="auto"/>
              <w:rPr>
                <w:rFonts w:ascii="Century Gothic" w:hAnsi="Century Gothic" w:cs="Tahoma"/>
                <w:bCs/>
                <w:color w:val="000000"/>
              </w:rPr>
            </w:pPr>
            <w:r>
              <w:rPr>
                <w:rFonts w:ascii="Century Gothic" w:hAnsi="Century Gothic" w:cs="Tahoma"/>
                <w:bCs/>
                <w:color w:val="000000"/>
                <w:sz w:val="18"/>
              </w:rPr>
              <w:t>Define, State, Recall, Explain, Discuss, Analyse, Justify</w:t>
            </w:r>
          </w:p>
        </w:tc>
        <w:tc>
          <w:tcPr>
            <w:tcW w:w="1926" w:type="dxa"/>
          </w:tcPr>
          <w:p w:rsidR="00790CCF" w:rsidRPr="00BA0603" w:rsidRDefault="00790CCF" w:rsidP="00790CCF">
            <w:pPr>
              <w:spacing w:after="0" w:line="240" w:lineRule="auto"/>
              <w:rPr>
                <w:rFonts w:ascii="Century Gothic" w:hAnsi="Century Gothic" w:cs="Tahoma"/>
                <w:bCs/>
                <w:color w:val="000000"/>
                <w:sz w:val="18"/>
              </w:rPr>
            </w:pPr>
          </w:p>
        </w:tc>
      </w:tr>
      <w:tr w:rsidR="000F087D" w:rsidTr="00CE4A8D">
        <w:tc>
          <w:tcPr>
            <w:tcW w:w="1551" w:type="dxa"/>
          </w:tcPr>
          <w:p w:rsidR="000F087D" w:rsidRPr="00D56A3B" w:rsidRDefault="000F087D" w:rsidP="000F087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237" w:type="dxa"/>
          </w:tcPr>
          <w:p w:rsidR="000F087D" w:rsidRDefault="00085B14" w:rsidP="00085B14">
            <w:pPr>
              <w:spacing w:after="0" w:line="240" w:lineRule="auto"/>
              <w:rPr>
                <w:rFonts w:ascii="Century Gothic" w:hAnsi="Century Gothic" w:cs="Tahoma"/>
                <w:bCs/>
                <w:color w:val="000000"/>
                <w:sz w:val="18"/>
              </w:rPr>
            </w:pPr>
            <w:r>
              <w:rPr>
                <w:rFonts w:ascii="Century Gothic" w:hAnsi="Century Gothic" w:cs="Tahoma"/>
                <w:bCs/>
                <w:color w:val="000000"/>
                <w:sz w:val="18"/>
              </w:rPr>
              <w:t>Review and completion of Task 1 and 2: Ro69</w:t>
            </w:r>
          </w:p>
          <w:p w:rsidR="00085B14" w:rsidRPr="006B754E" w:rsidRDefault="00085B14" w:rsidP="00085B14">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 based on Ro67</w:t>
            </w:r>
          </w:p>
        </w:tc>
        <w:tc>
          <w:tcPr>
            <w:tcW w:w="2578" w:type="dxa"/>
          </w:tcPr>
          <w:p w:rsidR="000F087D" w:rsidRDefault="007D109C" w:rsidP="000F087D">
            <w:pPr>
              <w:spacing w:after="0" w:line="240" w:lineRule="auto"/>
              <w:rPr>
                <w:rFonts w:ascii="Century Gothic" w:hAnsi="Century Gothic" w:cs="Tahoma"/>
                <w:bCs/>
                <w:color w:val="000000"/>
                <w:sz w:val="18"/>
              </w:rPr>
            </w:pPr>
            <w:r>
              <w:rPr>
                <w:rFonts w:ascii="Century Gothic" w:hAnsi="Century Gothic" w:cs="Tahoma"/>
                <w:bCs/>
                <w:color w:val="000000"/>
                <w:sz w:val="18"/>
              </w:rPr>
              <w:t>Begin and complete Task 3-5 R069</w:t>
            </w:r>
          </w:p>
          <w:p w:rsidR="007D109C" w:rsidRPr="00756461" w:rsidRDefault="007D109C" w:rsidP="000F087D">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Send to exam board: Jan 2024 </w:t>
            </w:r>
          </w:p>
        </w:tc>
        <w:tc>
          <w:tcPr>
            <w:tcW w:w="2418" w:type="dxa"/>
          </w:tcPr>
          <w:p w:rsidR="000F087D" w:rsidRDefault="000F087D" w:rsidP="000F087D">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w:t>
            </w:r>
            <w:r w:rsidR="007D109C">
              <w:rPr>
                <w:rFonts w:ascii="Century Gothic" w:hAnsi="Century Gothic" w:cs="Tahoma"/>
                <w:bCs/>
                <w:color w:val="000000"/>
                <w:sz w:val="18"/>
              </w:rPr>
              <w:t>s based on Ro67</w:t>
            </w:r>
          </w:p>
          <w:p w:rsidR="000F087D" w:rsidRPr="00EA1B34" w:rsidRDefault="000F087D" w:rsidP="000F087D">
            <w:pPr>
              <w:spacing w:after="0" w:line="240" w:lineRule="auto"/>
              <w:rPr>
                <w:rFonts w:ascii="Century Gothic" w:hAnsi="Century Gothic" w:cs="Tahoma"/>
                <w:bCs/>
                <w:color w:val="000000"/>
                <w:sz w:val="18"/>
              </w:rPr>
            </w:pPr>
          </w:p>
        </w:tc>
        <w:tc>
          <w:tcPr>
            <w:tcW w:w="2410" w:type="dxa"/>
          </w:tcPr>
          <w:p w:rsidR="007D109C" w:rsidRDefault="007D109C" w:rsidP="007D109C">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Assessments based on Ro67</w:t>
            </w:r>
          </w:p>
          <w:p w:rsidR="000F087D" w:rsidRPr="00DC5794" w:rsidRDefault="000F087D" w:rsidP="007D109C">
            <w:pPr>
              <w:spacing w:after="0" w:line="240" w:lineRule="auto"/>
              <w:rPr>
                <w:rFonts w:ascii="Century Gothic" w:hAnsi="Century Gothic" w:cs="Tahoma"/>
                <w:bCs/>
                <w:color w:val="000000"/>
                <w:sz w:val="18"/>
              </w:rPr>
            </w:pPr>
          </w:p>
        </w:tc>
        <w:tc>
          <w:tcPr>
            <w:tcW w:w="2268" w:type="dxa"/>
          </w:tcPr>
          <w:p w:rsidR="007D109C" w:rsidRDefault="007D109C" w:rsidP="007D109C">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Assessments based on Ro67</w:t>
            </w:r>
          </w:p>
          <w:p w:rsidR="000F087D" w:rsidRDefault="000F087D" w:rsidP="007D109C">
            <w:pPr>
              <w:spacing w:after="0" w:line="240" w:lineRule="auto"/>
              <w:rPr>
                <w:rFonts w:ascii="Century Gothic" w:hAnsi="Century Gothic" w:cs="Tahoma"/>
                <w:bCs/>
                <w:color w:val="000000"/>
              </w:rPr>
            </w:pPr>
          </w:p>
        </w:tc>
        <w:tc>
          <w:tcPr>
            <w:tcW w:w="1926" w:type="dxa"/>
          </w:tcPr>
          <w:p w:rsidR="000F087D" w:rsidRDefault="000F087D" w:rsidP="000F087D">
            <w:pPr>
              <w:spacing w:after="0" w:line="240" w:lineRule="auto"/>
              <w:rPr>
                <w:rFonts w:ascii="Century Gothic" w:hAnsi="Century Gothic" w:cs="Tahoma"/>
                <w:bCs/>
                <w:color w:val="000000"/>
              </w:rPr>
            </w:pPr>
          </w:p>
        </w:tc>
      </w:tr>
      <w:tr w:rsidR="000F087D" w:rsidTr="00B82201">
        <w:tc>
          <w:tcPr>
            <w:tcW w:w="1551" w:type="dxa"/>
          </w:tcPr>
          <w:p w:rsidR="000F087D" w:rsidRDefault="000F087D" w:rsidP="000F087D">
            <w:pPr>
              <w:spacing w:after="0" w:line="240" w:lineRule="auto"/>
              <w:rPr>
                <w:rFonts w:ascii="Century Gothic" w:hAnsi="Century Gothic" w:cs="Tahoma"/>
                <w:b/>
                <w:bCs/>
                <w:color w:val="000000"/>
              </w:rPr>
            </w:pPr>
            <w:r>
              <w:rPr>
                <w:rFonts w:ascii="Century Gothic" w:hAnsi="Century Gothic" w:cs="Tahoma"/>
                <w:b/>
                <w:bCs/>
                <w:color w:val="000000"/>
              </w:rPr>
              <w:t>Curiosity</w:t>
            </w:r>
          </w:p>
          <w:p w:rsidR="000F087D" w:rsidRPr="00D56A3B" w:rsidRDefault="000F087D" w:rsidP="000F087D">
            <w:pPr>
              <w:spacing w:after="0" w:line="240" w:lineRule="auto"/>
              <w:rPr>
                <w:rFonts w:ascii="Century Gothic" w:hAnsi="Century Gothic" w:cs="Tahoma"/>
                <w:b/>
                <w:bCs/>
                <w:color w:val="000000"/>
              </w:rPr>
            </w:pPr>
          </w:p>
        </w:tc>
        <w:tc>
          <w:tcPr>
            <w:tcW w:w="4815" w:type="dxa"/>
            <w:gridSpan w:val="2"/>
          </w:tcPr>
          <w:p w:rsidR="000F087D" w:rsidRPr="00011AEC" w:rsidRDefault="002F6077" w:rsidP="000F087D">
            <w:pPr>
              <w:spacing w:after="0" w:line="240" w:lineRule="auto"/>
              <w:rPr>
                <w:rFonts w:ascii="Century Gothic" w:hAnsi="Century Gothic" w:cs="Tahoma"/>
                <w:bCs/>
                <w:color w:val="000000"/>
                <w:sz w:val="18"/>
                <w:szCs w:val="18"/>
              </w:rPr>
            </w:pPr>
            <w:r w:rsidRPr="000A26A6">
              <w:rPr>
                <w:rFonts w:ascii="Century Gothic" w:hAnsi="Century Gothic" w:cs="Tahoma"/>
                <w:bCs/>
                <w:noProof/>
                <w:color w:val="000000"/>
                <w:sz w:val="18"/>
                <w:szCs w:val="18"/>
              </w:rPr>
              <mc:AlternateContent>
                <mc:Choice Requires="wps">
                  <w:drawing>
                    <wp:anchor distT="45720" distB="45720" distL="114300" distR="114300" simplePos="0" relativeHeight="251659264" behindDoc="0" locked="0" layoutInCell="1" allowOverlap="1" wp14:anchorId="4EB8DDB7" wp14:editId="251E99BD">
                      <wp:simplePos x="0" y="0"/>
                      <wp:positionH relativeFrom="column">
                        <wp:posOffset>-635</wp:posOffset>
                      </wp:positionH>
                      <wp:positionV relativeFrom="paragraph">
                        <wp:posOffset>196215</wp:posOffset>
                      </wp:positionV>
                      <wp:extent cx="2895600" cy="134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43025"/>
                              </a:xfrm>
                              <a:prstGeom prst="rect">
                                <a:avLst/>
                              </a:prstGeom>
                              <a:solidFill>
                                <a:srgbClr val="FFFFFF"/>
                              </a:solidFill>
                              <a:ln w="9525">
                                <a:solidFill>
                                  <a:srgbClr val="000000"/>
                                </a:solidFill>
                                <a:miter lim="800000"/>
                                <a:headEnd/>
                                <a:tailEnd/>
                              </a:ln>
                            </wps:spPr>
                            <wps:txbx>
                              <w:txbxContent>
                                <w:p w:rsidR="002F6077" w:rsidRPr="000A26A6" w:rsidRDefault="007D109C" w:rsidP="002F6077">
                                  <w:pPr>
                                    <w:rPr>
                                      <w:rFonts w:ascii="Century Gothic" w:hAnsi="Century Gothic"/>
                                      <w:sz w:val="18"/>
                                    </w:rPr>
                                  </w:pPr>
                                  <w:hyperlink r:id="rId8" w:history="1">
                                    <w:r w:rsidR="002F6077" w:rsidRPr="004059A9">
                                      <w:rPr>
                                        <w:rStyle w:val="Hyperlink"/>
                                        <w:rFonts w:ascii="Century Gothic" w:hAnsi="Century Gothic"/>
                                        <w:sz w:val="18"/>
                                      </w:rPr>
                                      <w:t>https://www.youtube.com/watch?v=uQQZCvtR3WA</w:t>
                                    </w:r>
                                  </w:hyperlink>
                                  <w:r w:rsidR="002F6077">
                                    <w:rPr>
                                      <w:rFonts w:ascii="Century Gothic" w:hAnsi="Century Gothic"/>
                                      <w:sz w:val="18"/>
                                    </w:rPr>
                                    <w:t xml:space="preserve"> – Market Segmentation in practice</w:t>
                                  </w:r>
                                </w:p>
                                <w:p w:rsidR="002F6077" w:rsidRDefault="007D109C" w:rsidP="002F6077">
                                  <w:pPr>
                                    <w:rPr>
                                      <w:rFonts w:ascii="Century Gothic" w:hAnsi="Century Gothic"/>
                                      <w:sz w:val="18"/>
                                    </w:rPr>
                                  </w:pPr>
                                  <w:hyperlink r:id="rId9" w:history="1">
                                    <w:r w:rsidR="002F6077" w:rsidRPr="00520C2C">
                                      <w:rPr>
                                        <w:rStyle w:val="Hyperlink"/>
                                        <w:rFonts w:ascii="Century Gothic" w:hAnsi="Century Gothic"/>
                                        <w:sz w:val="18"/>
                                      </w:rPr>
                                      <w:t>https://www.youtube.com/watch?v=bpIrEiKjnyE</w:t>
                                    </w:r>
                                  </w:hyperlink>
                                  <w:r w:rsidR="002F6077" w:rsidRPr="00520C2C">
                                    <w:rPr>
                                      <w:rFonts w:ascii="Century Gothic" w:hAnsi="Century Gothic"/>
                                      <w:sz w:val="18"/>
                                    </w:rPr>
                                    <w:t xml:space="preserve"> – Primary market research in practice </w:t>
                                  </w:r>
                                </w:p>
                                <w:p w:rsidR="002F6077" w:rsidRPr="00520C2C" w:rsidRDefault="007D109C" w:rsidP="002F6077">
                                  <w:pPr>
                                    <w:rPr>
                                      <w:rFonts w:ascii="Century Gothic" w:hAnsi="Century Gothic"/>
                                      <w:sz w:val="18"/>
                                    </w:rPr>
                                  </w:pPr>
                                  <w:hyperlink r:id="rId10" w:history="1">
                                    <w:r w:rsidR="002F6077" w:rsidRPr="004059A9">
                                      <w:rPr>
                                        <w:rStyle w:val="Hyperlink"/>
                                        <w:rFonts w:ascii="Century Gothic" w:hAnsi="Century Gothic"/>
                                        <w:sz w:val="18"/>
                                      </w:rPr>
                                      <w:t>https://www.youtube.com/watch?v=K3UaIQN_YXI</w:t>
                                    </w:r>
                                  </w:hyperlink>
                                  <w:r w:rsidR="002F6077">
                                    <w:rPr>
                                      <w:rFonts w:ascii="Century Gothic" w:hAnsi="Century Gothic"/>
                                      <w:sz w:val="18"/>
                                    </w:rPr>
                                    <w:t xml:space="preserve"> – Secondary Market Research</w:t>
                                  </w:r>
                                </w:p>
                                <w:p w:rsidR="002F6077" w:rsidRDefault="002F6077" w:rsidP="002F6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8DDB7" id="_x0000_t202" coordsize="21600,21600" o:spt="202" path="m,l,21600r21600,l21600,xe">
                      <v:stroke joinstyle="miter"/>
                      <v:path gradientshapeok="t" o:connecttype="rect"/>
                    </v:shapetype>
                    <v:shape id="Text Box 2" o:spid="_x0000_s1026" type="#_x0000_t202" style="position:absolute;margin-left:-.05pt;margin-top:15.45pt;width:228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K3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O+XC2uUzRxtGVX86s0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">
                      <v:textbox>
                        <w:txbxContent>
                          <w:p w:rsidR="002F6077" w:rsidRPr="000A26A6" w:rsidRDefault="007D109C" w:rsidP="002F6077">
                            <w:pPr>
                              <w:rPr>
                                <w:rFonts w:ascii="Century Gothic" w:hAnsi="Century Gothic"/>
                                <w:sz w:val="18"/>
                              </w:rPr>
                            </w:pPr>
                            <w:hyperlink r:id="rId11" w:history="1">
                              <w:r w:rsidR="002F6077" w:rsidRPr="004059A9">
                                <w:rPr>
                                  <w:rStyle w:val="Hyperlink"/>
                                  <w:rFonts w:ascii="Century Gothic" w:hAnsi="Century Gothic"/>
                                  <w:sz w:val="18"/>
                                </w:rPr>
                                <w:t>https://www.youtube.com/watch?v=uQQZCvtR3WA</w:t>
                              </w:r>
                            </w:hyperlink>
                            <w:r w:rsidR="002F6077">
                              <w:rPr>
                                <w:rFonts w:ascii="Century Gothic" w:hAnsi="Century Gothic"/>
                                <w:sz w:val="18"/>
                              </w:rPr>
                              <w:t xml:space="preserve"> – Market Segmentation in practice</w:t>
                            </w:r>
                          </w:p>
                          <w:p w:rsidR="002F6077" w:rsidRDefault="007D109C" w:rsidP="002F6077">
                            <w:pPr>
                              <w:rPr>
                                <w:rFonts w:ascii="Century Gothic" w:hAnsi="Century Gothic"/>
                                <w:sz w:val="18"/>
                              </w:rPr>
                            </w:pPr>
                            <w:hyperlink r:id="rId12" w:history="1">
                              <w:r w:rsidR="002F6077" w:rsidRPr="00520C2C">
                                <w:rPr>
                                  <w:rStyle w:val="Hyperlink"/>
                                  <w:rFonts w:ascii="Century Gothic" w:hAnsi="Century Gothic"/>
                                  <w:sz w:val="18"/>
                                </w:rPr>
                                <w:t>https://www.youtube.com/watch?v=bpIrEiKjnyE</w:t>
                              </w:r>
                            </w:hyperlink>
                            <w:r w:rsidR="002F6077" w:rsidRPr="00520C2C">
                              <w:rPr>
                                <w:rFonts w:ascii="Century Gothic" w:hAnsi="Century Gothic"/>
                                <w:sz w:val="18"/>
                              </w:rPr>
                              <w:t xml:space="preserve"> – Primary market research in practice </w:t>
                            </w:r>
                          </w:p>
                          <w:p w:rsidR="002F6077" w:rsidRPr="00520C2C" w:rsidRDefault="007D109C" w:rsidP="002F6077">
                            <w:pPr>
                              <w:rPr>
                                <w:rFonts w:ascii="Century Gothic" w:hAnsi="Century Gothic"/>
                                <w:sz w:val="18"/>
                              </w:rPr>
                            </w:pPr>
                            <w:hyperlink r:id="rId13" w:history="1">
                              <w:r w:rsidR="002F6077" w:rsidRPr="004059A9">
                                <w:rPr>
                                  <w:rStyle w:val="Hyperlink"/>
                                  <w:rFonts w:ascii="Century Gothic" w:hAnsi="Century Gothic"/>
                                  <w:sz w:val="18"/>
                                </w:rPr>
                                <w:t>https://www.youtube.com/watch?v=K3UaIQN_YXI</w:t>
                              </w:r>
                            </w:hyperlink>
                            <w:r w:rsidR="002F6077">
                              <w:rPr>
                                <w:rFonts w:ascii="Century Gothic" w:hAnsi="Century Gothic"/>
                                <w:sz w:val="18"/>
                              </w:rPr>
                              <w:t xml:space="preserve"> – Secondary Market Research</w:t>
                            </w:r>
                          </w:p>
                          <w:p w:rsidR="002F6077" w:rsidRDefault="002F6077" w:rsidP="002F6077"/>
                        </w:txbxContent>
                      </v:textbox>
                      <w10:wrap type="square"/>
                    </v:shape>
                  </w:pict>
                </mc:Fallback>
              </mc:AlternateContent>
            </w:r>
          </w:p>
        </w:tc>
        <w:tc>
          <w:tcPr>
            <w:tcW w:w="4828" w:type="dxa"/>
            <w:gridSpan w:val="2"/>
          </w:tcPr>
          <w:p w:rsidR="000F087D" w:rsidRDefault="000F087D" w:rsidP="000F087D">
            <w:pPr>
              <w:spacing w:after="0" w:line="240" w:lineRule="auto"/>
              <w:rPr>
                <w:rFonts w:ascii="Century Gothic" w:hAnsi="Century Gothic" w:cs="Tahoma"/>
                <w:bCs/>
                <w:color w:val="000000"/>
                <w:sz w:val="18"/>
              </w:rPr>
            </w:pPr>
          </w:p>
          <w:p w:rsidR="000F087D" w:rsidRPr="00FD0AD2" w:rsidRDefault="007D109C" w:rsidP="000F087D">
            <w:pPr>
              <w:spacing w:after="0" w:line="240" w:lineRule="auto"/>
              <w:rPr>
                <w:rFonts w:ascii="Century Gothic" w:hAnsi="Century Gothic" w:cs="Tahoma"/>
                <w:bCs/>
                <w:color w:val="000000"/>
                <w:sz w:val="18"/>
                <w:szCs w:val="18"/>
              </w:rPr>
            </w:pPr>
            <w:hyperlink r:id="rId14" w:history="1">
              <w:r w:rsidR="000F087D" w:rsidRPr="00152B22">
                <w:rPr>
                  <w:rStyle w:val="Hyperlink"/>
                  <w:rFonts w:ascii="Century Gothic" w:hAnsi="Century Gothic" w:cs="Tahoma"/>
                  <w:bCs/>
                  <w:sz w:val="18"/>
                  <w:szCs w:val="18"/>
                </w:rPr>
                <w:t>https://www.youtube.com/watch?v=ob5KWs3I3aY</w:t>
              </w:r>
            </w:hyperlink>
            <w:r w:rsidR="000F087D" w:rsidRPr="00FD0AD2">
              <w:rPr>
                <w:rFonts w:ascii="Century Gothic" w:hAnsi="Century Gothic" w:cs="Tahoma"/>
                <w:bCs/>
                <w:color w:val="000000"/>
                <w:sz w:val="18"/>
                <w:szCs w:val="18"/>
              </w:rPr>
              <w:t xml:space="preserve"> – The Product Lifecycle</w:t>
            </w:r>
          </w:p>
          <w:p w:rsidR="000F087D" w:rsidRPr="00FD0AD2" w:rsidRDefault="000F087D" w:rsidP="000F087D">
            <w:pPr>
              <w:spacing w:after="0" w:line="240" w:lineRule="auto"/>
              <w:rPr>
                <w:rFonts w:ascii="Century Gothic" w:hAnsi="Century Gothic" w:cs="Tahoma"/>
                <w:bCs/>
                <w:color w:val="000000"/>
                <w:sz w:val="18"/>
                <w:szCs w:val="18"/>
              </w:rPr>
            </w:pPr>
          </w:p>
          <w:p w:rsidR="000F087D" w:rsidRPr="00FD0AD2" w:rsidRDefault="007D109C" w:rsidP="000F087D">
            <w:pPr>
              <w:spacing w:after="0" w:line="240" w:lineRule="auto"/>
              <w:rPr>
                <w:rFonts w:ascii="Century Gothic" w:hAnsi="Century Gothic" w:cs="Tahoma"/>
                <w:bCs/>
                <w:color w:val="000000"/>
                <w:sz w:val="18"/>
                <w:szCs w:val="18"/>
              </w:rPr>
            </w:pPr>
            <w:hyperlink r:id="rId15" w:history="1">
              <w:r w:rsidR="000F087D" w:rsidRPr="00FD0AD2">
                <w:rPr>
                  <w:rStyle w:val="Hyperlink"/>
                  <w:rFonts w:ascii="Century Gothic" w:hAnsi="Century Gothic" w:cs="Tahoma"/>
                  <w:bCs/>
                  <w:sz w:val="18"/>
                  <w:szCs w:val="18"/>
                </w:rPr>
                <w:t>https://www.youtube.com/watch?v=xTw7JUxWsYM</w:t>
              </w:r>
            </w:hyperlink>
            <w:r w:rsidR="000F087D" w:rsidRPr="00FD0AD2">
              <w:rPr>
                <w:rFonts w:ascii="Century Gothic" w:hAnsi="Century Gothic" w:cs="Tahoma"/>
                <w:bCs/>
                <w:color w:val="000000"/>
                <w:sz w:val="18"/>
                <w:szCs w:val="18"/>
              </w:rPr>
              <w:t xml:space="preserve"> – Pricing Strategies </w:t>
            </w:r>
          </w:p>
          <w:p w:rsidR="000F087D" w:rsidRPr="00FD0AD2" w:rsidRDefault="000F087D" w:rsidP="000F087D">
            <w:pPr>
              <w:spacing w:after="0" w:line="240" w:lineRule="auto"/>
              <w:rPr>
                <w:rFonts w:ascii="Century Gothic" w:hAnsi="Century Gothic" w:cs="Tahoma"/>
                <w:bCs/>
                <w:color w:val="000000"/>
                <w:sz w:val="18"/>
                <w:szCs w:val="18"/>
              </w:rPr>
            </w:pPr>
            <w:r w:rsidRPr="00FD0AD2">
              <w:rPr>
                <w:rFonts w:ascii="Century Gothic" w:hAnsi="Century Gothic" w:cs="Tahoma"/>
                <w:bCs/>
                <w:color w:val="000000"/>
                <w:sz w:val="18"/>
                <w:szCs w:val="18"/>
              </w:rPr>
              <w:t xml:space="preserve"> </w:t>
            </w:r>
          </w:p>
          <w:p w:rsidR="000F087D" w:rsidRPr="00390C23" w:rsidRDefault="007D109C" w:rsidP="000F087D">
            <w:pPr>
              <w:spacing w:after="0" w:line="240" w:lineRule="auto"/>
              <w:rPr>
                <w:rFonts w:ascii="Century Gothic" w:hAnsi="Century Gothic" w:cs="Tahoma"/>
                <w:bCs/>
                <w:color w:val="000000"/>
                <w:sz w:val="18"/>
                <w:szCs w:val="18"/>
              </w:rPr>
            </w:pPr>
            <w:hyperlink r:id="rId16" w:history="1">
              <w:r w:rsidR="000F087D" w:rsidRPr="00FD0AD2">
                <w:rPr>
                  <w:rStyle w:val="Hyperlink"/>
                  <w:rFonts w:ascii="Century Gothic" w:hAnsi="Century Gothic" w:cs="Tahoma"/>
                  <w:bCs/>
                  <w:sz w:val="18"/>
                  <w:szCs w:val="18"/>
                </w:rPr>
                <w:t>https://www.askattest.com/blog/marketing/10-most-creative-ad-campaigns-2019</w:t>
              </w:r>
            </w:hyperlink>
            <w:r w:rsidR="000F087D" w:rsidRPr="00FD0AD2">
              <w:rPr>
                <w:rFonts w:ascii="Century Gothic" w:hAnsi="Century Gothic" w:cs="Tahoma"/>
                <w:bCs/>
                <w:color w:val="000000"/>
                <w:sz w:val="18"/>
                <w:szCs w:val="18"/>
              </w:rPr>
              <w:t xml:space="preserve"> - Best promotional campaigns of 2019</w:t>
            </w:r>
          </w:p>
        </w:tc>
        <w:tc>
          <w:tcPr>
            <w:tcW w:w="4194" w:type="dxa"/>
            <w:gridSpan w:val="2"/>
          </w:tcPr>
          <w:p w:rsidR="000F087D" w:rsidRDefault="000F087D" w:rsidP="000F087D">
            <w:pPr>
              <w:rPr>
                <w:rFonts w:ascii="Century Gothic" w:hAnsi="Century Gothic"/>
                <w:sz w:val="18"/>
              </w:rPr>
            </w:pPr>
          </w:p>
          <w:p w:rsidR="000F087D" w:rsidRDefault="000F087D" w:rsidP="000F087D">
            <w:pPr>
              <w:rPr>
                <w:rFonts w:ascii="Century Gothic" w:hAnsi="Century Gothic"/>
                <w:sz w:val="18"/>
              </w:rPr>
            </w:pPr>
          </w:p>
          <w:p w:rsidR="000F087D" w:rsidRDefault="000F087D" w:rsidP="000F087D">
            <w:pPr>
              <w:rPr>
                <w:rFonts w:ascii="Century Gothic" w:hAnsi="Century Gothic"/>
                <w:sz w:val="18"/>
              </w:rPr>
            </w:pPr>
          </w:p>
          <w:p w:rsidR="000F087D" w:rsidRDefault="000F087D" w:rsidP="000F087D">
            <w:pPr>
              <w:spacing w:after="0" w:line="240" w:lineRule="auto"/>
              <w:rPr>
                <w:rFonts w:ascii="Century Gothic" w:hAnsi="Century Gothic" w:cs="Tahoma"/>
                <w:bCs/>
                <w:color w:val="000000"/>
              </w:rPr>
            </w:pPr>
          </w:p>
          <w:p w:rsidR="000F087D" w:rsidRDefault="000F087D" w:rsidP="000F087D">
            <w:pPr>
              <w:spacing w:after="0" w:line="240" w:lineRule="auto"/>
              <w:rPr>
                <w:rFonts w:ascii="Century Gothic" w:hAnsi="Century Gothic" w:cs="Tahoma"/>
                <w:bCs/>
                <w:color w:val="000000"/>
              </w:rPr>
            </w:pPr>
            <w:r>
              <w:rPr>
                <w:rFonts w:ascii="Century Gothic" w:hAnsi="Century Gothic" w:cs="Tahoma"/>
                <w:bCs/>
                <w:color w:val="000000"/>
                <w:sz w:val="18"/>
              </w:rPr>
              <w:t xml:space="preserve"> </w:t>
            </w:r>
          </w:p>
        </w:tc>
      </w:tr>
    </w:tbl>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15.1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338EB"/>
    <w:multiLevelType w:val="hybridMultilevel"/>
    <w:tmpl w:val="7B8C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21"/>
  </w:num>
  <w:num w:numId="5">
    <w:abstractNumId w:val="7"/>
  </w:num>
  <w:num w:numId="6">
    <w:abstractNumId w:val="8"/>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8"/>
  </w:num>
  <w:num w:numId="19">
    <w:abstractNumId w:val="20"/>
  </w:num>
  <w:num w:numId="20">
    <w:abstractNumId w:val="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11AEC"/>
    <w:rsid w:val="00015BCE"/>
    <w:rsid w:val="00020CCE"/>
    <w:rsid w:val="00032223"/>
    <w:rsid w:val="000400BB"/>
    <w:rsid w:val="00042531"/>
    <w:rsid w:val="000430D1"/>
    <w:rsid w:val="0005049A"/>
    <w:rsid w:val="00056FA0"/>
    <w:rsid w:val="000636AA"/>
    <w:rsid w:val="0006560C"/>
    <w:rsid w:val="00085B14"/>
    <w:rsid w:val="000A26A6"/>
    <w:rsid w:val="000C653A"/>
    <w:rsid w:val="000F087D"/>
    <w:rsid w:val="000F38D7"/>
    <w:rsid w:val="001016C8"/>
    <w:rsid w:val="00105C86"/>
    <w:rsid w:val="00105FE4"/>
    <w:rsid w:val="00127BAD"/>
    <w:rsid w:val="00157677"/>
    <w:rsid w:val="001644CD"/>
    <w:rsid w:val="00170EA7"/>
    <w:rsid w:val="001908D3"/>
    <w:rsid w:val="001B5652"/>
    <w:rsid w:val="001C7DEB"/>
    <w:rsid w:val="001D608E"/>
    <w:rsid w:val="001F1933"/>
    <w:rsid w:val="001F3EDA"/>
    <w:rsid w:val="002172E8"/>
    <w:rsid w:val="0023423A"/>
    <w:rsid w:val="00235D12"/>
    <w:rsid w:val="00237560"/>
    <w:rsid w:val="002443B5"/>
    <w:rsid w:val="0027188D"/>
    <w:rsid w:val="00281902"/>
    <w:rsid w:val="00284018"/>
    <w:rsid w:val="002A3C8F"/>
    <w:rsid w:val="002B5C60"/>
    <w:rsid w:val="002B69AE"/>
    <w:rsid w:val="002C3811"/>
    <w:rsid w:val="002E0BEF"/>
    <w:rsid w:val="002E788E"/>
    <w:rsid w:val="002F6077"/>
    <w:rsid w:val="00304B61"/>
    <w:rsid w:val="00304C5B"/>
    <w:rsid w:val="00311FA6"/>
    <w:rsid w:val="00320616"/>
    <w:rsid w:val="00336AA4"/>
    <w:rsid w:val="00341FFB"/>
    <w:rsid w:val="003538FE"/>
    <w:rsid w:val="00355EC5"/>
    <w:rsid w:val="003560AB"/>
    <w:rsid w:val="00356DC7"/>
    <w:rsid w:val="003613BF"/>
    <w:rsid w:val="00367002"/>
    <w:rsid w:val="003809A6"/>
    <w:rsid w:val="00390C23"/>
    <w:rsid w:val="00394B75"/>
    <w:rsid w:val="00397C0F"/>
    <w:rsid w:val="003A017B"/>
    <w:rsid w:val="003A7E33"/>
    <w:rsid w:val="003C3B58"/>
    <w:rsid w:val="003E093D"/>
    <w:rsid w:val="003F04DA"/>
    <w:rsid w:val="00400C82"/>
    <w:rsid w:val="0040378D"/>
    <w:rsid w:val="00431348"/>
    <w:rsid w:val="0047269C"/>
    <w:rsid w:val="0047765C"/>
    <w:rsid w:val="00480A61"/>
    <w:rsid w:val="004867F1"/>
    <w:rsid w:val="00495EB2"/>
    <w:rsid w:val="004A4B6D"/>
    <w:rsid w:val="004B037E"/>
    <w:rsid w:val="004B7BF4"/>
    <w:rsid w:val="004C2EB3"/>
    <w:rsid w:val="004C6316"/>
    <w:rsid w:val="004D29D1"/>
    <w:rsid w:val="004D357F"/>
    <w:rsid w:val="004E52FC"/>
    <w:rsid w:val="005066F5"/>
    <w:rsid w:val="005131A6"/>
    <w:rsid w:val="00520C2C"/>
    <w:rsid w:val="00576408"/>
    <w:rsid w:val="0058029E"/>
    <w:rsid w:val="00584996"/>
    <w:rsid w:val="00587F4D"/>
    <w:rsid w:val="00593832"/>
    <w:rsid w:val="005947D1"/>
    <w:rsid w:val="005A0CCE"/>
    <w:rsid w:val="005A2962"/>
    <w:rsid w:val="005A4F89"/>
    <w:rsid w:val="005A6A07"/>
    <w:rsid w:val="005D5C09"/>
    <w:rsid w:val="0060794B"/>
    <w:rsid w:val="006636B6"/>
    <w:rsid w:val="0066623B"/>
    <w:rsid w:val="00670FF5"/>
    <w:rsid w:val="00673BAB"/>
    <w:rsid w:val="006771FF"/>
    <w:rsid w:val="006A2045"/>
    <w:rsid w:val="006B754E"/>
    <w:rsid w:val="006C5CA4"/>
    <w:rsid w:val="006D3AE6"/>
    <w:rsid w:val="006F227B"/>
    <w:rsid w:val="006F628E"/>
    <w:rsid w:val="00700065"/>
    <w:rsid w:val="00703806"/>
    <w:rsid w:val="00743396"/>
    <w:rsid w:val="00751202"/>
    <w:rsid w:val="00752282"/>
    <w:rsid w:val="00756461"/>
    <w:rsid w:val="00777C4F"/>
    <w:rsid w:val="00790CCF"/>
    <w:rsid w:val="007934E6"/>
    <w:rsid w:val="007950AC"/>
    <w:rsid w:val="007A7F2D"/>
    <w:rsid w:val="007C3A5B"/>
    <w:rsid w:val="007D109C"/>
    <w:rsid w:val="00825420"/>
    <w:rsid w:val="00826BBB"/>
    <w:rsid w:val="0083184B"/>
    <w:rsid w:val="00864697"/>
    <w:rsid w:val="00893BFD"/>
    <w:rsid w:val="008C0E2C"/>
    <w:rsid w:val="008C354D"/>
    <w:rsid w:val="008C5DD8"/>
    <w:rsid w:val="008D6C35"/>
    <w:rsid w:val="008F475C"/>
    <w:rsid w:val="00927ECF"/>
    <w:rsid w:val="009665AB"/>
    <w:rsid w:val="00967B35"/>
    <w:rsid w:val="009753FC"/>
    <w:rsid w:val="00975F41"/>
    <w:rsid w:val="00994D7B"/>
    <w:rsid w:val="009A0BC7"/>
    <w:rsid w:val="009A2EF5"/>
    <w:rsid w:val="009B5639"/>
    <w:rsid w:val="009C2320"/>
    <w:rsid w:val="009E0AC5"/>
    <w:rsid w:val="00A01588"/>
    <w:rsid w:val="00A11E89"/>
    <w:rsid w:val="00A22009"/>
    <w:rsid w:val="00A26D39"/>
    <w:rsid w:val="00A3616D"/>
    <w:rsid w:val="00A4743F"/>
    <w:rsid w:val="00A63383"/>
    <w:rsid w:val="00A64304"/>
    <w:rsid w:val="00A91BF6"/>
    <w:rsid w:val="00AA1A3C"/>
    <w:rsid w:val="00AC76CA"/>
    <w:rsid w:val="00AE0951"/>
    <w:rsid w:val="00B24762"/>
    <w:rsid w:val="00B4441F"/>
    <w:rsid w:val="00B57528"/>
    <w:rsid w:val="00B61A10"/>
    <w:rsid w:val="00BA0603"/>
    <w:rsid w:val="00BD6726"/>
    <w:rsid w:val="00BE1FA1"/>
    <w:rsid w:val="00C21A27"/>
    <w:rsid w:val="00C23B63"/>
    <w:rsid w:val="00C24C1E"/>
    <w:rsid w:val="00C31356"/>
    <w:rsid w:val="00C42544"/>
    <w:rsid w:val="00C625EC"/>
    <w:rsid w:val="00C63580"/>
    <w:rsid w:val="00C7134F"/>
    <w:rsid w:val="00C9145B"/>
    <w:rsid w:val="00CA69EC"/>
    <w:rsid w:val="00CB7125"/>
    <w:rsid w:val="00CB72C3"/>
    <w:rsid w:val="00CD2F36"/>
    <w:rsid w:val="00CE4A8D"/>
    <w:rsid w:val="00CE5678"/>
    <w:rsid w:val="00D066F5"/>
    <w:rsid w:val="00D15A56"/>
    <w:rsid w:val="00D415D0"/>
    <w:rsid w:val="00D56A3B"/>
    <w:rsid w:val="00D87D47"/>
    <w:rsid w:val="00DB213E"/>
    <w:rsid w:val="00DB466C"/>
    <w:rsid w:val="00DB7F16"/>
    <w:rsid w:val="00DC4B86"/>
    <w:rsid w:val="00DC5794"/>
    <w:rsid w:val="00DC6B46"/>
    <w:rsid w:val="00DE0B69"/>
    <w:rsid w:val="00DE2A78"/>
    <w:rsid w:val="00DE2C62"/>
    <w:rsid w:val="00DF6D55"/>
    <w:rsid w:val="00DF70C4"/>
    <w:rsid w:val="00E01B8F"/>
    <w:rsid w:val="00E24BD5"/>
    <w:rsid w:val="00E27AD5"/>
    <w:rsid w:val="00E540A6"/>
    <w:rsid w:val="00E8230A"/>
    <w:rsid w:val="00E96808"/>
    <w:rsid w:val="00EA1B34"/>
    <w:rsid w:val="00EB31D5"/>
    <w:rsid w:val="00ED1664"/>
    <w:rsid w:val="00ED451C"/>
    <w:rsid w:val="00EF02D7"/>
    <w:rsid w:val="00F024DF"/>
    <w:rsid w:val="00F14C19"/>
    <w:rsid w:val="00F220EB"/>
    <w:rsid w:val="00F23D57"/>
    <w:rsid w:val="00F26F79"/>
    <w:rsid w:val="00F42478"/>
    <w:rsid w:val="00F44F15"/>
    <w:rsid w:val="00F45A2B"/>
    <w:rsid w:val="00F55A62"/>
    <w:rsid w:val="00F60840"/>
    <w:rsid w:val="00F62813"/>
    <w:rsid w:val="00F76251"/>
    <w:rsid w:val="00F84712"/>
    <w:rsid w:val="00F864C7"/>
    <w:rsid w:val="00F96021"/>
    <w:rsid w:val="00FA6FD8"/>
    <w:rsid w:val="00FD0AD2"/>
    <w:rsid w:val="00FD6166"/>
    <w:rsid w:val="00FE7508"/>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2E93"/>
  <w15:docId w15:val="{C9442E9A-8DF6-494B-816F-6C1819E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1AEC"/>
    <w:rPr>
      <w:color w:val="0000FF"/>
      <w:u w:val="single"/>
    </w:rPr>
  </w:style>
  <w:style w:type="character" w:styleId="UnresolvedMention">
    <w:name w:val="Unresolved Mention"/>
    <w:basedOn w:val="DefaultParagraphFont"/>
    <w:uiPriority w:val="99"/>
    <w:semiHidden/>
    <w:unhideWhenUsed/>
    <w:rsid w:val="00011AEC"/>
    <w:rPr>
      <w:color w:val="605E5C"/>
      <w:shd w:val="clear" w:color="auto" w:fill="E1DFDD"/>
    </w:rPr>
  </w:style>
  <w:style w:type="character" w:styleId="FollowedHyperlink">
    <w:name w:val="FollowedHyperlink"/>
    <w:basedOn w:val="DefaultParagraphFont"/>
    <w:uiPriority w:val="99"/>
    <w:semiHidden/>
    <w:unhideWhenUsed/>
    <w:rsid w:val="00C23B63"/>
    <w:rPr>
      <w:color w:val="954F72" w:themeColor="followedHyperlink"/>
      <w:u w:val="single"/>
    </w:rPr>
  </w:style>
  <w:style w:type="character" w:styleId="CommentReference">
    <w:name w:val="annotation reference"/>
    <w:basedOn w:val="DefaultParagraphFont"/>
    <w:uiPriority w:val="99"/>
    <w:semiHidden/>
    <w:unhideWhenUsed/>
    <w:rsid w:val="00F55A62"/>
    <w:rPr>
      <w:sz w:val="16"/>
      <w:szCs w:val="16"/>
    </w:rPr>
  </w:style>
  <w:style w:type="paragraph" w:styleId="CommentText">
    <w:name w:val="annotation text"/>
    <w:basedOn w:val="Normal"/>
    <w:link w:val="CommentTextChar"/>
    <w:uiPriority w:val="99"/>
    <w:semiHidden/>
    <w:unhideWhenUsed/>
    <w:rsid w:val="00F55A62"/>
    <w:pPr>
      <w:spacing w:line="240" w:lineRule="auto"/>
    </w:pPr>
    <w:rPr>
      <w:sz w:val="20"/>
      <w:szCs w:val="20"/>
    </w:rPr>
  </w:style>
  <w:style w:type="character" w:customStyle="1" w:styleId="CommentTextChar">
    <w:name w:val="Comment Text Char"/>
    <w:basedOn w:val="DefaultParagraphFont"/>
    <w:link w:val="CommentText"/>
    <w:uiPriority w:val="99"/>
    <w:semiHidden/>
    <w:rsid w:val="00F55A62"/>
    <w:rPr>
      <w:sz w:val="20"/>
      <w:szCs w:val="20"/>
    </w:rPr>
  </w:style>
  <w:style w:type="paragraph" w:styleId="CommentSubject">
    <w:name w:val="annotation subject"/>
    <w:basedOn w:val="CommentText"/>
    <w:next w:val="CommentText"/>
    <w:link w:val="CommentSubjectChar"/>
    <w:uiPriority w:val="99"/>
    <w:semiHidden/>
    <w:unhideWhenUsed/>
    <w:rsid w:val="00F55A62"/>
    <w:rPr>
      <w:b/>
      <w:bCs/>
    </w:rPr>
  </w:style>
  <w:style w:type="character" w:customStyle="1" w:styleId="CommentSubjectChar">
    <w:name w:val="Comment Subject Char"/>
    <w:basedOn w:val="CommentTextChar"/>
    <w:link w:val="CommentSubject"/>
    <w:uiPriority w:val="99"/>
    <w:semiHidden/>
    <w:rsid w:val="00F5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QZCvtR3WA" TargetMode="External"/><Relationship Id="rId13" Type="http://schemas.openxmlformats.org/officeDocument/2006/relationships/hyperlink" Target="https://www.youtube.com/watch?v=K3UaIQN_YX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pIrEiKjny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kattest.com/blog/marketing/10-most-creative-ad-campaigns-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QQZCvtR3WA" TargetMode="External"/><Relationship Id="rId5" Type="http://schemas.openxmlformats.org/officeDocument/2006/relationships/webSettings" Target="webSettings.xml"/><Relationship Id="rId15" Type="http://schemas.openxmlformats.org/officeDocument/2006/relationships/hyperlink" Target="https://www.youtube.com/watch?v=xTw7JUxWsYM" TargetMode="External"/><Relationship Id="rId10" Type="http://schemas.openxmlformats.org/officeDocument/2006/relationships/hyperlink" Target="https://www.youtube.com/watch?v=K3UaIQN_YX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pIrEiKjnyE" TargetMode="External"/><Relationship Id="rId14" Type="http://schemas.openxmlformats.org/officeDocument/2006/relationships/hyperlink" Target="https://www.youtube.com/watch?v=ob5KWs3I3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B3AD-A82B-4C2F-B3FE-AF73A10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Claire Kennedy</cp:lastModifiedBy>
  <cp:revision>2</cp:revision>
  <cp:lastPrinted>2017-01-30T07:48:00Z</cp:lastPrinted>
  <dcterms:created xsi:type="dcterms:W3CDTF">2023-09-06T07:15:00Z</dcterms:created>
  <dcterms:modified xsi:type="dcterms:W3CDTF">2023-09-06T07:15:00Z</dcterms:modified>
</cp:coreProperties>
</file>