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Poppins" w:cs="Poppins" w:eastAsia="Poppins" w:hAnsi="Poppins"/>
          <w:b w:val="1"/>
          <w:color w:val="0070c0"/>
          <w:sz w:val="24"/>
          <w:szCs w:val="24"/>
        </w:rPr>
      </w:pPr>
      <w:r w:rsidDel="00000000" w:rsidR="00000000" w:rsidRPr="00000000">
        <w:rPr>
          <w:rFonts w:ascii="Poppins" w:cs="Poppins" w:eastAsia="Poppins" w:hAnsi="Poppins"/>
          <w:b w:val="1"/>
          <w:color w:val="0070c0"/>
          <w:sz w:val="24"/>
          <w:szCs w:val="24"/>
          <w:rtl w:val="0"/>
        </w:rPr>
        <w:t xml:space="preserve">Transcription. Composition/ Vocabulary, Grammar and Punctuation</w:t>
      </w:r>
    </w:p>
    <w:tbl>
      <w:tblPr>
        <w:tblStyle w:val="Table1"/>
        <w:tblW w:w="129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47"/>
        <w:gridCol w:w="1846"/>
        <w:gridCol w:w="1844"/>
        <w:gridCol w:w="1845"/>
        <w:gridCol w:w="1848"/>
        <w:gridCol w:w="1848"/>
        <w:gridCol w:w="1872"/>
        <w:tblGridChange w:id="0">
          <w:tblGrid>
            <w:gridCol w:w="1847"/>
            <w:gridCol w:w="1846"/>
            <w:gridCol w:w="1844"/>
            <w:gridCol w:w="1845"/>
            <w:gridCol w:w="1848"/>
            <w:gridCol w:w="1848"/>
            <w:gridCol w:w="187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Year 5</w:t>
            </w:r>
          </w:p>
          <w:p w:rsidR="00000000" w:rsidDel="00000000" w:rsidP="00000000" w:rsidRDefault="00000000" w:rsidRPr="00000000" w14:paraId="00000003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color w:val="00b050"/>
                <w:sz w:val="16"/>
                <w:szCs w:val="16"/>
                <w:rtl w:val="0"/>
              </w:rPr>
              <w:t xml:space="preserve">Linked to Mastery Keys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jc w:val="center"/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Autumn 1</w:t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Block 1</w:t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Autumn 2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Block 2</w:t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center"/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Spring 1</w:t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Block 3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Block 4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Summer 1</w:t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Block 5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Block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Focus Text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Poppins" w:cs="Poppins" w:eastAsia="Poppins" w:hAnsi="Poppins"/>
                <w:sz w:val="16"/>
                <w:szCs w:val="16"/>
                <w:highlight w:val="green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color w:val="0070c0"/>
                <w:sz w:val="16"/>
                <w:szCs w:val="16"/>
                <w:highlight w:val="green"/>
                <w:rtl w:val="0"/>
              </w:rPr>
              <w:t xml:space="preserve">Queen of the Falls by Chris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>
                <w:rFonts w:ascii="Poppins" w:cs="Poppins" w:eastAsia="Poppins" w:hAnsi="Poppins"/>
                <w:sz w:val="16"/>
                <w:szCs w:val="16"/>
                <w:highlight w:val="green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color w:val="0070c0"/>
                <w:sz w:val="16"/>
                <w:szCs w:val="16"/>
                <w:highlight w:val="green"/>
                <w:rtl w:val="0"/>
              </w:rPr>
              <w:t xml:space="preserve">Van Allsburg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>
                <w:rFonts w:ascii="Poppins" w:cs="Poppins" w:eastAsia="Poppins" w:hAnsi="Poppins"/>
                <w:sz w:val="16"/>
                <w:szCs w:val="16"/>
                <w:highlight w:val="green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highlight w:val="green"/>
                <w:rtl w:val="0"/>
              </w:rPr>
              <w:t xml:space="preserve">Recount: series of diary entries </w:t>
            </w:r>
          </w:p>
        </w:tc>
        <w:tc>
          <w:tcPr/>
          <w:p w:rsidR="00000000" w:rsidDel="00000000" w:rsidP="00000000" w:rsidRDefault="00000000" w:rsidRPr="00000000" w14:paraId="00000014">
            <w:pPr>
              <w:ind w:left="1" w:firstLine="0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color w:val="0070c0"/>
                <w:sz w:val="16"/>
                <w:szCs w:val="16"/>
                <w:rtl w:val="0"/>
              </w:rPr>
              <w:t xml:space="preserve">The Lost Happy Endings by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left="1" w:firstLine="0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color w:val="0070c0"/>
                <w:sz w:val="16"/>
                <w:szCs w:val="16"/>
                <w:rtl w:val="0"/>
              </w:rPr>
              <w:t xml:space="preserve">Carol Ann Duffy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Fiction: traditional tale with an </w:t>
            </w:r>
          </w:p>
          <w:p w:rsidR="00000000" w:rsidDel="00000000" w:rsidP="00000000" w:rsidRDefault="00000000" w:rsidRPr="00000000" w14:paraId="00000017">
            <w:pPr>
              <w:ind w:left="1" w:firstLine="0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alternative ending </w:t>
            </w:r>
          </w:p>
        </w:tc>
        <w:tc>
          <w:tcPr/>
          <w:p w:rsidR="00000000" w:rsidDel="00000000" w:rsidP="00000000" w:rsidRDefault="00000000" w:rsidRPr="00000000" w14:paraId="00000018">
            <w:pPr>
              <w:ind w:left="1" w:firstLine="0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color w:val="0070c0"/>
                <w:sz w:val="16"/>
                <w:szCs w:val="16"/>
                <w:rtl w:val="0"/>
              </w:rPr>
              <w:t xml:space="preserve">The Paperbag Prince by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ind w:left="1" w:firstLine="0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color w:val="0070c0"/>
                <w:sz w:val="16"/>
                <w:szCs w:val="16"/>
                <w:rtl w:val="0"/>
              </w:rPr>
              <w:t xml:space="preserve">Colin Thompson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Persuasion/ information: hybrid leaflet about waste management 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Poppins" w:cs="Poppins" w:eastAsia="Poppins" w:hAnsi="Poppins"/>
                <w:b w:val="1"/>
                <w:color w:val="0070c0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color w:val="0070c0"/>
                <w:sz w:val="16"/>
                <w:szCs w:val="16"/>
                <w:rtl w:val="0"/>
              </w:rPr>
              <w:t xml:space="preserve">Malala’s Magic Pencil by Malala Yousafzai</w:t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Non-fiction: recount (formal biography)</w:t>
            </w:r>
          </w:p>
          <w:p w:rsidR="00000000" w:rsidDel="00000000" w:rsidP="00000000" w:rsidRDefault="00000000" w:rsidRPr="00000000" w14:paraId="0000001D">
            <w:pPr>
              <w:rPr>
                <w:rFonts w:ascii="Poppins" w:cs="Poppins" w:eastAsia="Poppins" w:hAnsi="Poppins"/>
                <w:b w:val="1"/>
                <w:color w:val="0070c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rFonts w:ascii="Poppins" w:cs="Poppins" w:eastAsia="Poppins" w:hAnsi="Poppins"/>
                <w:b w:val="1"/>
                <w:color w:val="0070c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Poppins" w:cs="Poppins" w:eastAsia="Poppins" w:hAnsi="Poppins"/>
                <w:b w:val="1"/>
                <w:color w:val="0070c0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color w:val="0070c0"/>
                <w:sz w:val="16"/>
                <w:szCs w:val="16"/>
                <w:rtl w:val="0"/>
              </w:rPr>
              <w:t xml:space="preserve">The Brilliant Deep by Kate Messner</w:t>
            </w:r>
          </w:p>
          <w:p w:rsidR="00000000" w:rsidDel="00000000" w:rsidP="00000000" w:rsidRDefault="00000000" w:rsidRPr="00000000" w14:paraId="00000020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Information leaflet: to persuade children to consider the effects of climate change on </w:t>
            </w:r>
          </w:p>
          <w:p w:rsidR="00000000" w:rsidDel="00000000" w:rsidP="00000000" w:rsidRDefault="00000000" w:rsidRPr="00000000" w14:paraId="00000021">
            <w:pPr>
              <w:rPr>
                <w:rFonts w:ascii="Poppins" w:cs="Poppins" w:eastAsia="Poppins" w:hAnsi="Poppins"/>
                <w:b w:val="1"/>
                <w:color w:val="0070c0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coral reefs.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ind w:left="3" w:firstLine="0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color w:val="0070c0"/>
                <w:sz w:val="16"/>
                <w:szCs w:val="16"/>
                <w:rtl w:val="0"/>
              </w:rPr>
              <w:t xml:space="preserve">Radiant Child by Javaka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ind w:left="3" w:firstLine="0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color w:val="0070c0"/>
                <w:sz w:val="16"/>
                <w:szCs w:val="16"/>
                <w:rtl w:val="0"/>
              </w:rPr>
              <w:t xml:space="preserve">Steptoe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Information: text suitable for </w:t>
            </w:r>
          </w:p>
          <w:p w:rsidR="00000000" w:rsidDel="00000000" w:rsidP="00000000" w:rsidRDefault="00000000" w:rsidRPr="00000000" w14:paraId="00000025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an art gallery 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Transcription</w:t>
            </w:r>
          </w:p>
          <w:p w:rsidR="00000000" w:rsidDel="00000000" w:rsidP="00000000" w:rsidRDefault="00000000" w:rsidRPr="00000000" w14:paraId="00000027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rFonts w:ascii="Poppins" w:cs="Poppins" w:eastAsia="Poppins" w:hAnsi="Poppins"/>
                <w:b w:val="1"/>
                <w:color w:val="181717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color w:val="181717"/>
                <w:sz w:val="16"/>
                <w:szCs w:val="16"/>
                <w:rtl w:val="0"/>
              </w:rPr>
              <w:t xml:space="preserve">*See Spelling MTP</w:t>
            </w:r>
          </w:p>
          <w:p w:rsidR="00000000" w:rsidDel="00000000" w:rsidP="00000000" w:rsidRDefault="00000000" w:rsidRPr="00000000" w14:paraId="00000029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2A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Use dictionaries to check the spelling and meaning of words </w:t>
            </w:r>
          </w:p>
          <w:p w:rsidR="00000000" w:rsidDel="00000000" w:rsidP="00000000" w:rsidRDefault="00000000" w:rsidRPr="00000000" w14:paraId="0000002B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Use the first three or four letters of a word to check spelling, meaning or both of these in a dictionary </w:t>
            </w:r>
          </w:p>
          <w:p w:rsidR="00000000" w:rsidDel="00000000" w:rsidP="00000000" w:rsidRDefault="00000000" w:rsidRPr="00000000" w14:paraId="0000002C">
            <w:pPr>
              <w:ind w:left="3" w:firstLine="0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Use a theaaurus.</w:t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2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Composition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33">
            <w:pPr>
              <w:spacing w:line="241" w:lineRule="auto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Plan their writing by: 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green"/>
                <w:u w:val="none"/>
                <w:vertAlign w:val="baseline"/>
                <w:rtl w:val="0"/>
              </w:rPr>
              <w:t xml:space="preserve">identifying the audience for and purpose of the writing</w:t>
            </w: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, selecting the appropriate form and using other similar writing as models for their own 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green"/>
                <w:u w:val="none"/>
                <w:vertAlign w:val="baseline"/>
                <w:rtl w:val="0"/>
              </w:rPr>
              <w:t xml:space="preserve">noting and developing initial ideas, drawing on reading a</w:t>
            </w: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nd research where necessary 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draft and write by: 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green"/>
                <w:u w:val="none"/>
                <w:vertAlign w:val="baseline"/>
                <w:rtl w:val="0"/>
              </w:rPr>
              <w:t xml:space="preserve">selecting appropriate grammar and vocabulary,</w:t>
            </w: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understanding how such choices can change and enhance meaning 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précising longer passages 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1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using a wide range of devices to</w:t>
            </w: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green"/>
                <w:u w:val="none"/>
                <w:vertAlign w:val="baseline"/>
                <w:rtl w:val="0"/>
              </w:rPr>
              <w:t xml:space="preserve"> build cohesion</w:t>
            </w: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within and across paragraphs </w:t>
            </w:r>
          </w:p>
          <w:p w:rsidR="00000000" w:rsidDel="00000000" w:rsidP="00000000" w:rsidRDefault="00000000" w:rsidRPr="00000000" w14:paraId="0000003A">
            <w:pPr>
              <w:spacing w:line="241" w:lineRule="auto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Evaluate and edit by: 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assessing the effectiveness of their own and others’ writing 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proposing changes to vocabulary, grammar and punctuation to enhance effects and clarify meaning 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ensuring the consistent and correct use of tense throughout a piece of writing 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1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ensuring correct subject and verb agreement when using singular and plural, distinguishing between the language of speech and writing and choosing the appropriate register proof-read for spelling and punctuation errors</w:t>
            </w:r>
          </w:p>
          <w:p w:rsidR="00000000" w:rsidDel="00000000" w:rsidP="00000000" w:rsidRDefault="00000000" w:rsidRPr="00000000" w14:paraId="0000003F">
            <w:pPr>
              <w:spacing w:line="241" w:lineRule="auto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Performance: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1" w:lineRule="auto"/>
              <w:ind w:left="72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Perform their own compositions, using appropriate intonation, volume, and movement so that meaning is clear.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line="241" w:lineRule="auto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In writing narratives, considering how authors have developed characters and settings in what pupils have read, listened to or seen performed </w:t>
            </w:r>
          </w:p>
          <w:p w:rsidR="00000000" w:rsidDel="00000000" w:rsidP="00000000" w:rsidRDefault="00000000" w:rsidRPr="00000000" w14:paraId="00000048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line="241" w:lineRule="auto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In writing narratives, considering how authors have developed characters and settings in what pupils have read, listened to or seen performed </w:t>
            </w:r>
          </w:p>
          <w:p w:rsidR="00000000" w:rsidDel="00000000" w:rsidP="00000000" w:rsidRDefault="00000000" w:rsidRPr="00000000" w14:paraId="0000004A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Using further organisational and presentational devices to structure text and to guide the reader [for example, headings, bullet points, underlining] </w:t>
            </w:r>
          </w:p>
          <w:p w:rsidR="00000000" w:rsidDel="00000000" w:rsidP="00000000" w:rsidRDefault="00000000" w:rsidRPr="00000000" w14:paraId="0000004C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Using further organisational and presentational devices to structure text and to guide the reader [for example, headings, bullet points, underlining] </w:t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rFonts w:ascii="Poppins" w:cs="Poppins" w:eastAsia="Poppins" w:hAnsi="Poppins"/>
                <w:color w:val="00b050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Using further organisational and presentational devices to structure text and to guide the reader [for example, headings, bullet points, underlining]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line="241" w:lineRule="auto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Using further organisational and presentational devices to structure text and to guide the reader [for example, headings, bullet points, underlining]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V, G, P</w:t>
            </w:r>
          </w:p>
          <w:p w:rsidR="00000000" w:rsidDel="00000000" w:rsidP="00000000" w:rsidRDefault="00000000" w:rsidRPr="00000000" w14:paraId="00000051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53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Pupils should be taught to: 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recognising vocabulary and structures that are appropriate for formal speech and writing, including subjunctive forms 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using passive verbs to affect the presentation of information in a sentence 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using the perfect form of verbs to mark relationships of time and cause 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using </w:t>
            </w: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green"/>
                <w:u w:val="none"/>
                <w:vertAlign w:val="baseline"/>
                <w:rtl w:val="0"/>
              </w:rPr>
              <w:t xml:space="preserve">expanded noun phrase</w:t>
            </w: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 to convey complicated information concisely 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using modal verbs or adverbs to indicate degrees of possibility 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using relative clauses beginning with who, which, where, when, whose, that</w:t>
            </w:r>
            <w:r w:rsidDel="00000000" w:rsidR="00000000" w:rsidRPr="00000000">
              <w:rPr>
                <w:rFonts w:ascii="Poppins" w:cs="Poppins" w:eastAsia="Poppins" w:hAnsi="Poppins"/>
                <w:b w:val="0"/>
                <w:i w:val="1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or with an implied (i.e. omitted) relative pronoun </w:t>
            </w:r>
          </w:p>
          <w:p w:rsidR="00000000" w:rsidDel="00000000" w:rsidP="00000000" w:rsidRDefault="00000000" w:rsidRPr="00000000" w14:paraId="0000005A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Indicate grammatical and other features by: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green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green"/>
                <w:u w:val="none"/>
                <w:vertAlign w:val="baseline"/>
                <w:rtl w:val="0"/>
              </w:rPr>
              <w:t xml:space="preserve">using commas to clarify meaning or avoid ambiguity in writing 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using hyphens to avoid ambiguity 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using brackets, dashes or commas to indicate parenthesis 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using semi-colons, colons or dashes to mark boundaries between independent clauses 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using a colon to introduce a list 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punctuating bullet points consistently 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use and understand the grammatical terminology in English Appendix 2 accurately and appropriately in discussing their writing and reading.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 Word</w:t>
            </w:r>
          </w:p>
        </w:tc>
        <w:tc>
          <w:tcPr/>
          <w:p w:rsidR="00000000" w:rsidDel="00000000" w:rsidP="00000000" w:rsidRDefault="00000000" w:rsidRPr="00000000" w14:paraId="00000068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rPr>
                <w:rFonts w:ascii="Poppins" w:cs="Poppins" w:eastAsia="Poppins" w:hAnsi="Poppins"/>
                <w:color w:val="4472c4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Converting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nouns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 or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adjectives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 into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verbs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 using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suffixes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 [for example, –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ate;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–ise; –ify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]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ind w:left="1" w:firstLine="0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Verb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prefixes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 [for example,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dis–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 de–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 mis–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 over– and re–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06B">
            <w:pPr>
              <w:ind w:left="1" w:firstLine="0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rPr>
                <w:rFonts w:ascii="Poppins" w:cs="Poppins" w:eastAsia="Poppins" w:hAnsi="Poppins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Verb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prefixes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 [for example,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dis–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 de–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 mis–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 over– and re–</w:t>
            </w:r>
          </w:p>
          <w:p w:rsidR="00000000" w:rsidDel="00000000" w:rsidP="00000000" w:rsidRDefault="00000000" w:rsidRPr="00000000" w14:paraId="0000006F">
            <w:pPr>
              <w:rPr>
                <w:rFonts w:ascii="Poppins" w:cs="Poppins" w:eastAsia="Poppins" w:hAnsi="Poppins"/>
                <w:i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rPr>
                <w:rFonts w:ascii="Poppins" w:cs="Poppins" w:eastAsia="Poppins" w:hAnsi="Poppins"/>
                <w:color w:val="00b050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Use modal verbs to indicate degrees of possibility</w:t>
            </w:r>
          </w:p>
        </w:tc>
        <w:tc>
          <w:tcPr/>
          <w:p w:rsidR="00000000" w:rsidDel="00000000" w:rsidP="00000000" w:rsidRDefault="00000000" w:rsidRPr="00000000" w14:paraId="00000071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2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Sentence</w:t>
            </w:r>
          </w:p>
        </w:tc>
        <w:tc>
          <w:tcPr/>
          <w:p w:rsidR="00000000" w:rsidDel="00000000" w:rsidP="00000000" w:rsidRDefault="00000000" w:rsidRPr="00000000" w14:paraId="00000073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rPr>
                <w:rFonts w:ascii="Poppins" w:cs="Poppins" w:eastAsia="Poppins" w:hAnsi="Poppins"/>
                <w:i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rPr>
                <w:rFonts w:ascii="Poppins" w:cs="Poppins" w:eastAsia="Poppins" w:hAnsi="Poppins"/>
                <w:i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Indicating degrees of possibility using adverbs [for example,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color w:val="00b050"/>
                <w:sz w:val="16"/>
                <w:szCs w:val="16"/>
                <w:rtl w:val="0"/>
              </w:rPr>
              <w:t xml:space="preserve">perhaps</w:t>
            </w: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color w:val="00b050"/>
                <w:sz w:val="16"/>
                <w:szCs w:val="16"/>
                <w:rtl w:val="0"/>
              </w:rPr>
              <w:t xml:space="preserve"> surely</w:t>
            </w: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] or modal verbs [for example,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color w:val="00b050"/>
                <w:sz w:val="16"/>
                <w:szCs w:val="16"/>
                <w:rtl w:val="0"/>
              </w:rPr>
              <w:t xml:space="preserve">might</w:t>
            </w: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color w:val="00b050"/>
                <w:sz w:val="16"/>
                <w:szCs w:val="16"/>
                <w:rtl w:val="0"/>
              </w:rPr>
              <w:t xml:space="preserve"> should</w:t>
            </w: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color w:val="00b050"/>
                <w:sz w:val="16"/>
                <w:szCs w:val="16"/>
                <w:rtl w:val="0"/>
              </w:rPr>
              <w:t xml:space="preserve"> will</w:t>
            </w: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color w:val="00b050"/>
                <w:sz w:val="16"/>
                <w:szCs w:val="16"/>
                <w:rtl w:val="0"/>
              </w:rPr>
              <w:t xml:space="preserve"> must</w:t>
            </w: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rPr>
                <w:rFonts w:ascii="Poppins" w:cs="Poppins" w:eastAsia="Poppins" w:hAnsi="Poppins"/>
                <w:color w:val="00b050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Relative clauses beginning with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color w:val="00b050"/>
                <w:sz w:val="16"/>
                <w:szCs w:val="16"/>
                <w:rtl w:val="0"/>
              </w:rPr>
              <w:t xml:space="preserve">who</w:t>
            </w: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color w:val="00b050"/>
                <w:sz w:val="16"/>
                <w:szCs w:val="16"/>
                <w:rtl w:val="0"/>
              </w:rPr>
              <w:t xml:space="preserve"> which</w:t>
            </w: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color w:val="00b050"/>
                <w:sz w:val="16"/>
                <w:szCs w:val="16"/>
                <w:rtl w:val="0"/>
              </w:rPr>
              <w:t xml:space="preserve"> where</w:t>
            </w: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color w:val="00b050"/>
                <w:sz w:val="16"/>
                <w:szCs w:val="16"/>
                <w:rtl w:val="0"/>
              </w:rPr>
              <w:t xml:space="preserve"> when</w:t>
            </w: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color w:val="00b050"/>
                <w:sz w:val="16"/>
                <w:szCs w:val="16"/>
                <w:rtl w:val="0"/>
              </w:rPr>
              <w:t xml:space="preserve"> whose</w:t>
            </w: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color w:val="00b050"/>
                <w:sz w:val="16"/>
                <w:szCs w:val="16"/>
                <w:rtl w:val="0"/>
              </w:rPr>
              <w:t xml:space="preserve"> that</w:t>
            </w: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, or an omitted relative pronoun</w:t>
            </w:r>
            <w:r w:rsidDel="00000000" w:rsidR="00000000" w:rsidRPr="00000000">
              <w:rPr>
                <w:rFonts w:ascii="Poppins" w:cs="Poppins" w:eastAsia="Poppins" w:hAnsi="Poppins"/>
                <w:i w:val="1"/>
                <w:color w:val="00b050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ind w:left="3" w:firstLine="0"/>
              <w:rPr>
                <w:rFonts w:ascii="Poppins" w:cs="Poppins" w:eastAsia="Poppins" w:hAnsi="Poppins"/>
                <w:color w:val="00b050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Relative clauses beginning with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color w:val="00b050"/>
                <w:sz w:val="16"/>
                <w:szCs w:val="16"/>
                <w:rtl w:val="0"/>
              </w:rPr>
              <w:t xml:space="preserve">who</w:t>
            </w: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color w:val="00b050"/>
                <w:sz w:val="16"/>
                <w:szCs w:val="16"/>
                <w:rtl w:val="0"/>
              </w:rPr>
              <w:t xml:space="preserve"> which</w:t>
            </w: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color w:val="00b050"/>
                <w:sz w:val="16"/>
                <w:szCs w:val="16"/>
                <w:rtl w:val="0"/>
              </w:rPr>
              <w:t xml:space="preserve"> where</w:t>
            </w: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color w:val="00b050"/>
                <w:sz w:val="16"/>
                <w:szCs w:val="16"/>
                <w:rtl w:val="0"/>
              </w:rPr>
              <w:t xml:space="preserve"> when</w:t>
            </w: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color w:val="00b050"/>
                <w:sz w:val="16"/>
                <w:szCs w:val="16"/>
                <w:rtl w:val="0"/>
              </w:rPr>
              <w:t xml:space="preserve"> whose</w:t>
            </w: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color w:val="00b050"/>
                <w:sz w:val="16"/>
                <w:szCs w:val="16"/>
                <w:rtl w:val="0"/>
              </w:rPr>
              <w:t xml:space="preserve"> that</w:t>
            </w: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, or an omitted relative pronoun</w:t>
            </w:r>
          </w:p>
          <w:p w:rsidR="00000000" w:rsidDel="00000000" w:rsidP="00000000" w:rsidRDefault="00000000" w:rsidRPr="00000000" w14:paraId="0000007A">
            <w:pPr>
              <w:ind w:left="3" w:firstLine="0"/>
              <w:rPr>
                <w:rFonts w:ascii="Poppins" w:cs="Poppins" w:eastAsia="Poppins" w:hAnsi="Poppins"/>
                <w:color w:val="00b05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Indicating degrees of possibility using adverbs [for example,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color w:val="00b050"/>
                <w:sz w:val="16"/>
                <w:szCs w:val="16"/>
                <w:rtl w:val="0"/>
              </w:rPr>
              <w:t xml:space="preserve">perhaps</w:t>
            </w: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color w:val="00b050"/>
                <w:sz w:val="16"/>
                <w:szCs w:val="16"/>
                <w:rtl w:val="0"/>
              </w:rPr>
              <w:t xml:space="preserve"> surely</w:t>
            </w: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] or modal verbs [for example,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color w:val="00b050"/>
                <w:sz w:val="16"/>
                <w:szCs w:val="16"/>
                <w:rtl w:val="0"/>
              </w:rPr>
              <w:t xml:space="preserve">might</w:t>
            </w: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color w:val="00b050"/>
                <w:sz w:val="16"/>
                <w:szCs w:val="16"/>
                <w:rtl w:val="0"/>
              </w:rPr>
              <w:t xml:space="preserve"> should</w:t>
            </w: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color w:val="00b050"/>
                <w:sz w:val="16"/>
                <w:szCs w:val="16"/>
                <w:rtl w:val="0"/>
              </w:rPr>
              <w:t xml:space="preserve"> will</w:t>
            </w: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color w:val="00b050"/>
                <w:sz w:val="16"/>
                <w:szCs w:val="16"/>
                <w:rtl w:val="0"/>
              </w:rPr>
              <w:t xml:space="preserve"> must</w:t>
            </w: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]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C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Text</w:t>
            </w:r>
          </w:p>
        </w:tc>
        <w:tc>
          <w:tcPr/>
          <w:p w:rsidR="00000000" w:rsidDel="00000000" w:rsidP="00000000" w:rsidRDefault="00000000" w:rsidRPr="00000000" w14:paraId="0000007D">
            <w:pPr>
              <w:tabs>
                <w:tab w:val="left" w:leader="none" w:pos="1407"/>
              </w:tabs>
              <w:rPr>
                <w:rFonts w:ascii="Poppins" w:cs="Poppins" w:eastAsia="Poppins" w:hAnsi="Poppins"/>
                <w:i w:val="1"/>
                <w:sz w:val="16"/>
                <w:szCs w:val="16"/>
                <w:highlight w:val="green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highlight w:val="green"/>
                <w:rtl w:val="0"/>
              </w:rPr>
              <w:t xml:space="preserve">Devices to build cohesion within a paragraph [for example,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highlight w:val="green"/>
                <w:rtl w:val="0"/>
              </w:rPr>
              <w:t xml:space="preserve">then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highlight w:val="green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highlight w:val="green"/>
                <w:rtl w:val="0"/>
              </w:rPr>
              <w:t xml:space="preserve"> after that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highlight w:val="green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highlight w:val="green"/>
                <w:rtl w:val="0"/>
              </w:rPr>
              <w:t xml:space="preserve"> this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highlight w:val="green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highlight w:val="green"/>
                <w:rtl w:val="0"/>
              </w:rPr>
              <w:t xml:space="preserve"> firstly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highlight w:val="green"/>
                <w:rtl w:val="0"/>
              </w:rPr>
              <w:t xml:space="preserve">]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highlight w:val="gree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E">
            <w:pPr>
              <w:tabs>
                <w:tab w:val="left" w:leader="none" w:pos="1407"/>
              </w:tabs>
              <w:rPr>
                <w:rFonts w:ascii="Poppins" w:cs="Poppins" w:eastAsia="Poppins" w:hAnsi="Poppins"/>
                <w:sz w:val="16"/>
                <w:szCs w:val="16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tabs>
                <w:tab w:val="left" w:leader="none" w:pos="1407"/>
              </w:tabs>
              <w:rPr>
                <w:rFonts w:ascii="Poppins" w:cs="Poppins" w:eastAsia="Poppins" w:hAnsi="Poppins"/>
                <w:sz w:val="16"/>
                <w:szCs w:val="16"/>
                <w:highlight w:val="green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highlight w:val="green"/>
                <w:rtl w:val="0"/>
              </w:rPr>
              <w:t xml:space="preserve">Linking ideas across paragraphs using adverbials of time [for example,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highlight w:val="green"/>
                <w:rtl w:val="0"/>
              </w:rPr>
              <w:t xml:space="preserve">later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highlight w:val="green"/>
                <w:rtl w:val="0"/>
              </w:rPr>
              <w:t xml:space="preserve">], place [for example,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highlight w:val="green"/>
                <w:rtl w:val="0"/>
              </w:rPr>
              <w:t xml:space="preserve">nearby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highlight w:val="green"/>
                <w:rtl w:val="0"/>
              </w:rPr>
              <w:t xml:space="preserve">] and number [for example,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highlight w:val="green"/>
                <w:rtl w:val="0"/>
              </w:rPr>
              <w:t xml:space="preserve">secondly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highlight w:val="green"/>
                <w:rtl w:val="0"/>
              </w:rPr>
              <w:t xml:space="preserve">] or tense choices [for example, he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highlight w:val="green"/>
                <w:rtl w:val="0"/>
              </w:rPr>
              <w:t xml:space="preserve">had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highlight w:val="green"/>
                <w:rtl w:val="0"/>
              </w:rPr>
              <w:t xml:space="preserve"> seen her before]</w:t>
            </w:r>
          </w:p>
        </w:tc>
        <w:tc>
          <w:tcPr/>
          <w:p w:rsidR="00000000" w:rsidDel="00000000" w:rsidP="00000000" w:rsidRDefault="00000000" w:rsidRPr="00000000" w14:paraId="00000080">
            <w:pPr>
              <w:tabs>
                <w:tab w:val="left" w:leader="none" w:pos="1407"/>
              </w:tabs>
              <w:rPr>
                <w:rFonts w:ascii="Poppins" w:cs="Poppins" w:eastAsia="Poppins" w:hAnsi="Poppins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Devices to build cohesion within a paragraph [for example,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then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 after that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 this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 firstly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]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1">
            <w:pPr>
              <w:tabs>
                <w:tab w:val="left" w:leader="none" w:pos="1407"/>
              </w:tabs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Linking ideas across paragraphs using adverbials of time [for example,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later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], place [for example,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nearby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] and number [for example,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secondly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] or tense choices [for example, he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had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 seen her before]</w:t>
            </w:r>
          </w:p>
        </w:tc>
        <w:tc>
          <w:tcPr/>
          <w:p w:rsidR="00000000" w:rsidDel="00000000" w:rsidP="00000000" w:rsidRDefault="00000000" w:rsidRPr="00000000" w14:paraId="00000083">
            <w:pPr>
              <w:tabs>
                <w:tab w:val="left" w:leader="none" w:pos="1407"/>
              </w:tabs>
              <w:rPr>
                <w:rFonts w:ascii="Poppins" w:cs="Poppins" w:eastAsia="Poppins" w:hAnsi="Poppins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Devices to build cohesion within a paragraph [for example,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then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 after that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 this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 firstly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]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4">
            <w:pPr>
              <w:tabs>
                <w:tab w:val="left" w:leader="none" w:pos="1407"/>
              </w:tabs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Linking ideas across paragraphs using adverbials of time [for example,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later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], place [for example,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nearby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] and number [for example,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secondly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] or tense choices [for example, he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had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 seen her before]</w:t>
            </w:r>
          </w:p>
        </w:tc>
        <w:tc>
          <w:tcPr/>
          <w:p w:rsidR="00000000" w:rsidDel="00000000" w:rsidP="00000000" w:rsidRDefault="00000000" w:rsidRPr="00000000" w14:paraId="00000086">
            <w:pPr>
              <w:tabs>
                <w:tab w:val="left" w:leader="none" w:pos="1407"/>
              </w:tabs>
              <w:rPr>
                <w:rFonts w:ascii="Poppins" w:cs="Poppins" w:eastAsia="Poppins" w:hAnsi="Poppins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Devices to build cohesion within a paragraph [for example,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then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 after that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 this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 firstly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]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7">
            <w:pPr>
              <w:tabs>
                <w:tab w:val="left" w:leader="none" w:pos="1407"/>
              </w:tabs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rPr>
                <w:rFonts w:ascii="Poppins" w:cs="Poppins" w:eastAsia="Poppins" w:hAnsi="Poppins"/>
                <w:color w:val="00b050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Linking ideas across paragraphs using adverbials of time [for example,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later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], place [for example,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nearby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] and number [for example,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secondly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] or tense choices [for example, he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had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 seen her before]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tabs>
                <w:tab w:val="left" w:leader="none" w:pos="1407"/>
              </w:tabs>
              <w:rPr>
                <w:rFonts w:ascii="Poppins" w:cs="Poppins" w:eastAsia="Poppins" w:hAnsi="Poppins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Devices to build cohesion within a paragraph [for example,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then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 after that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 this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 firstly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]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A">
            <w:pPr>
              <w:tabs>
                <w:tab w:val="left" w:leader="none" w:pos="1407"/>
              </w:tabs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Linking ideas across paragraphs using adverbials of time [for example,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later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], place [for example,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nearby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] and number [for example,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secondly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] or tense choices [for example, he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had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 seen her before]</w:t>
            </w:r>
          </w:p>
        </w:tc>
        <w:tc>
          <w:tcPr/>
          <w:p w:rsidR="00000000" w:rsidDel="00000000" w:rsidP="00000000" w:rsidRDefault="00000000" w:rsidRPr="00000000" w14:paraId="0000008C">
            <w:pPr>
              <w:tabs>
                <w:tab w:val="left" w:leader="none" w:pos="1407"/>
              </w:tabs>
              <w:rPr>
                <w:rFonts w:ascii="Poppins" w:cs="Poppins" w:eastAsia="Poppins" w:hAnsi="Poppins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Devices to build cohesion within a paragraph [for example,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then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 after that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 this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 firstly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]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D">
            <w:pPr>
              <w:tabs>
                <w:tab w:val="left" w:leader="none" w:pos="1407"/>
              </w:tabs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Linking ideas across paragraphs using adverbials of time [for example,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later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], place [for example,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nearby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] and number [for example,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secondly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] or tense choices [for example, he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had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 seen her before]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Punctuation </w:t>
            </w:r>
          </w:p>
        </w:tc>
        <w:tc>
          <w:tcPr/>
          <w:p w:rsidR="00000000" w:rsidDel="00000000" w:rsidP="00000000" w:rsidRDefault="00000000" w:rsidRPr="00000000" w14:paraId="00000090">
            <w:pPr>
              <w:rPr>
                <w:rFonts w:ascii="Poppins" w:cs="Poppins" w:eastAsia="Poppins" w:hAnsi="Poppins"/>
                <w:sz w:val="16"/>
                <w:szCs w:val="16"/>
                <w:highlight w:val="green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highlight w:val="green"/>
                <w:rtl w:val="0"/>
              </w:rPr>
              <w:t xml:space="preserve">Use of commas to clarify meaning or avoid ambiguity</w:t>
            </w:r>
          </w:p>
        </w:tc>
        <w:tc>
          <w:tcPr/>
          <w:p w:rsidR="00000000" w:rsidDel="00000000" w:rsidP="00000000" w:rsidRDefault="00000000" w:rsidRPr="00000000" w14:paraId="00000091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Use of commas to clarify meaning or avoid ambiguity</w:t>
            </w:r>
          </w:p>
        </w:tc>
        <w:tc>
          <w:tcPr/>
          <w:p w:rsidR="00000000" w:rsidDel="00000000" w:rsidP="00000000" w:rsidRDefault="00000000" w:rsidRPr="00000000" w14:paraId="00000092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Brackets, dashes or commas to indicate parenthesis </w:t>
            </w:r>
          </w:p>
          <w:p w:rsidR="00000000" w:rsidDel="00000000" w:rsidP="00000000" w:rsidRDefault="00000000" w:rsidRPr="00000000" w14:paraId="00000093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Brackets, dashes or commas to indicate parenthesis </w:t>
            </w:r>
          </w:p>
          <w:p w:rsidR="00000000" w:rsidDel="00000000" w:rsidP="00000000" w:rsidRDefault="00000000" w:rsidRPr="00000000" w14:paraId="00000096">
            <w:pPr>
              <w:rPr>
                <w:rFonts w:ascii="Poppins" w:cs="Poppins" w:eastAsia="Poppins" w:hAnsi="Poppins"/>
                <w:color w:val="00b05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Brackets, dashes or commas to indicate parenthesis </w:t>
            </w:r>
          </w:p>
          <w:p w:rsidR="00000000" w:rsidDel="00000000" w:rsidP="00000000" w:rsidRDefault="00000000" w:rsidRPr="00000000" w14:paraId="00000098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Brackets, dashes or commas to indicate parenthesis </w:t>
            </w:r>
          </w:p>
          <w:p w:rsidR="00000000" w:rsidDel="00000000" w:rsidP="00000000" w:rsidRDefault="00000000" w:rsidRPr="00000000" w14:paraId="0000009A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Use of commas to clarify meaning or avoid ambiguity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C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Poetry</w:t>
            </w:r>
          </w:p>
          <w:p w:rsidR="00000000" w:rsidDel="00000000" w:rsidP="00000000" w:rsidRDefault="00000000" w:rsidRPr="00000000" w14:paraId="0000009D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Taught 2x a year 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9F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Reading- Comprehension </w:t>
            </w:r>
          </w:p>
          <w:p w:rsidR="00000000" w:rsidDel="00000000" w:rsidP="00000000" w:rsidRDefault="00000000" w:rsidRPr="00000000" w14:paraId="000000A0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continuing to read and discuss an increasingly wide range of fiction, poetry, plays, non-fiction and reference books or textbooks 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learning a wider range of poetry by heart 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preparing poems and plays to read aloud and to perform, showing understanding through intonation, tone and volume so that the meaning is clear to an audience </w:t>
            </w:r>
          </w:p>
          <w:p w:rsidR="00000000" w:rsidDel="00000000" w:rsidP="00000000" w:rsidRDefault="00000000" w:rsidRPr="00000000" w14:paraId="000000A4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Poems:</w:t>
            </w:r>
          </w:p>
          <w:p w:rsidR="00000000" w:rsidDel="00000000" w:rsidP="00000000" w:rsidRDefault="00000000" w:rsidRPr="00000000" w14:paraId="000000A5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Gran Can You Wrap by Jack Ousby</w:t>
            </w:r>
          </w:p>
          <w:p w:rsidR="00000000" w:rsidDel="00000000" w:rsidP="00000000" w:rsidRDefault="00000000" w:rsidRPr="00000000" w14:paraId="000000A6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The Book by Michael Rosen</w:t>
            </w:r>
          </w:p>
          <w:p w:rsidR="00000000" w:rsidDel="00000000" w:rsidP="00000000" w:rsidRDefault="00000000" w:rsidRPr="00000000" w14:paraId="000000A7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Stop All the Clocks, Cut off the Telephone by WH Auden</w:t>
            </w:r>
          </w:p>
        </w:tc>
      </w:tr>
    </w:tbl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4472c4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4472c4"/>
        <w:sz w:val="22"/>
        <w:szCs w:val="22"/>
        <w:u w:val="none"/>
        <w:shd w:fill="auto" w:val="clear"/>
        <w:vertAlign w:val="baseline"/>
        <w:rtl w:val="0"/>
      </w:rPr>
      <w:t xml:space="preserve">WRITING- YEAR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365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3085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805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525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245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965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685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405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365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3085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805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525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245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965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685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405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A65AF4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F74E81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8212A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212A6"/>
  </w:style>
  <w:style w:type="paragraph" w:styleId="Footer">
    <w:name w:val="footer"/>
    <w:basedOn w:val="Normal"/>
    <w:link w:val="FooterChar"/>
    <w:uiPriority w:val="99"/>
    <w:unhideWhenUsed w:val="1"/>
    <w:rsid w:val="008212A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212A6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ZgZ5ivPlu/hlcysg/L5XUM8+MA==">CgMxLjA4AHIhMTNBZFBoYUxXekVVUVF5ZzlCdjdNbnZfbHpxQWw2Y2FQ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2025-07-23T07:30:00Z</dcterms:created>
  <dc:creator>teacher</dc:creator>
</cp:coreProperties>
</file>