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61E4" w14:textId="77777777" w:rsidR="00EB778B" w:rsidRPr="00E57E37" w:rsidRDefault="00EB778B" w:rsidP="00EB778B">
      <w:pPr>
        <w:jc w:val="center"/>
        <w:rPr>
          <w:rFonts w:asciiTheme="minorHAnsi" w:hAnsiTheme="minorHAnsi" w:cstheme="minorHAnsi"/>
          <w:b/>
          <w:bCs/>
          <w:color w:val="00B0F0"/>
          <w:sz w:val="96"/>
          <w:szCs w:val="96"/>
        </w:rPr>
      </w:pPr>
      <w:r w:rsidRPr="00E57E37">
        <w:rPr>
          <w:rFonts w:asciiTheme="minorHAnsi" w:hAnsiTheme="minorHAnsi" w:cstheme="minorHAnsi"/>
          <w:b/>
          <w:bCs/>
          <w:color w:val="00B0F0"/>
          <w:sz w:val="96"/>
          <w:szCs w:val="96"/>
        </w:rPr>
        <w:t>Lytham St Anne’s High School</w:t>
      </w:r>
    </w:p>
    <w:p w14:paraId="548A38E6" w14:textId="77777777" w:rsidR="00EB778B" w:rsidRPr="00E57E37" w:rsidRDefault="00EB778B" w:rsidP="00EB778B">
      <w:pPr>
        <w:jc w:val="center"/>
        <w:rPr>
          <w:rFonts w:asciiTheme="minorHAnsi" w:hAnsiTheme="minorHAnsi" w:cstheme="minorHAnsi"/>
          <w:sz w:val="24"/>
        </w:rPr>
      </w:pPr>
    </w:p>
    <w:p w14:paraId="55B5BDEC" w14:textId="77777777" w:rsidR="00EB778B" w:rsidRPr="00E57E37" w:rsidRDefault="00EB778B" w:rsidP="00EB778B">
      <w:pPr>
        <w:jc w:val="center"/>
        <w:rPr>
          <w:rFonts w:asciiTheme="minorHAnsi" w:hAnsiTheme="minorHAnsi" w:cstheme="minorHAnsi"/>
          <w:sz w:val="24"/>
        </w:rPr>
      </w:pPr>
    </w:p>
    <w:p w14:paraId="3843F5EE" w14:textId="77777777" w:rsidR="00EB778B" w:rsidRPr="00E57E37" w:rsidRDefault="00EB778B" w:rsidP="00EB778B">
      <w:pPr>
        <w:jc w:val="center"/>
        <w:rPr>
          <w:rFonts w:asciiTheme="minorHAnsi" w:hAnsiTheme="minorHAnsi" w:cstheme="minorHAnsi"/>
          <w:sz w:val="24"/>
        </w:rPr>
      </w:pPr>
      <w:r w:rsidRPr="00E57E37">
        <w:rPr>
          <w:rFonts w:asciiTheme="minorHAnsi" w:hAnsiTheme="minorHAnsi" w:cstheme="minorHAnsi"/>
          <w:noProof/>
          <w:sz w:val="24"/>
        </w:rPr>
        <w:drawing>
          <wp:inline distT="0" distB="0" distL="0" distR="0" wp14:anchorId="276452A0" wp14:editId="4EC2798C">
            <wp:extent cx="3657600" cy="21145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inline>
        </w:drawing>
      </w:r>
    </w:p>
    <w:p w14:paraId="223E7438" w14:textId="31282EE3" w:rsidR="00EB778B" w:rsidRPr="00E57E37" w:rsidRDefault="00EB778B" w:rsidP="00EB778B">
      <w:pPr>
        <w:jc w:val="center"/>
        <w:rPr>
          <w:rFonts w:asciiTheme="minorHAnsi" w:hAnsiTheme="minorHAnsi" w:cstheme="minorHAnsi"/>
          <w:sz w:val="24"/>
        </w:rPr>
      </w:pPr>
    </w:p>
    <w:p w14:paraId="70CAF1FF" w14:textId="2C14B31D" w:rsidR="002733F6" w:rsidRPr="005C2266" w:rsidRDefault="00EB778B" w:rsidP="00F17516">
      <w:pPr>
        <w:spacing w:line="276" w:lineRule="auto"/>
        <w:jc w:val="center"/>
        <w:rPr>
          <w:rFonts w:asciiTheme="minorHAnsi" w:hAnsiTheme="minorHAnsi" w:cstheme="minorHAnsi"/>
          <w:b/>
          <w:color w:val="003399"/>
          <w:sz w:val="72"/>
          <w:szCs w:val="72"/>
        </w:rPr>
      </w:pPr>
      <w:r>
        <w:rPr>
          <w:rFonts w:asciiTheme="minorHAnsi" w:hAnsiTheme="minorHAnsi" w:cstheme="minorHAnsi"/>
          <w:b/>
          <w:bCs/>
          <w:color w:val="00B0F0"/>
          <w:sz w:val="96"/>
          <w:szCs w:val="96"/>
        </w:rPr>
        <w:t>Access Arrangements Policy – Appendix I</w:t>
      </w:r>
      <w:r w:rsidR="000853A9" w:rsidRPr="005C2266">
        <w:rPr>
          <w:rFonts w:asciiTheme="minorHAnsi" w:hAnsiTheme="minorHAnsi" w:cstheme="minorHAnsi"/>
          <w:b/>
          <w:color w:val="003399"/>
          <w:sz w:val="72"/>
          <w:szCs w:val="72"/>
        </w:rPr>
        <w:t xml:space="preserve"> </w:t>
      </w:r>
    </w:p>
    <w:p w14:paraId="34B2B4DB" w14:textId="349E7244" w:rsidR="00134173" w:rsidRPr="005C2266" w:rsidRDefault="00134173" w:rsidP="00F17516">
      <w:pPr>
        <w:jc w:val="center"/>
        <w:rPr>
          <w:rFonts w:asciiTheme="minorHAnsi" w:hAnsiTheme="minorHAnsi" w:cstheme="minorHAnsi"/>
          <w:b/>
          <w:color w:val="FF3300"/>
          <w:sz w:val="72"/>
          <w:szCs w:val="72"/>
        </w:rPr>
      </w:pPr>
      <w:r w:rsidRPr="005C2266">
        <w:rPr>
          <w:rFonts w:asciiTheme="minorHAnsi" w:hAnsiTheme="minorHAnsi" w:cstheme="minorHAnsi"/>
          <w:color w:val="FF3300"/>
          <w:sz w:val="72"/>
          <w:szCs w:val="72"/>
        </w:rPr>
        <w:t>20</w:t>
      </w:r>
      <w:r w:rsidR="00F17516" w:rsidRPr="005C2266">
        <w:rPr>
          <w:rFonts w:asciiTheme="minorHAnsi" w:hAnsiTheme="minorHAnsi" w:cstheme="minorHAnsi"/>
          <w:color w:val="FF3300"/>
          <w:sz w:val="72"/>
          <w:szCs w:val="72"/>
        </w:rPr>
        <w:t>2</w:t>
      </w:r>
      <w:r w:rsidR="00D17C28">
        <w:rPr>
          <w:rFonts w:asciiTheme="minorHAnsi" w:hAnsiTheme="minorHAnsi" w:cstheme="minorHAnsi"/>
          <w:color w:val="FF3300"/>
          <w:sz w:val="72"/>
          <w:szCs w:val="72"/>
        </w:rPr>
        <w:t>4</w:t>
      </w:r>
      <w:r w:rsidR="00F17516" w:rsidRPr="005C2266">
        <w:rPr>
          <w:rFonts w:asciiTheme="minorHAnsi" w:hAnsiTheme="minorHAnsi" w:cstheme="minorHAnsi"/>
          <w:color w:val="FF3300"/>
          <w:sz w:val="72"/>
          <w:szCs w:val="72"/>
        </w:rPr>
        <w:t xml:space="preserve"> - 202</w:t>
      </w:r>
      <w:r w:rsidR="00D17C28">
        <w:rPr>
          <w:rFonts w:asciiTheme="minorHAnsi" w:hAnsiTheme="minorHAnsi" w:cstheme="minorHAnsi"/>
          <w:color w:val="FF3300"/>
          <w:sz w:val="72"/>
          <w:szCs w:val="72"/>
        </w:rPr>
        <w:t>5</w:t>
      </w:r>
    </w:p>
    <w:p w14:paraId="46D0FAB8" w14:textId="77777777" w:rsidR="00134173" w:rsidRPr="005C2266" w:rsidRDefault="00134173" w:rsidP="00134173">
      <w:pPr>
        <w:autoSpaceDE w:val="0"/>
        <w:autoSpaceDN w:val="0"/>
        <w:adjustRightInd w:val="0"/>
        <w:spacing w:line="276" w:lineRule="auto"/>
        <w:rPr>
          <w:rFonts w:asciiTheme="minorHAnsi" w:hAnsiTheme="minorHAnsi" w:cstheme="minorHAnsi"/>
          <w:szCs w:val="24"/>
        </w:rPr>
      </w:pPr>
    </w:p>
    <w:p w14:paraId="5A2F316B" w14:textId="77777777" w:rsidR="00134173" w:rsidRPr="005C2266" w:rsidRDefault="00134173" w:rsidP="00134173">
      <w:pPr>
        <w:autoSpaceDE w:val="0"/>
        <w:autoSpaceDN w:val="0"/>
        <w:adjustRightInd w:val="0"/>
        <w:spacing w:line="276" w:lineRule="auto"/>
        <w:rPr>
          <w:rFonts w:asciiTheme="minorHAnsi" w:hAnsiTheme="minorHAnsi" w:cstheme="minorHAnsi"/>
          <w:szCs w:val="24"/>
        </w:rPr>
      </w:pPr>
    </w:p>
    <w:p w14:paraId="3539917D" w14:textId="158BA006" w:rsidR="001D489A" w:rsidRPr="005C2266" w:rsidRDefault="00134173" w:rsidP="001D489A">
      <w:pPr>
        <w:spacing w:line="276" w:lineRule="auto"/>
        <w:rPr>
          <w:rFonts w:asciiTheme="minorHAnsi" w:hAnsiTheme="minorHAnsi" w:cstheme="minorHAnsi"/>
          <w:szCs w:val="24"/>
        </w:rPr>
      </w:pPr>
      <w:r w:rsidRPr="005C2266">
        <w:rPr>
          <w:rFonts w:asciiTheme="minorHAnsi" w:hAnsiTheme="minorHAnsi" w:cstheme="minorHAnsi"/>
          <w:szCs w:val="24"/>
        </w:rPr>
        <w:t>Th</w:t>
      </w:r>
      <w:r w:rsidR="00D46407" w:rsidRPr="005C2266">
        <w:rPr>
          <w:rFonts w:asciiTheme="minorHAnsi" w:hAnsiTheme="minorHAnsi" w:cstheme="minorHAnsi"/>
          <w:szCs w:val="24"/>
        </w:rPr>
        <w:t xml:space="preserve">is </w:t>
      </w:r>
      <w:r w:rsidR="00844861" w:rsidRPr="005C2266">
        <w:rPr>
          <w:rFonts w:asciiTheme="minorHAnsi" w:hAnsiTheme="minorHAnsi" w:cstheme="minorHAnsi"/>
          <w:szCs w:val="24"/>
        </w:rPr>
        <w:t>policy</w:t>
      </w:r>
      <w:r w:rsidR="00D46407" w:rsidRPr="005C2266">
        <w:rPr>
          <w:rFonts w:asciiTheme="minorHAnsi" w:hAnsiTheme="minorHAnsi" w:cstheme="minorHAnsi"/>
          <w:szCs w:val="24"/>
        </w:rPr>
        <w:t xml:space="preserve"> is</w:t>
      </w:r>
      <w:r w:rsidRPr="005C2266">
        <w:rPr>
          <w:rFonts w:asciiTheme="minorHAnsi" w:hAnsiTheme="minorHAnsi" w:cstheme="minorHAnsi"/>
          <w:szCs w:val="24"/>
        </w:rPr>
        <w:t xml:space="preserve"> reviewed annually to ensure compliance with current regulations</w:t>
      </w:r>
      <w:bookmarkStart w:id="0" w:name="_Toc490256598"/>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1D489A" w:rsidRPr="005C2266" w14:paraId="1BC2C765" w14:textId="77777777" w:rsidTr="00DF466A">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8F2D1E" w14:textId="77777777" w:rsidR="001D489A" w:rsidRPr="005C2266" w:rsidRDefault="001D489A" w:rsidP="00DF466A">
            <w:pPr>
              <w:spacing w:line="276" w:lineRule="auto"/>
              <w:rPr>
                <w:rFonts w:asciiTheme="minorHAnsi" w:hAnsiTheme="minorHAnsi" w:cstheme="minorHAnsi"/>
                <w:szCs w:val="24"/>
              </w:rPr>
            </w:pPr>
            <w:r w:rsidRPr="005C2266">
              <w:rPr>
                <w:rFonts w:asciiTheme="minorHAnsi" w:hAnsiTheme="minorHAnsi" w:cstheme="minorHAnsi"/>
                <w:szCs w:val="24"/>
              </w:rPr>
              <w:t>Approved/reviewed by</w:t>
            </w:r>
          </w:p>
        </w:tc>
      </w:tr>
      <w:tr w:rsidR="001D489A" w:rsidRPr="005C2266" w14:paraId="296B2DAC" w14:textId="77777777" w:rsidTr="00DF466A">
        <w:tc>
          <w:tcPr>
            <w:tcW w:w="3969" w:type="dxa"/>
            <w:gridSpan w:val="2"/>
            <w:tcBorders>
              <w:top w:val="single" w:sz="8" w:space="0" w:color="auto"/>
              <w:left w:val="single" w:sz="8" w:space="0" w:color="auto"/>
              <w:bottom w:val="single" w:sz="8" w:space="0" w:color="auto"/>
              <w:right w:val="single" w:sz="8" w:space="0" w:color="auto"/>
            </w:tcBorders>
            <w:vAlign w:val="center"/>
          </w:tcPr>
          <w:p w14:paraId="1A682BF6" w14:textId="77777777" w:rsidR="001D489A" w:rsidRPr="005C2266" w:rsidRDefault="001D489A" w:rsidP="00DF466A">
            <w:pPr>
              <w:spacing w:line="276" w:lineRule="auto"/>
              <w:jc w:val="both"/>
              <w:rPr>
                <w:rFonts w:asciiTheme="minorHAnsi" w:hAnsiTheme="minorHAnsi" w:cstheme="minorHAnsi"/>
              </w:rPr>
            </w:pPr>
          </w:p>
        </w:tc>
      </w:tr>
      <w:tr w:rsidR="001D489A" w:rsidRPr="005C2266" w14:paraId="1208D4F1" w14:textId="77777777" w:rsidTr="00DF466A">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A4C44FB" w14:textId="77777777" w:rsidR="00D81682" w:rsidRDefault="001D489A" w:rsidP="00D81682">
            <w:pPr>
              <w:spacing w:line="276" w:lineRule="auto"/>
              <w:ind w:left="1080" w:hanging="1080"/>
              <w:rPr>
                <w:rFonts w:asciiTheme="minorHAnsi" w:hAnsiTheme="minorHAnsi" w:cstheme="minorHAnsi"/>
                <w:szCs w:val="24"/>
              </w:rPr>
            </w:pPr>
            <w:r w:rsidRPr="005C2266">
              <w:rPr>
                <w:rFonts w:asciiTheme="minorHAnsi" w:hAnsiTheme="minorHAnsi" w:cstheme="minorHAnsi"/>
                <w:szCs w:val="24"/>
              </w:rPr>
              <w:t xml:space="preserve">Date of </w:t>
            </w:r>
            <w:r w:rsidR="00D81682">
              <w:rPr>
                <w:rFonts w:asciiTheme="minorHAnsi" w:hAnsiTheme="minorHAnsi" w:cstheme="minorHAnsi"/>
                <w:szCs w:val="24"/>
              </w:rPr>
              <w:t xml:space="preserve">next </w:t>
            </w:r>
          </w:p>
          <w:p w14:paraId="0FC3E6E5" w14:textId="40B77D3C" w:rsidR="001D489A" w:rsidRPr="005C2266" w:rsidRDefault="00D81682" w:rsidP="00D81682">
            <w:pPr>
              <w:spacing w:line="276" w:lineRule="auto"/>
              <w:ind w:left="1080" w:hanging="1080"/>
              <w:rPr>
                <w:rFonts w:asciiTheme="minorHAnsi" w:hAnsiTheme="minorHAnsi" w:cstheme="minorHAnsi"/>
                <w:szCs w:val="24"/>
              </w:rPr>
            </w:pPr>
            <w:r>
              <w:rPr>
                <w:rFonts w:asciiTheme="minorHAnsi" w:hAnsiTheme="minorHAnsi" w:cstheme="minorHAnsi"/>
                <w:szCs w:val="24"/>
              </w:rPr>
              <w:t>r</w:t>
            </w:r>
            <w:r w:rsidR="001D489A" w:rsidRPr="005C2266">
              <w:rPr>
                <w:rFonts w:asciiTheme="minorHAnsi" w:hAnsiTheme="minorHAnsi" w:cstheme="minorHAnsi"/>
                <w:szCs w:val="24"/>
              </w:rPr>
              <w:t>ev</w:t>
            </w:r>
            <w:r>
              <w:rPr>
                <w:rFonts w:asciiTheme="minorHAnsi" w:hAnsiTheme="minorHAnsi" w:cstheme="minorHAnsi"/>
                <w:szCs w:val="24"/>
              </w:rPr>
              <w:t>i</w:t>
            </w:r>
            <w:r w:rsidR="001D489A" w:rsidRPr="005C2266">
              <w:rPr>
                <w:rFonts w:asciiTheme="minorHAnsi" w:hAnsiTheme="minorHAnsi" w:cstheme="minorHAnsi"/>
                <w:szCs w:val="24"/>
              </w:rPr>
              <w:t>ew</w:t>
            </w:r>
          </w:p>
        </w:tc>
        <w:tc>
          <w:tcPr>
            <w:tcW w:w="2245" w:type="dxa"/>
            <w:tcBorders>
              <w:top w:val="single" w:sz="8" w:space="0" w:color="auto"/>
              <w:left w:val="single" w:sz="8" w:space="0" w:color="auto"/>
              <w:bottom w:val="single" w:sz="8" w:space="0" w:color="auto"/>
              <w:right w:val="single" w:sz="8" w:space="0" w:color="auto"/>
            </w:tcBorders>
            <w:vAlign w:val="center"/>
          </w:tcPr>
          <w:p w14:paraId="697D96A3" w14:textId="77777777" w:rsidR="001D489A" w:rsidRPr="005C2266" w:rsidRDefault="001D489A" w:rsidP="00DF466A">
            <w:pPr>
              <w:spacing w:line="276" w:lineRule="auto"/>
              <w:jc w:val="both"/>
              <w:rPr>
                <w:rFonts w:asciiTheme="minorHAnsi" w:hAnsiTheme="minorHAnsi" w:cstheme="minorHAnsi"/>
              </w:rPr>
            </w:pPr>
          </w:p>
        </w:tc>
      </w:tr>
    </w:tbl>
    <w:p w14:paraId="0C34AACC" w14:textId="77777777" w:rsidR="0049549D" w:rsidRPr="005C2266" w:rsidRDefault="0049549D" w:rsidP="006819FD">
      <w:pPr>
        <w:pStyle w:val="Headinglevel1"/>
        <w:spacing w:before="240" w:line="276" w:lineRule="auto"/>
        <w:rPr>
          <w:rFonts w:asciiTheme="minorHAnsi" w:hAnsiTheme="minorHAnsi" w:cstheme="minorHAnsi"/>
          <w:szCs w:val="24"/>
        </w:rPr>
      </w:pPr>
    </w:p>
    <w:p w14:paraId="4D9501FF" w14:textId="3E34D74E" w:rsidR="006819FD" w:rsidRPr="005C2266" w:rsidRDefault="006819FD" w:rsidP="006819FD">
      <w:pPr>
        <w:pStyle w:val="Headinglevel1"/>
        <w:spacing w:before="240" w:line="276" w:lineRule="auto"/>
        <w:rPr>
          <w:rFonts w:asciiTheme="minorHAnsi" w:hAnsiTheme="minorHAnsi" w:cstheme="minorHAnsi"/>
          <w:szCs w:val="24"/>
        </w:rPr>
      </w:pPr>
      <w:bookmarkStart w:id="1" w:name="_Toc85542743"/>
      <w:r w:rsidRPr="005C2266">
        <w:rPr>
          <w:rFonts w:asciiTheme="minorHAnsi" w:hAnsiTheme="minorHAnsi" w:cstheme="minorHAnsi"/>
          <w:szCs w:val="24"/>
        </w:rPr>
        <w:lastRenderedPageBreak/>
        <w:t>Key staff involved in 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819FD" w:rsidRPr="005C2266" w14:paraId="50ECB0C5" w14:textId="77777777" w:rsidTr="002E1E80">
        <w:tc>
          <w:tcPr>
            <w:tcW w:w="3534" w:type="dxa"/>
            <w:shd w:val="clear" w:color="auto" w:fill="C6D9F1" w:themeFill="text2" w:themeFillTint="33"/>
          </w:tcPr>
          <w:p w14:paraId="687A689A" w14:textId="77777777" w:rsidR="006819FD" w:rsidRPr="005C2266" w:rsidRDefault="006819FD" w:rsidP="00D5745F">
            <w:pPr>
              <w:jc w:val="both"/>
              <w:rPr>
                <w:rFonts w:asciiTheme="minorHAnsi" w:hAnsiTheme="minorHAnsi" w:cstheme="minorHAnsi"/>
                <w:b/>
              </w:rPr>
            </w:pPr>
            <w:bookmarkStart w:id="2" w:name="_Hlk20227038"/>
            <w:bookmarkStart w:id="3" w:name="_Hlk20226988"/>
            <w:r w:rsidRPr="005C2266">
              <w:rPr>
                <w:rFonts w:asciiTheme="minorHAnsi" w:hAnsiTheme="minorHAnsi" w:cstheme="minorHAnsi"/>
                <w:b/>
              </w:rPr>
              <w:t>Role</w:t>
            </w:r>
          </w:p>
        </w:tc>
        <w:tc>
          <w:tcPr>
            <w:tcW w:w="6498" w:type="dxa"/>
            <w:shd w:val="clear" w:color="auto" w:fill="C6D9F1" w:themeFill="text2" w:themeFillTint="33"/>
          </w:tcPr>
          <w:p w14:paraId="3B0BDB66" w14:textId="221A5CEF" w:rsidR="006819FD" w:rsidRPr="005C2266" w:rsidRDefault="006819FD" w:rsidP="00D5745F">
            <w:pPr>
              <w:jc w:val="both"/>
              <w:rPr>
                <w:rFonts w:asciiTheme="minorHAnsi" w:hAnsiTheme="minorHAnsi" w:cstheme="minorHAnsi"/>
                <w:b/>
              </w:rPr>
            </w:pPr>
            <w:r w:rsidRPr="005C2266">
              <w:rPr>
                <w:rFonts w:asciiTheme="minorHAnsi" w:hAnsiTheme="minorHAnsi" w:cstheme="minorHAnsi"/>
                <w:b/>
              </w:rPr>
              <w:t>Name(s)</w:t>
            </w:r>
          </w:p>
        </w:tc>
      </w:tr>
      <w:tr w:rsidR="006819FD" w:rsidRPr="005C2266" w14:paraId="000DEA09" w14:textId="77777777" w:rsidTr="003F0525">
        <w:tc>
          <w:tcPr>
            <w:tcW w:w="3534" w:type="dxa"/>
            <w:shd w:val="clear" w:color="auto" w:fill="auto"/>
          </w:tcPr>
          <w:p w14:paraId="234651CE" w14:textId="528D887B" w:rsidR="006819FD" w:rsidRPr="005C2266" w:rsidRDefault="002E1E80" w:rsidP="00D5745F">
            <w:pPr>
              <w:jc w:val="both"/>
              <w:rPr>
                <w:rFonts w:asciiTheme="minorHAnsi" w:hAnsiTheme="minorHAnsi" w:cstheme="minorHAnsi"/>
              </w:rPr>
            </w:pPr>
            <w:r w:rsidRPr="005C2266">
              <w:rPr>
                <w:rFonts w:asciiTheme="minorHAnsi" w:hAnsiTheme="minorHAnsi" w:cstheme="minorHAnsi"/>
              </w:rPr>
              <w:t xml:space="preserve">ALS </w:t>
            </w:r>
            <w:proofErr w:type="gramStart"/>
            <w:r w:rsidRPr="005C2266">
              <w:rPr>
                <w:rFonts w:asciiTheme="minorHAnsi" w:hAnsiTheme="minorHAnsi" w:cstheme="minorHAnsi"/>
              </w:rPr>
              <w:t>lead</w:t>
            </w:r>
            <w:proofErr w:type="gramEnd"/>
            <w:r w:rsidRPr="005C2266">
              <w:rPr>
                <w:rFonts w:asciiTheme="minorHAnsi" w:hAnsiTheme="minorHAnsi" w:cstheme="minorHAnsi"/>
              </w:rPr>
              <w:t>/</w:t>
            </w:r>
            <w:r w:rsidR="006819FD" w:rsidRPr="005C2266">
              <w:rPr>
                <w:rFonts w:asciiTheme="minorHAnsi" w:hAnsiTheme="minorHAnsi" w:cstheme="minorHAnsi"/>
              </w:rPr>
              <w:t>SENCo</w:t>
            </w:r>
          </w:p>
        </w:tc>
        <w:tc>
          <w:tcPr>
            <w:tcW w:w="6498" w:type="dxa"/>
          </w:tcPr>
          <w:p w14:paraId="5BBD1650" w14:textId="341364E0" w:rsidR="006819FD" w:rsidRPr="005C2266" w:rsidRDefault="00BC3AD3" w:rsidP="00D5745F">
            <w:pPr>
              <w:jc w:val="both"/>
              <w:rPr>
                <w:rFonts w:asciiTheme="minorHAnsi" w:hAnsiTheme="minorHAnsi" w:cstheme="minorHAnsi"/>
                <w:b/>
              </w:rPr>
            </w:pPr>
            <w:r w:rsidRPr="005C2266">
              <w:rPr>
                <w:rFonts w:asciiTheme="minorHAnsi" w:hAnsiTheme="minorHAnsi" w:cstheme="minorHAnsi"/>
                <w:b/>
              </w:rPr>
              <w:t>Tonia Hallam</w:t>
            </w:r>
          </w:p>
        </w:tc>
      </w:tr>
      <w:tr w:rsidR="006819FD" w:rsidRPr="005C2266" w14:paraId="153C42EF" w14:textId="77777777" w:rsidTr="003F0525">
        <w:tc>
          <w:tcPr>
            <w:tcW w:w="3534" w:type="dxa"/>
            <w:shd w:val="clear" w:color="auto" w:fill="auto"/>
          </w:tcPr>
          <w:p w14:paraId="30D80F1F" w14:textId="11A61E92" w:rsidR="006819FD" w:rsidRPr="005C2266" w:rsidRDefault="002E1E80" w:rsidP="00D5745F">
            <w:pPr>
              <w:jc w:val="both"/>
              <w:rPr>
                <w:rFonts w:asciiTheme="minorHAnsi" w:hAnsiTheme="minorHAnsi" w:cstheme="minorHAnsi"/>
              </w:rPr>
            </w:pPr>
            <w:r w:rsidRPr="005C2266">
              <w:rPr>
                <w:rFonts w:asciiTheme="minorHAnsi" w:hAnsiTheme="minorHAnsi" w:cstheme="minorHAnsi"/>
              </w:rPr>
              <w:t xml:space="preserve">ALS </w:t>
            </w:r>
            <w:proofErr w:type="gramStart"/>
            <w:r w:rsidRPr="005C2266">
              <w:rPr>
                <w:rFonts w:asciiTheme="minorHAnsi" w:hAnsiTheme="minorHAnsi" w:cstheme="minorHAnsi"/>
              </w:rPr>
              <w:t>lead</w:t>
            </w:r>
            <w:proofErr w:type="gramEnd"/>
            <w:r w:rsidRPr="005C2266">
              <w:rPr>
                <w:rFonts w:asciiTheme="minorHAnsi" w:hAnsiTheme="minorHAnsi" w:cstheme="minorHAnsi"/>
              </w:rPr>
              <w:t>/</w:t>
            </w:r>
            <w:r w:rsidR="006819FD" w:rsidRPr="005C2266">
              <w:rPr>
                <w:rFonts w:asciiTheme="minorHAnsi" w:hAnsiTheme="minorHAnsi" w:cstheme="minorHAnsi"/>
              </w:rPr>
              <w:t xml:space="preserve">SENCo line manager (Senior </w:t>
            </w:r>
            <w:r w:rsidR="00C17E86" w:rsidRPr="005C2266">
              <w:rPr>
                <w:rFonts w:asciiTheme="minorHAnsi" w:hAnsiTheme="minorHAnsi" w:cstheme="minorHAnsi"/>
              </w:rPr>
              <w:t>l</w:t>
            </w:r>
            <w:r w:rsidR="006819FD" w:rsidRPr="005C2266">
              <w:rPr>
                <w:rFonts w:asciiTheme="minorHAnsi" w:hAnsiTheme="minorHAnsi" w:cstheme="minorHAnsi"/>
              </w:rPr>
              <w:t>eader)</w:t>
            </w:r>
          </w:p>
        </w:tc>
        <w:tc>
          <w:tcPr>
            <w:tcW w:w="6498" w:type="dxa"/>
          </w:tcPr>
          <w:p w14:paraId="6BC8E669" w14:textId="1EA19082" w:rsidR="006819FD" w:rsidRPr="005C2266" w:rsidRDefault="006819FD" w:rsidP="00D5745F">
            <w:pPr>
              <w:jc w:val="both"/>
              <w:rPr>
                <w:rFonts w:asciiTheme="minorHAnsi" w:hAnsiTheme="minorHAnsi" w:cstheme="minorHAnsi"/>
                <w:b/>
              </w:rPr>
            </w:pPr>
          </w:p>
        </w:tc>
      </w:tr>
      <w:tr w:rsidR="006819FD" w:rsidRPr="005C2266" w14:paraId="07483345" w14:textId="77777777" w:rsidTr="002E1E80">
        <w:tc>
          <w:tcPr>
            <w:tcW w:w="3534" w:type="dxa"/>
          </w:tcPr>
          <w:p w14:paraId="43E076CF" w14:textId="77777777" w:rsidR="006819FD" w:rsidRPr="005C2266" w:rsidRDefault="006819FD" w:rsidP="00D5745F">
            <w:pPr>
              <w:jc w:val="both"/>
              <w:rPr>
                <w:rFonts w:asciiTheme="minorHAnsi" w:hAnsiTheme="minorHAnsi" w:cstheme="minorHAnsi"/>
              </w:rPr>
            </w:pPr>
            <w:r w:rsidRPr="005C2266">
              <w:rPr>
                <w:rFonts w:asciiTheme="minorHAnsi" w:hAnsiTheme="minorHAnsi" w:cstheme="minorHAnsi"/>
              </w:rPr>
              <w:t>Head of centre</w:t>
            </w:r>
          </w:p>
        </w:tc>
        <w:tc>
          <w:tcPr>
            <w:tcW w:w="6498" w:type="dxa"/>
          </w:tcPr>
          <w:p w14:paraId="153AAE94" w14:textId="497A392E" w:rsidR="006819FD" w:rsidRPr="005C2266" w:rsidRDefault="0049549D" w:rsidP="00D5745F">
            <w:pPr>
              <w:jc w:val="both"/>
              <w:rPr>
                <w:rFonts w:asciiTheme="minorHAnsi" w:hAnsiTheme="minorHAnsi" w:cstheme="minorHAnsi"/>
                <w:b/>
              </w:rPr>
            </w:pPr>
            <w:r w:rsidRPr="005C2266">
              <w:rPr>
                <w:rFonts w:asciiTheme="minorHAnsi" w:hAnsiTheme="minorHAnsi" w:cstheme="minorHAnsi"/>
                <w:b/>
              </w:rPr>
              <w:t>Ray Baker</w:t>
            </w:r>
          </w:p>
        </w:tc>
      </w:tr>
      <w:tr w:rsidR="006819FD" w:rsidRPr="005C2266" w14:paraId="2E554BB9" w14:textId="77777777" w:rsidTr="002E1E80">
        <w:tc>
          <w:tcPr>
            <w:tcW w:w="3534" w:type="dxa"/>
          </w:tcPr>
          <w:p w14:paraId="77E386D3" w14:textId="77777777" w:rsidR="006819FD" w:rsidRPr="005C2266" w:rsidRDefault="006819FD" w:rsidP="00D5745F">
            <w:pPr>
              <w:jc w:val="both"/>
              <w:rPr>
                <w:rFonts w:asciiTheme="minorHAnsi" w:hAnsiTheme="minorHAnsi" w:cstheme="minorHAnsi"/>
              </w:rPr>
            </w:pPr>
            <w:r w:rsidRPr="005C2266">
              <w:rPr>
                <w:rFonts w:asciiTheme="minorHAnsi" w:hAnsiTheme="minorHAnsi" w:cstheme="minorHAnsi"/>
              </w:rPr>
              <w:t>Assessor(s)</w:t>
            </w:r>
          </w:p>
        </w:tc>
        <w:tc>
          <w:tcPr>
            <w:tcW w:w="6498" w:type="dxa"/>
          </w:tcPr>
          <w:p w14:paraId="6EB845A9" w14:textId="2BF33B7E" w:rsidR="006819FD" w:rsidRPr="005C2266" w:rsidRDefault="00D81682" w:rsidP="00D5745F">
            <w:pPr>
              <w:jc w:val="both"/>
              <w:rPr>
                <w:rFonts w:asciiTheme="minorHAnsi" w:hAnsiTheme="minorHAnsi" w:cstheme="minorHAnsi"/>
                <w:b/>
              </w:rPr>
            </w:pPr>
            <w:r>
              <w:rPr>
                <w:rFonts w:asciiTheme="minorHAnsi" w:hAnsiTheme="minorHAnsi" w:cstheme="minorHAnsi"/>
                <w:b/>
              </w:rPr>
              <w:t>Tonia Hallam, Sheila Vann</w:t>
            </w:r>
          </w:p>
        </w:tc>
      </w:tr>
      <w:bookmarkEnd w:id="2"/>
    </w:tbl>
    <w:p w14:paraId="71DA004D" w14:textId="16B90D8A" w:rsidR="006819FD" w:rsidRPr="005C2266" w:rsidRDefault="006819FD" w:rsidP="006819FD">
      <w:pPr>
        <w:spacing w:after="200" w:line="276" w:lineRule="auto"/>
        <w:rPr>
          <w:rFonts w:asciiTheme="minorHAnsi" w:hAnsiTheme="minorHAnsi" w:cstheme="minorHAnsi"/>
          <w:b/>
          <w:noProof/>
          <w:color w:val="003399"/>
          <w:sz w:val="28"/>
          <w:szCs w:val="28"/>
        </w:rPr>
      </w:pPr>
    </w:p>
    <w:p w14:paraId="534A8514" w14:textId="3F931D54" w:rsidR="006819FD" w:rsidRPr="005C2266" w:rsidRDefault="006819FD" w:rsidP="006819FD">
      <w:pPr>
        <w:spacing w:before="0" w:after="200" w:line="276" w:lineRule="auto"/>
        <w:rPr>
          <w:rFonts w:asciiTheme="minorHAnsi" w:hAnsiTheme="minorHAnsi" w:cstheme="minorHAnsi"/>
          <w:b/>
          <w:noProof/>
          <w:color w:val="003399"/>
          <w:sz w:val="28"/>
          <w:szCs w:val="28"/>
        </w:rPr>
      </w:pPr>
      <w:r w:rsidRPr="005C2266">
        <w:rPr>
          <w:rFonts w:asciiTheme="minorHAnsi" w:hAnsiTheme="minorHAnsi" w:cstheme="minorHAnsi"/>
          <w:b/>
          <w:noProof/>
          <w:color w:val="003399"/>
          <w:sz w:val="28"/>
          <w:szCs w:val="28"/>
        </w:rPr>
        <w:br w:type="page"/>
      </w:r>
    </w:p>
    <w:bookmarkEnd w:id="3" w:displacedByCustomXml="next"/>
    <w:bookmarkStart w:id="4" w:name="_Toc22487142" w:displacedByCustomXml="next"/>
    <w:bookmarkStart w:id="5" w:name="_Toc22487023" w:displacedByCustomXml="next"/>
    <w:bookmarkStart w:id="6" w:name="_Toc22304694" w:displacedByCustomXml="next"/>
    <w:sdt>
      <w:sdtPr>
        <w:rPr>
          <w:rFonts w:asciiTheme="minorHAnsi" w:eastAsiaTheme="minorEastAsia" w:hAnsiTheme="minorHAnsi" w:cstheme="minorHAnsi"/>
          <w:b w:val="0"/>
          <w:bCs w:val="0"/>
          <w:color w:val="auto"/>
          <w:sz w:val="22"/>
          <w:szCs w:val="22"/>
          <w:lang w:val="en-GB" w:eastAsia="en-GB"/>
        </w:rPr>
        <w:id w:val="-1093779735"/>
        <w:docPartObj>
          <w:docPartGallery w:val="Table of Contents"/>
          <w:docPartUnique/>
        </w:docPartObj>
      </w:sdtPr>
      <w:sdtEndPr>
        <w:rPr>
          <w:noProof/>
        </w:rPr>
      </w:sdtEndPr>
      <w:sdtContent>
        <w:p w14:paraId="0E3C32F8" w14:textId="52569A3A" w:rsidR="006819FD" w:rsidRPr="005C2266" w:rsidRDefault="006819FD">
          <w:pPr>
            <w:pStyle w:val="TOCHeading"/>
            <w:rPr>
              <w:rFonts w:asciiTheme="minorHAnsi" w:hAnsiTheme="minorHAnsi" w:cstheme="minorHAnsi"/>
              <w:color w:val="003399"/>
            </w:rPr>
          </w:pPr>
          <w:r w:rsidRPr="005C2266">
            <w:rPr>
              <w:rFonts w:asciiTheme="minorHAnsi" w:hAnsiTheme="minorHAnsi" w:cstheme="minorHAnsi"/>
              <w:color w:val="003399"/>
            </w:rPr>
            <w:t>Contents</w:t>
          </w:r>
        </w:p>
        <w:p w14:paraId="689C6731" w14:textId="1EDDC9BA" w:rsidR="0018337D" w:rsidRPr="005C2266" w:rsidRDefault="006819FD">
          <w:pPr>
            <w:pStyle w:val="TOC1"/>
            <w:tabs>
              <w:tab w:val="right" w:leader="dot" w:pos="10042"/>
            </w:tabs>
            <w:rPr>
              <w:rFonts w:asciiTheme="minorHAnsi" w:hAnsiTheme="minorHAnsi" w:cstheme="minorHAnsi"/>
              <w:noProof/>
            </w:rPr>
          </w:pPr>
          <w:r w:rsidRPr="005C2266">
            <w:rPr>
              <w:rFonts w:asciiTheme="minorHAnsi" w:hAnsiTheme="minorHAnsi" w:cstheme="minorHAnsi"/>
            </w:rPr>
            <w:fldChar w:fldCharType="begin"/>
          </w:r>
          <w:r w:rsidRPr="005C2266">
            <w:rPr>
              <w:rFonts w:asciiTheme="minorHAnsi" w:hAnsiTheme="minorHAnsi" w:cstheme="minorHAnsi"/>
            </w:rPr>
            <w:instrText xml:space="preserve"> TOC \o "1-3" \h \z \u </w:instrText>
          </w:r>
          <w:r w:rsidRPr="005C2266">
            <w:rPr>
              <w:rFonts w:asciiTheme="minorHAnsi" w:hAnsiTheme="minorHAnsi" w:cstheme="minorHAnsi"/>
            </w:rPr>
            <w:fldChar w:fldCharType="separate"/>
          </w:r>
          <w:hyperlink w:anchor="_Toc85542743" w:history="1">
            <w:r w:rsidR="0018337D" w:rsidRPr="005C2266">
              <w:rPr>
                <w:rStyle w:val="Hyperlink"/>
                <w:rFonts w:asciiTheme="minorHAnsi" w:hAnsiTheme="minorHAnsi" w:cstheme="minorHAnsi"/>
                <w:noProof/>
              </w:rPr>
              <w:t>Key staff involved in the policy</w:t>
            </w:r>
            <w:r w:rsidR="0018337D" w:rsidRPr="005C2266">
              <w:rPr>
                <w:rFonts w:asciiTheme="minorHAnsi" w:hAnsiTheme="minorHAnsi" w:cstheme="minorHAnsi"/>
                <w:noProof/>
                <w:webHidden/>
              </w:rPr>
              <w:tab/>
            </w:r>
            <w:r w:rsidR="0018337D" w:rsidRPr="005C2266">
              <w:rPr>
                <w:rFonts w:asciiTheme="minorHAnsi" w:hAnsiTheme="minorHAnsi" w:cstheme="minorHAnsi"/>
                <w:noProof/>
                <w:webHidden/>
              </w:rPr>
              <w:fldChar w:fldCharType="begin"/>
            </w:r>
            <w:r w:rsidR="0018337D" w:rsidRPr="005C2266">
              <w:rPr>
                <w:rFonts w:asciiTheme="minorHAnsi" w:hAnsiTheme="minorHAnsi" w:cstheme="minorHAnsi"/>
                <w:noProof/>
                <w:webHidden/>
              </w:rPr>
              <w:instrText xml:space="preserve"> PAGEREF _Toc85542743 \h </w:instrText>
            </w:r>
            <w:r w:rsidR="0018337D" w:rsidRPr="005C2266">
              <w:rPr>
                <w:rFonts w:asciiTheme="minorHAnsi" w:hAnsiTheme="minorHAnsi" w:cstheme="minorHAnsi"/>
                <w:noProof/>
                <w:webHidden/>
              </w:rPr>
            </w:r>
            <w:r w:rsidR="0018337D" w:rsidRPr="005C2266">
              <w:rPr>
                <w:rFonts w:asciiTheme="minorHAnsi" w:hAnsiTheme="minorHAnsi" w:cstheme="minorHAnsi"/>
                <w:noProof/>
                <w:webHidden/>
              </w:rPr>
              <w:fldChar w:fldCharType="separate"/>
            </w:r>
            <w:r w:rsidR="00EB778B">
              <w:rPr>
                <w:rFonts w:asciiTheme="minorHAnsi" w:hAnsiTheme="minorHAnsi" w:cstheme="minorHAnsi"/>
                <w:noProof/>
                <w:webHidden/>
              </w:rPr>
              <w:t>2</w:t>
            </w:r>
            <w:r w:rsidR="0018337D" w:rsidRPr="005C2266">
              <w:rPr>
                <w:rFonts w:asciiTheme="minorHAnsi" w:hAnsiTheme="minorHAnsi" w:cstheme="minorHAnsi"/>
                <w:noProof/>
                <w:webHidden/>
              </w:rPr>
              <w:fldChar w:fldCharType="end"/>
            </w:r>
          </w:hyperlink>
        </w:p>
        <w:p w14:paraId="532FAA0D" w14:textId="5E4FF201" w:rsidR="0018337D" w:rsidRPr="005C2266" w:rsidRDefault="0018337D">
          <w:pPr>
            <w:pStyle w:val="TOC1"/>
            <w:tabs>
              <w:tab w:val="right" w:leader="dot" w:pos="10042"/>
            </w:tabs>
            <w:rPr>
              <w:rFonts w:asciiTheme="minorHAnsi" w:hAnsiTheme="minorHAnsi" w:cstheme="minorHAnsi"/>
              <w:noProof/>
            </w:rPr>
          </w:pPr>
          <w:hyperlink w:anchor="_Toc85542744" w:history="1">
            <w:r w:rsidRPr="005C2266">
              <w:rPr>
                <w:rStyle w:val="Hyperlink"/>
                <w:rFonts w:asciiTheme="minorHAnsi" w:hAnsiTheme="minorHAnsi" w:cstheme="minorHAnsi"/>
                <w:noProof/>
              </w:rPr>
              <w:t>What are access arrangements and reasonable adjustments?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_Toc85542744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4</w:t>
            </w:r>
            <w:r w:rsidRPr="005C2266">
              <w:rPr>
                <w:rFonts w:asciiTheme="minorHAnsi" w:hAnsiTheme="minorHAnsi" w:cstheme="minorHAnsi"/>
                <w:noProof/>
                <w:webHidden/>
              </w:rPr>
              <w:fldChar w:fldCharType="end"/>
            </w:r>
          </w:hyperlink>
        </w:p>
        <w:p w14:paraId="669B9A19" w14:textId="7E5931C1" w:rsidR="0018337D" w:rsidRPr="005C2266" w:rsidRDefault="0018337D">
          <w:pPr>
            <w:pStyle w:val="TOC2"/>
            <w:tabs>
              <w:tab w:val="right" w:leader="dot" w:pos="10042"/>
            </w:tabs>
            <w:rPr>
              <w:rFonts w:asciiTheme="minorHAnsi" w:hAnsiTheme="minorHAnsi" w:cstheme="minorHAnsi"/>
              <w:noProof/>
            </w:rPr>
          </w:pPr>
          <w:hyperlink w:anchor="_Toc85542745" w:history="1">
            <w:r w:rsidRPr="005C2266">
              <w:rPr>
                <w:rStyle w:val="Hyperlink"/>
                <w:rFonts w:asciiTheme="minorHAnsi" w:hAnsiTheme="minorHAnsi" w:cstheme="minorHAnsi"/>
                <w:noProof/>
              </w:rPr>
              <w:t>Access arrangements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_Toc85542745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4</w:t>
            </w:r>
            <w:r w:rsidRPr="005C2266">
              <w:rPr>
                <w:rFonts w:asciiTheme="minorHAnsi" w:hAnsiTheme="minorHAnsi" w:cstheme="minorHAnsi"/>
                <w:noProof/>
                <w:webHidden/>
              </w:rPr>
              <w:fldChar w:fldCharType="end"/>
            </w:r>
          </w:hyperlink>
        </w:p>
        <w:p w14:paraId="7A73A811" w14:textId="509872B0" w:rsidR="0018337D" w:rsidRPr="005C2266" w:rsidRDefault="0018337D">
          <w:pPr>
            <w:pStyle w:val="TOC2"/>
            <w:tabs>
              <w:tab w:val="right" w:leader="dot" w:pos="10042"/>
            </w:tabs>
            <w:rPr>
              <w:rFonts w:asciiTheme="minorHAnsi" w:hAnsiTheme="minorHAnsi" w:cstheme="minorHAnsi"/>
              <w:noProof/>
            </w:rPr>
          </w:pPr>
          <w:hyperlink w:anchor="_Toc85542746" w:history="1">
            <w:r w:rsidRPr="005C2266">
              <w:rPr>
                <w:rStyle w:val="Hyperlink"/>
                <w:rFonts w:asciiTheme="minorHAnsi" w:hAnsiTheme="minorHAnsi" w:cstheme="minorHAnsi"/>
                <w:noProof/>
              </w:rPr>
              <w:t>Reasonable adjustments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_Toc85542746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4</w:t>
            </w:r>
            <w:r w:rsidRPr="005C2266">
              <w:rPr>
                <w:rFonts w:asciiTheme="minorHAnsi" w:hAnsiTheme="minorHAnsi" w:cstheme="minorHAnsi"/>
                <w:noProof/>
                <w:webHidden/>
              </w:rPr>
              <w:fldChar w:fldCharType="end"/>
            </w:r>
          </w:hyperlink>
        </w:p>
        <w:p w14:paraId="42037F19" w14:textId="2FDDD6E2" w:rsidR="0018337D" w:rsidRPr="005C2266" w:rsidRDefault="0018337D">
          <w:pPr>
            <w:pStyle w:val="TOC1"/>
            <w:tabs>
              <w:tab w:val="right" w:leader="dot" w:pos="10042"/>
            </w:tabs>
            <w:rPr>
              <w:rFonts w:asciiTheme="minorHAnsi" w:hAnsiTheme="minorHAnsi" w:cstheme="minorHAnsi"/>
              <w:noProof/>
            </w:rPr>
          </w:pPr>
          <w:hyperlink w:anchor="_Toc85542747" w:history="1">
            <w:r w:rsidRPr="005C2266">
              <w:rPr>
                <w:rStyle w:val="Hyperlink"/>
                <w:rFonts w:asciiTheme="minorHAnsi" w:hAnsiTheme="minorHAnsi" w:cstheme="minorHAnsi"/>
                <w:noProof/>
              </w:rPr>
              <w:t>Purpose of the policy</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_Toc85542747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4</w:t>
            </w:r>
            <w:r w:rsidRPr="005C2266">
              <w:rPr>
                <w:rFonts w:asciiTheme="minorHAnsi" w:hAnsiTheme="minorHAnsi" w:cstheme="minorHAnsi"/>
                <w:noProof/>
                <w:webHidden/>
              </w:rPr>
              <w:fldChar w:fldCharType="end"/>
            </w:r>
          </w:hyperlink>
        </w:p>
        <w:p w14:paraId="1B2FC3B7" w14:textId="70984F0E" w:rsidR="0018337D" w:rsidRPr="005C2266" w:rsidRDefault="0018337D">
          <w:pPr>
            <w:pStyle w:val="TOC1"/>
            <w:tabs>
              <w:tab w:val="right" w:leader="dot" w:pos="10042"/>
            </w:tabs>
            <w:rPr>
              <w:rFonts w:asciiTheme="minorHAnsi" w:hAnsiTheme="minorHAnsi" w:cstheme="minorHAnsi"/>
              <w:noProof/>
            </w:rPr>
          </w:pPr>
          <w:hyperlink w:anchor="_Toc85542748" w:history="1">
            <w:r w:rsidRPr="005C2266">
              <w:rPr>
                <w:rStyle w:val="Hyperlink"/>
                <w:rFonts w:asciiTheme="minorHAnsi" w:hAnsiTheme="minorHAnsi" w:cstheme="minorHAnsi"/>
                <w:noProof/>
              </w:rPr>
              <w:t>General principles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_Toc85542748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5</w:t>
            </w:r>
            <w:r w:rsidRPr="005C2266">
              <w:rPr>
                <w:rFonts w:asciiTheme="minorHAnsi" w:hAnsiTheme="minorHAnsi" w:cstheme="minorHAnsi"/>
                <w:noProof/>
                <w:webHidden/>
              </w:rPr>
              <w:fldChar w:fldCharType="end"/>
            </w:r>
          </w:hyperlink>
        </w:p>
        <w:p w14:paraId="127410F6" w14:textId="78558313" w:rsidR="0018337D" w:rsidRPr="005C2266" w:rsidRDefault="0018337D">
          <w:pPr>
            <w:pStyle w:val="TOC1"/>
            <w:tabs>
              <w:tab w:val="right" w:leader="dot" w:pos="10042"/>
            </w:tabs>
            <w:rPr>
              <w:rFonts w:asciiTheme="minorHAnsi" w:hAnsiTheme="minorHAnsi" w:cstheme="minorHAnsi"/>
              <w:noProof/>
            </w:rPr>
          </w:pPr>
          <w:hyperlink w:anchor="_Toc85542749" w:history="1">
            <w:r w:rsidRPr="005C2266">
              <w:rPr>
                <w:rStyle w:val="Hyperlink"/>
                <w:rFonts w:asciiTheme="minorHAnsi" w:hAnsiTheme="minorHAnsi" w:cstheme="minorHAnsi"/>
                <w:noProof/>
              </w:rPr>
              <w:t>Equalities Policy (Exams)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_Toc85542749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5</w:t>
            </w:r>
            <w:r w:rsidRPr="005C2266">
              <w:rPr>
                <w:rFonts w:asciiTheme="minorHAnsi" w:hAnsiTheme="minorHAnsi" w:cstheme="minorHAnsi"/>
                <w:noProof/>
                <w:webHidden/>
              </w:rPr>
              <w:fldChar w:fldCharType="end"/>
            </w:r>
          </w:hyperlink>
        </w:p>
        <w:p w14:paraId="09BB59CE" w14:textId="23343585" w:rsidR="0018337D" w:rsidRPr="005C2266" w:rsidRDefault="0018337D">
          <w:pPr>
            <w:pStyle w:val="TOC1"/>
            <w:tabs>
              <w:tab w:val="right" w:leader="dot" w:pos="10042"/>
            </w:tabs>
            <w:rPr>
              <w:rFonts w:asciiTheme="minorHAnsi" w:hAnsiTheme="minorHAnsi" w:cstheme="minorHAnsi"/>
              <w:noProof/>
            </w:rPr>
          </w:pPr>
          <w:hyperlink w:anchor="_Toc85542750" w:history="1">
            <w:r w:rsidRPr="005C2266">
              <w:rPr>
                <w:rStyle w:val="Hyperlink"/>
                <w:rFonts w:asciiTheme="minorHAnsi" w:hAnsiTheme="minorHAnsi" w:cstheme="minorHAnsi"/>
                <w:noProof/>
              </w:rPr>
              <w:t>The assessment process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_Toc85542750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5</w:t>
            </w:r>
            <w:r w:rsidRPr="005C2266">
              <w:rPr>
                <w:rFonts w:asciiTheme="minorHAnsi" w:hAnsiTheme="minorHAnsi" w:cstheme="minorHAnsi"/>
                <w:noProof/>
                <w:webHidden/>
              </w:rPr>
              <w:fldChar w:fldCharType="end"/>
            </w:r>
          </w:hyperlink>
        </w:p>
        <w:p w14:paraId="7370DC4B" w14:textId="0D3D3B8B" w:rsidR="0018337D" w:rsidRPr="005C2266" w:rsidRDefault="0018337D">
          <w:pPr>
            <w:pStyle w:val="TOC2"/>
            <w:tabs>
              <w:tab w:val="right" w:leader="dot" w:pos="10042"/>
            </w:tabs>
            <w:rPr>
              <w:rFonts w:asciiTheme="minorHAnsi" w:hAnsiTheme="minorHAnsi" w:cstheme="minorHAnsi"/>
              <w:noProof/>
            </w:rPr>
          </w:pPr>
          <w:hyperlink w:anchor="_Toc85542751" w:history="1">
            <w:r w:rsidRPr="005C2266">
              <w:rPr>
                <w:rStyle w:val="Hyperlink"/>
                <w:rFonts w:asciiTheme="minorHAnsi" w:hAnsiTheme="minorHAnsi" w:cstheme="minorHAnsi"/>
                <w:noProof/>
              </w:rPr>
              <w:t>The qualification(s) of the current assessor(s)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_Toc85542751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5</w:t>
            </w:r>
            <w:r w:rsidRPr="005C2266">
              <w:rPr>
                <w:rFonts w:asciiTheme="minorHAnsi" w:hAnsiTheme="minorHAnsi" w:cstheme="minorHAnsi"/>
                <w:noProof/>
                <w:webHidden/>
              </w:rPr>
              <w:fldChar w:fldCharType="end"/>
            </w:r>
          </w:hyperlink>
        </w:p>
        <w:p w14:paraId="4BC02CBF" w14:textId="107F4F73" w:rsidR="0018337D" w:rsidRPr="005C2266" w:rsidRDefault="0018337D">
          <w:pPr>
            <w:pStyle w:val="TOC2"/>
            <w:tabs>
              <w:tab w:val="right" w:leader="dot" w:pos="10042"/>
            </w:tabs>
            <w:rPr>
              <w:rFonts w:asciiTheme="minorHAnsi" w:hAnsiTheme="minorHAnsi" w:cstheme="minorHAnsi"/>
              <w:noProof/>
            </w:rPr>
          </w:pPr>
          <w:hyperlink w:anchor="_Toc85542752" w:history="1">
            <w:r w:rsidRPr="005C2266">
              <w:rPr>
                <w:rStyle w:val="Hyperlink"/>
                <w:rFonts w:asciiTheme="minorHAnsi" w:hAnsiTheme="minorHAnsi" w:cstheme="minorHAnsi"/>
                <w:noProof/>
              </w:rPr>
              <w:t>Appointment of assessors of candidates with learning difficulties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_Toc85542752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5</w:t>
            </w:r>
            <w:r w:rsidRPr="005C2266">
              <w:rPr>
                <w:rFonts w:asciiTheme="minorHAnsi" w:hAnsiTheme="minorHAnsi" w:cstheme="minorHAnsi"/>
                <w:noProof/>
                <w:webHidden/>
              </w:rPr>
              <w:fldChar w:fldCharType="end"/>
            </w:r>
          </w:hyperlink>
        </w:p>
        <w:p w14:paraId="26816CD6" w14:textId="49790C1F" w:rsidR="0018337D" w:rsidRPr="005C2266" w:rsidRDefault="0018337D">
          <w:pPr>
            <w:pStyle w:val="TOC2"/>
            <w:tabs>
              <w:tab w:val="right" w:leader="dot" w:pos="10042"/>
            </w:tabs>
            <w:rPr>
              <w:rFonts w:asciiTheme="minorHAnsi" w:hAnsiTheme="minorHAnsi" w:cstheme="minorHAnsi"/>
              <w:noProof/>
            </w:rPr>
          </w:pPr>
          <w:hyperlink w:anchor="_Toc85542753" w:history="1">
            <w:r w:rsidRPr="005C2266">
              <w:rPr>
                <w:rStyle w:val="Hyperlink"/>
                <w:rFonts w:asciiTheme="minorHAnsi" w:hAnsiTheme="minorHAnsi" w:cstheme="minorHAnsi"/>
                <w:noProof/>
              </w:rPr>
              <w:t>Process for the assessment of a candidate’s learning difficulties by an assessor</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_Toc85542753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6</w:t>
            </w:r>
            <w:r w:rsidRPr="005C2266">
              <w:rPr>
                <w:rFonts w:asciiTheme="minorHAnsi" w:hAnsiTheme="minorHAnsi" w:cstheme="minorHAnsi"/>
                <w:noProof/>
                <w:webHidden/>
              </w:rPr>
              <w:fldChar w:fldCharType="end"/>
            </w:r>
          </w:hyperlink>
        </w:p>
        <w:p w14:paraId="4E39123A" w14:textId="0C2EFA7B" w:rsidR="0018337D" w:rsidRPr="005C2266" w:rsidRDefault="0018337D">
          <w:pPr>
            <w:pStyle w:val="TOC2"/>
            <w:tabs>
              <w:tab w:val="right" w:leader="dot" w:pos="10042"/>
            </w:tabs>
            <w:rPr>
              <w:rFonts w:asciiTheme="minorHAnsi" w:hAnsiTheme="minorHAnsi" w:cstheme="minorHAnsi"/>
              <w:noProof/>
            </w:rPr>
          </w:pPr>
          <w:hyperlink w:anchor="_Toc85542754" w:history="1">
            <w:r w:rsidRPr="005C2266">
              <w:rPr>
                <w:rStyle w:val="Hyperlink"/>
                <w:rFonts w:asciiTheme="minorHAnsi" w:hAnsiTheme="minorHAnsi" w:cstheme="minorHAnsi"/>
                <w:noProof/>
              </w:rPr>
              <w:t>P</w:t>
            </w:r>
            <w:r w:rsidR="003617DC" w:rsidRPr="005C2266">
              <w:rPr>
                <w:rStyle w:val="Hyperlink"/>
                <w:rFonts w:asciiTheme="minorHAnsi" w:hAnsiTheme="minorHAnsi" w:cstheme="minorHAnsi"/>
                <w:noProof/>
              </w:rPr>
              <w:t>icture of need</w:t>
            </w:r>
            <w:r w:rsidR="009B684D" w:rsidRPr="005C2266">
              <w:rPr>
                <w:rStyle w:val="Hyperlink"/>
                <w:rFonts w:asciiTheme="minorHAnsi" w:hAnsiTheme="minorHAnsi" w:cstheme="minorHAnsi"/>
                <w:noProof/>
              </w:rPr>
              <w:t>/normal way of working</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_Toc85542754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6</w:t>
            </w:r>
            <w:r w:rsidRPr="005C2266">
              <w:rPr>
                <w:rFonts w:asciiTheme="minorHAnsi" w:hAnsiTheme="minorHAnsi" w:cstheme="minorHAnsi"/>
                <w:noProof/>
                <w:webHidden/>
              </w:rPr>
              <w:fldChar w:fldCharType="end"/>
            </w:r>
          </w:hyperlink>
        </w:p>
        <w:p w14:paraId="7E7D15A8" w14:textId="5BBA055B" w:rsidR="0018337D" w:rsidRPr="005C2266" w:rsidRDefault="0018337D">
          <w:pPr>
            <w:pStyle w:val="TOC1"/>
            <w:tabs>
              <w:tab w:val="right" w:leader="dot" w:pos="10042"/>
            </w:tabs>
            <w:rPr>
              <w:rFonts w:asciiTheme="minorHAnsi" w:hAnsiTheme="minorHAnsi" w:cstheme="minorHAnsi"/>
              <w:noProof/>
            </w:rPr>
          </w:pPr>
          <w:hyperlink w:anchor="_Toc85542755" w:history="1">
            <w:r w:rsidRPr="005C2266">
              <w:rPr>
                <w:rStyle w:val="Hyperlink"/>
                <w:rFonts w:asciiTheme="minorHAnsi" w:hAnsiTheme="minorHAnsi" w:cstheme="minorHAnsi"/>
                <w:noProof/>
              </w:rPr>
              <w:t>Processing access arrangements</w:t>
            </w:r>
            <w:r w:rsidR="005D6A4F" w:rsidRPr="005C2266">
              <w:rPr>
                <w:rStyle w:val="Hyperlink"/>
                <w:rFonts w:asciiTheme="minorHAnsi" w:hAnsiTheme="minorHAnsi" w:cstheme="minorHAnsi"/>
                <w:noProof/>
              </w:rPr>
              <w:t xml:space="preserve"> and adjustments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_Toc85542755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1FB4BF07" w14:textId="7A17751E" w:rsidR="0018337D" w:rsidRPr="005C2266" w:rsidRDefault="0018337D">
          <w:pPr>
            <w:pStyle w:val="TOC2"/>
            <w:tabs>
              <w:tab w:val="right" w:leader="dot" w:pos="10042"/>
            </w:tabs>
            <w:rPr>
              <w:rFonts w:asciiTheme="minorHAnsi" w:hAnsiTheme="minorHAnsi" w:cstheme="minorHAnsi"/>
              <w:noProof/>
            </w:rPr>
          </w:pPr>
          <w:hyperlink w:anchor="_Toc85542756" w:history="1">
            <w:r w:rsidRPr="005C2266">
              <w:rPr>
                <w:rStyle w:val="Hyperlink"/>
                <w:rFonts w:asciiTheme="minorHAnsi" w:hAnsiTheme="minorHAnsi" w:cstheme="minorHAnsi"/>
                <w:noProof/>
              </w:rPr>
              <w:t>Arrangements</w:t>
            </w:r>
            <w:r w:rsidR="005D6A4F" w:rsidRPr="005C2266">
              <w:rPr>
                <w:rStyle w:val="Hyperlink"/>
                <w:rFonts w:asciiTheme="minorHAnsi" w:hAnsiTheme="minorHAnsi" w:cstheme="minorHAnsi"/>
                <w:noProof/>
              </w:rPr>
              <w:t xml:space="preserve">/adjustments </w:t>
            </w:r>
            <w:r w:rsidRPr="005C2266">
              <w:rPr>
                <w:rStyle w:val="Hyperlink"/>
                <w:rFonts w:asciiTheme="minorHAnsi" w:hAnsiTheme="minorHAnsi" w:cstheme="minorHAnsi"/>
                <w:noProof/>
              </w:rPr>
              <w:t>requiring awarding body approval</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_Toc85542756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74111FB8" w14:textId="7E7140E3" w:rsidR="0018337D" w:rsidRPr="005C2266" w:rsidRDefault="0018337D">
          <w:pPr>
            <w:pStyle w:val="TOC2"/>
            <w:tabs>
              <w:tab w:val="right" w:leader="dot" w:pos="10042"/>
            </w:tabs>
            <w:rPr>
              <w:rFonts w:asciiTheme="minorHAnsi" w:hAnsiTheme="minorHAnsi" w:cstheme="minorHAnsi"/>
              <w:noProof/>
            </w:rPr>
          </w:pPr>
          <w:hyperlink w:anchor="_Toc85542757" w:history="1">
            <w:r w:rsidRPr="005C2266">
              <w:rPr>
                <w:rStyle w:val="Hyperlink"/>
                <w:rFonts w:asciiTheme="minorHAnsi" w:hAnsiTheme="minorHAnsi" w:cstheme="minorHAnsi"/>
                <w:noProof/>
              </w:rPr>
              <w:t>Centre-delegated arrangements</w:t>
            </w:r>
            <w:r w:rsidR="005D6A4F" w:rsidRPr="005C2266">
              <w:rPr>
                <w:rStyle w:val="Hyperlink"/>
                <w:rFonts w:asciiTheme="minorHAnsi" w:hAnsiTheme="minorHAnsi" w:cstheme="minorHAnsi"/>
                <w:noProof/>
              </w:rPr>
              <w:t>/adjustments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_Toc85542757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4FFACE2E" w14:textId="17323A90" w:rsidR="0018337D" w:rsidRPr="005C2266" w:rsidRDefault="0018337D">
          <w:pPr>
            <w:pStyle w:val="TOC1"/>
            <w:tabs>
              <w:tab w:val="right" w:leader="dot" w:pos="10042"/>
            </w:tabs>
            <w:rPr>
              <w:rFonts w:asciiTheme="minorHAnsi" w:hAnsiTheme="minorHAnsi" w:cstheme="minorHAnsi"/>
              <w:noProof/>
            </w:rPr>
          </w:pPr>
          <w:hyperlink w:anchor="_Toc85542758" w:history="1">
            <w:r w:rsidRPr="005C2266">
              <w:rPr>
                <w:rStyle w:val="Hyperlink"/>
                <w:rFonts w:asciiTheme="minorHAnsi" w:hAnsiTheme="minorHAnsi" w:cstheme="minorHAnsi"/>
                <w:noProof/>
              </w:rPr>
              <w:t xml:space="preserve">Centre-specific criteria for particular </w:t>
            </w:r>
            <w:r w:rsidR="005D6A4F" w:rsidRPr="005C2266">
              <w:rPr>
                <w:rStyle w:val="Hyperlink"/>
                <w:rFonts w:asciiTheme="minorHAnsi" w:hAnsiTheme="minorHAnsi" w:cstheme="minorHAnsi"/>
                <w:noProof/>
              </w:rPr>
              <w:t>a</w:t>
            </w:r>
            <w:r w:rsidRPr="005C2266">
              <w:rPr>
                <w:rStyle w:val="Hyperlink"/>
                <w:rFonts w:asciiTheme="minorHAnsi" w:hAnsiTheme="minorHAnsi" w:cstheme="minorHAnsi"/>
                <w:noProof/>
              </w:rPr>
              <w:t>rrangements</w:t>
            </w:r>
            <w:r w:rsidR="005D6A4F" w:rsidRPr="005C2266">
              <w:rPr>
                <w:rStyle w:val="Hyperlink"/>
                <w:rFonts w:asciiTheme="minorHAnsi" w:hAnsiTheme="minorHAnsi" w:cstheme="minorHAnsi"/>
                <w:noProof/>
              </w:rPr>
              <w:t>/adjustments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_Toc85542758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63C489C2" w14:textId="20787464" w:rsidR="0018337D" w:rsidRPr="005C2266" w:rsidRDefault="0018337D">
          <w:pPr>
            <w:pStyle w:val="TOC2"/>
            <w:tabs>
              <w:tab w:val="right" w:leader="dot" w:pos="10042"/>
            </w:tabs>
            <w:rPr>
              <w:rFonts w:asciiTheme="minorHAnsi" w:hAnsiTheme="minorHAnsi" w:cstheme="minorHAnsi"/>
              <w:noProof/>
            </w:rPr>
          </w:pPr>
          <w:hyperlink w:anchor="_Toc85542759" w:history="1">
            <w:r w:rsidRPr="005C2266">
              <w:rPr>
                <w:rStyle w:val="Hyperlink"/>
                <w:rFonts w:asciiTheme="minorHAnsi" w:hAnsiTheme="minorHAnsi" w:cstheme="minorHAnsi"/>
                <w:noProof/>
              </w:rPr>
              <w:t>Word Processor Policy (Exams)</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_Toc85542759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05E5C985" w14:textId="0A540187" w:rsidR="0018337D" w:rsidRPr="005C2266" w:rsidRDefault="0018337D">
          <w:pPr>
            <w:pStyle w:val="TOC2"/>
            <w:tabs>
              <w:tab w:val="right" w:leader="dot" w:pos="10042"/>
            </w:tabs>
            <w:rPr>
              <w:rFonts w:asciiTheme="minorHAnsi" w:hAnsiTheme="minorHAnsi" w:cstheme="minorHAnsi"/>
              <w:noProof/>
            </w:rPr>
          </w:pPr>
          <w:hyperlink w:anchor="_Toc85542760" w:history="1">
            <w:r w:rsidRPr="005C2266">
              <w:rPr>
                <w:rStyle w:val="Hyperlink"/>
                <w:rFonts w:asciiTheme="minorHAnsi" w:hAnsiTheme="minorHAnsi" w:cstheme="minorHAnsi"/>
                <w:noProof/>
              </w:rPr>
              <w:t>Separate Invigilation Policy</w:t>
            </w:r>
            <w:r w:rsidRPr="005C2266">
              <w:rPr>
                <w:rFonts w:asciiTheme="minorHAnsi" w:hAnsiTheme="minorHAnsi" w:cstheme="minorHAnsi"/>
                <w:noProof/>
                <w:webHidden/>
              </w:rPr>
              <w:tab/>
            </w:r>
            <w:r w:rsidRPr="005C2266">
              <w:rPr>
                <w:rFonts w:asciiTheme="minorHAnsi" w:hAnsiTheme="minorHAnsi" w:cstheme="minorHAnsi"/>
                <w:noProof/>
                <w:webHidden/>
              </w:rPr>
              <w:fldChar w:fldCharType="begin"/>
            </w:r>
            <w:r w:rsidRPr="005C2266">
              <w:rPr>
                <w:rFonts w:asciiTheme="minorHAnsi" w:hAnsiTheme="minorHAnsi" w:cstheme="minorHAnsi"/>
                <w:noProof/>
                <w:webHidden/>
              </w:rPr>
              <w:instrText xml:space="preserve"> PAGEREF _Toc85542760 \h </w:instrText>
            </w:r>
            <w:r w:rsidRPr="005C2266">
              <w:rPr>
                <w:rFonts w:asciiTheme="minorHAnsi" w:hAnsiTheme="minorHAnsi" w:cstheme="minorHAnsi"/>
                <w:noProof/>
                <w:webHidden/>
              </w:rPr>
            </w:r>
            <w:r w:rsidRPr="005C2266">
              <w:rPr>
                <w:rFonts w:asciiTheme="minorHAnsi" w:hAnsiTheme="minorHAnsi" w:cstheme="minorHAnsi"/>
                <w:noProof/>
                <w:webHidden/>
              </w:rPr>
              <w:fldChar w:fldCharType="separate"/>
            </w:r>
            <w:r w:rsidR="00EB778B">
              <w:rPr>
                <w:rFonts w:asciiTheme="minorHAnsi" w:hAnsiTheme="minorHAnsi" w:cstheme="minorHAnsi"/>
                <w:noProof/>
                <w:webHidden/>
              </w:rPr>
              <w:t>7</w:t>
            </w:r>
            <w:r w:rsidRPr="005C2266">
              <w:rPr>
                <w:rFonts w:asciiTheme="minorHAnsi" w:hAnsiTheme="minorHAnsi" w:cstheme="minorHAnsi"/>
                <w:noProof/>
                <w:webHidden/>
              </w:rPr>
              <w:fldChar w:fldCharType="end"/>
            </w:r>
          </w:hyperlink>
        </w:p>
        <w:p w14:paraId="367C18CE" w14:textId="5B70B853" w:rsidR="006819FD" w:rsidRPr="005C2266" w:rsidRDefault="006819FD">
          <w:pPr>
            <w:rPr>
              <w:rFonts w:asciiTheme="minorHAnsi" w:hAnsiTheme="minorHAnsi" w:cstheme="minorHAnsi"/>
            </w:rPr>
          </w:pPr>
          <w:r w:rsidRPr="005C2266">
            <w:rPr>
              <w:rFonts w:asciiTheme="minorHAnsi" w:hAnsiTheme="minorHAnsi" w:cstheme="minorHAnsi"/>
              <w:b/>
              <w:bCs/>
              <w:noProof/>
            </w:rPr>
            <w:fldChar w:fldCharType="end"/>
          </w:r>
        </w:p>
      </w:sdtContent>
    </w:sdt>
    <w:p w14:paraId="456C8C05" w14:textId="765A5135" w:rsidR="006819FD" w:rsidRPr="005C2266" w:rsidRDefault="006819FD">
      <w:pPr>
        <w:spacing w:before="0" w:after="200" w:line="276" w:lineRule="auto"/>
        <w:rPr>
          <w:rFonts w:asciiTheme="minorHAnsi" w:hAnsiTheme="minorHAnsi" w:cstheme="minorHAnsi"/>
          <w:szCs w:val="24"/>
        </w:rPr>
      </w:pPr>
    </w:p>
    <w:p w14:paraId="4167C33C" w14:textId="051897D9" w:rsidR="006819FD" w:rsidRPr="005C2266" w:rsidRDefault="006819FD">
      <w:pPr>
        <w:spacing w:before="0" w:after="200" w:line="276" w:lineRule="auto"/>
        <w:rPr>
          <w:rFonts w:asciiTheme="minorHAnsi" w:eastAsia="Times New Roman" w:hAnsiTheme="minorHAnsi" w:cstheme="minorHAnsi"/>
          <w:b/>
          <w:color w:val="003399"/>
          <w:sz w:val="24"/>
          <w:szCs w:val="24"/>
        </w:rPr>
      </w:pPr>
      <w:r w:rsidRPr="005C2266">
        <w:rPr>
          <w:rFonts w:asciiTheme="minorHAnsi" w:hAnsiTheme="minorHAnsi" w:cstheme="minorHAnsi"/>
          <w:szCs w:val="24"/>
        </w:rPr>
        <w:br w:type="page"/>
      </w:r>
    </w:p>
    <w:p w14:paraId="1016E569" w14:textId="110D2020" w:rsidR="00844861" w:rsidRPr="005C2266" w:rsidRDefault="00844861" w:rsidP="00844861">
      <w:pPr>
        <w:pStyle w:val="Headinglevel1"/>
        <w:spacing w:before="240" w:line="276" w:lineRule="auto"/>
        <w:rPr>
          <w:rFonts w:asciiTheme="minorHAnsi" w:hAnsiTheme="minorHAnsi" w:cstheme="minorHAnsi"/>
        </w:rPr>
      </w:pPr>
      <w:bookmarkStart w:id="7" w:name="_Toc523473880"/>
      <w:bookmarkStart w:id="8" w:name="_Toc22304696"/>
      <w:bookmarkStart w:id="9" w:name="_Toc22487024"/>
      <w:bookmarkStart w:id="10" w:name="_Toc22487143"/>
      <w:bookmarkStart w:id="11" w:name="_Toc85542744"/>
      <w:bookmarkEnd w:id="0"/>
      <w:bookmarkEnd w:id="6"/>
      <w:bookmarkEnd w:id="5"/>
      <w:bookmarkEnd w:id="4"/>
      <w:r w:rsidRPr="005C2266">
        <w:rPr>
          <w:rFonts w:asciiTheme="minorHAnsi" w:hAnsiTheme="minorHAnsi" w:cstheme="minorHAnsi"/>
        </w:rPr>
        <w:t>What are access arrangements and reasonable adjustments?</w:t>
      </w:r>
      <w:bookmarkEnd w:id="7"/>
      <w:bookmarkEnd w:id="8"/>
      <w:bookmarkEnd w:id="9"/>
      <w:bookmarkEnd w:id="10"/>
      <w:bookmarkEnd w:id="11"/>
    </w:p>
    <w:p w14:paraId="4C09EAD1" w14:textId="3784E71B" w:rsidR="00C17E86" w:rsidRPr="007335E0" w:rsidRDefault="00844861" w:rsidP="00C17E86">
      <w:pPr>
        <w:pStyle w:val="Headinglevel2"/>
        <w:spacing w:before="240" w:after="120"/>
        <w:rPr>
          <w:rFonts w:asciiTheme="minorHAnsi" w:hAnsiTheme="minorHAnsi" w:cstheme="minorHAnsi"/>
          <w:szCs w:val="22"/>
        </w:rPr>
      </w:pPr>
      <w:bookmarkStart w:id="12" w:name="_Toc523473881"/>
      <w:bookmarkStart w:id="13" w:name="_Toc22304697"/>
      <w:bookmarkStart w:id="14" w:name="_Toc22487025"/>
      <w:bookmarkStart w:id="15" w:name="_Toc22487144"/>
      <w:bookmarkStart w:id="16" w:name="_Toc85542745"/>
      <w:r w:rsidRPr="007335E0">
        <w:rPr>
          <w:rFonts w:asciiTheme="minorHAnsi" w:hAnsiTheme="minorHAnsi" w:cstheme="minorHAnsi"/>
          <w:szCs w:val="22"/>
        </w:rPr>
        <w:t>Access arrangements</w:t>
      </w:r>
      <w:bookmarkStart w:id="17" w:name="_Toc523473882"/>
      <w:bookmarkStart w:id="18" w:name="_Toc22304698"/>
      <w:bookmarkStart w:id="19" w:name="_Toc22487026"/>
      <w:bookmarkStart w:id="20" w:name="_Toc22487145"/>
      <w:bookmarkEnd w:id="12"/>
      <w:bookmarkEnd w:id="13"/>
      <w:bookmarkEnd w:id="14"/>
      <w:bookmarkEnd w:id="15"/>
      <w:bookmarkEnd w:id="16"/>
    </w:p>
    <w:p w14:paraId="15D6A451" w14:textId="58723353" w:rsidR="00AB6D82" w:rsidRPr="007335E0" w:rsidRDefault="00AB6D82" w:rsidP="00AB6D82">
      <w:pPr>
        <w:spacing w:before="0"/>
        <w:jc w:val="both"/>
        <w:rPr>
          <w:rFonts w:asciiTheme="minorHAnsi" w:eastAsia="Times New Roman" w:hAnsiTheme="minorHAnsi" w:cstheme="minorHAnsi"/>
        </w:rPr>
      </w:pPr>
      <w:r w:rsidRPr="007335E0">
        <w:rPr>
          <w:rFonts w:asciiTheme="minorHAnsi" w:eastAsia="Times New Roman" w:hAnsiTheme="minorHAnsi" w:cstheme="minorHAnsi"/>
        </w:rPr>
        <w:t xml:space="preserve">Access arrangements are agreed </w:t>
      </w:r>
      <w:r w:rsidRPr="007335E0">
        <w:rPr>
          <w:rFonts w:asciiTheme="minorHAnsi" w:eastAsia="Times New Roman" w:hAnsiTheme="minorHAnsi" w:cstheme="minorHAnsi"/>
          <w:b/>
          <w:bCs/>
        </w:rPr>
        <w:t xml:space="preserve">before </w:t>
      </w:r>
      <w:r w:rsidRPr="007335E0">
        <w:rPr>
          <w:rFonts w:asciiTheme="minorHAnsi" w:eastAsia="Times New Roman" w:hAnsiTheme="minorHAnsi" w:cstheme="minorHAnsi"/>
        </w:rPr>
        <w:t xml:space="preserve">an assessment. They allow candidates with </w:t>
      </w:r>
      <w:r w:rsidRPr="007335E0">
        <w:rPr>
          <w:rFonts w:asciiTheme="minorHAnsi" w:eastAsia="Times New Roman" w:hAnsiTheme="minorHAnsi" w:cstheme="minorHAnsi"/>
          <w:b/>
          <w:bCs/>
        </w:rPr>
        <w:t>specific needs</w:t>
      </w:r>
      <w:r w:rsidRPr="007335E0">
        <w:rPr>
          <w:rFonts w:asciiTheme="minorHAnsi" w:eastAsia="Times New Roman" w:hAnsiTheme="minorHAnsi" w:cstheme="minorHAnsi"/>
        </w:rPr>
        <w:t xml:space="preserve">,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7335E0">
        <w:rPr>
          <w:rFonts w:asciiTheme="minorHAnsi" w:eastAsia="Times New Roman" w:hAnsiTheme="minorHAnsi" w:cstheme="minorHAnsi"/>
        </w:rPr>
        <w:t>adjustments’</w:t>
      </w:r>
      <w:proofErr w:type="gramEnd"/>
      <w:r w:rsidRPr="007335E0">
        <w:rPr>
          <w:rFonts w:asciiTheme="minorHAnsi" w:eastAsia="Times New Roman" w:hAnsiTheme="minorHAnsi" w:cstheme="minorHAnsi"/>
        </w:rPr>
        <w:t>.</w:t>
      </w:r>
      <w:r w:rsidR="005C2266" w:rsidRPr="007335E0">
        <w:rPr>
          <w:rFonts w:asciiTheme="minorHAnsi" w:eastAsia="Times New Roman" w:hAnsiTheme="minorHAnsi" w:cstheme="minorHAnsi"/>
        </w:rPr>
        <w:t xml:space="preserve"> </w:t>
      </w:r>
      <w:r w:rsidRPr="007335E0">
        <w:rPr>
          <w:rFonts w:asciiTheme="minorHAnsi" w:eastAsia="Times New Roman" w:hAnsiTheme="minorHAnsi" w:cstheme="minorHAnsi"/>
        </w:rPr>
        <w:t>(</w:t>
      </w:r>
      <w:hyperlink r:id="rId10" w:history="1">
        <w:r w:rsidRPr="007335E0">
          <w:rPr>
            <w:rFonts w:asciiTheme="minorHAnsi" w:hAnsiTheme="minorHAnsi" w:cstheme="minorHAnsi"/>
            <w:color w:val="0000FF" w:themeColor="hyperlink"/>
          </w:rPr>
          <w:t>AA</w:t>
        </w:r>
      </w:hyperlink>
      <w:r w:rsidRPr="007335E0">
        <w:rPr>
          <w:rFonts w:asciiTheme="minorHAnsi" w:eastAsia="Times New Roman" w:hAnsiTheme="minorHAnsi" w:cstheme="minorHAnsi"/>
        </w:rPr>
        <w:t xml:space="preserve"> Definitions)</w:t>
      </w:r>
    </w:p>
    <w:p w14:paraId="7024040E" w14:textId="1264D0C2" w:rsidR="000D1B7A" w:rsidRPr="007335E0" w:rsidRDefault="00844861" w:rsidP="00DD4683">
      <w:pPr>
        <w:pStyle w:val="Headinglevel2"/>
        <w:spacing w:before="240" w:after="120"/>
        <w:rPr>
          <w:rFonts w:asciiTheme="minorHAnsi" w:hAnsiTheme="minorHAnsi" w:cstheme="minorHAnsi"/>
          <w:szCs w:val="22"/>
        </w:rPr>
      </w:pPr>
      <w:bookmarkStart w:id="21" w:name="_Toc85542746"/>
      <w:r w:rsidRPr="007335E0">
        <w:rPr>
          <w:rFonts w:asciiTheme="minorHAnsi" w:hAnsiTheme="minorHAnsi" w:cstheme="minorHAnsi"/>
          <w:szCs w:val="22"/>
        </w:rPr>
        <w:t>Reasonable adjustments</w:t>
      </w:r>
      <w:bookmarkStart w:id="22" w:name="_Toc490083853"/>
      <w:bookmarkStart w:id="23" w:name="_Toc523473883"/>
      <w:bookmarkStart w:id="24" w:name="_Toc22304699"/>
      <w:bookmarkStart w:id="25" w:name="_Toc22487027"/>
      <w:bookmarkStart w:id="26" w:name="_Toc22487146"/>
      <w:bookmarkStart w:id="27" w:name="_Toc466921629"/>
      <w:bookmarkStart w:id="28" w:name="_Toc449469095"/>
      <w:bookmarkStart w:id="29" w:name="_Hlk523424464"/>
      <w:bookmarkEnd w:id="17"/>
      <w:bookmarkEnd w:id="18"/>
      <w:bookmarkEnd w:id="19"/>
      <w:bookmarkEnd w:id="20"/>
      <w:bookmarkEnd w:id="21"/>
    </w:p>
    <w:p w14:paraId="4CA035D7" w14:textId="77777777" w:rsidR="00AB6D82" w:rsidRPr="007335E0" w:rsidRDefault="00AB6D82" w:rsidP="00AB6D82">
      <w:pPr>
        <w:spacing w:before="0"/>
        <w:jc w:val="both"/>
        <w:rPr>
          <w:rFonts w:asciiTheme="minorHAnsi" w:eastAsia="Times New Roman" w:hAnsiTheme="minorHAnsi" w:cstheme="minorHAnsi"/>
        </w:rPr>
      </w:pPr>
      <w:r w:rsidRPr="007335E0">
        <w:rPr>
          <w:rFonts w:asciiTheme="minorHAnsi" w:eastAsia="Times New Roman" w:hAnsiTheme="minorHAnsi" w:cstheme="minorHAnsi"/>
        </w:rPr>
        <w:t xml:space="preserve">The Equality Act 2010* requires an awarding body to make reasonable adjustments where a candidate, who is disabled within the meaning of the Equality Act 2010, would be at a </w:t>
      </w:r>
      <w:r w:rsidRPr="007335E0">
        <w:rPr>
          <w:rFonts w:asciiTheme="minorHAnsi" w:eastAsia="Times New Roman" w:hAnsiTheme="minorHAnsi" w:cstheme="minorHAnsi"/>
          <w:b/>
          <w:bCs/>
        </w:rPr>
        <w:t>substantial disadvantage</w:t>
      </w:r>
      <w:r w:rsidRPr="007335E0">
        <w:rPr>
          <w:rFonts w:asciiTheme="minorHAnsi" w:eastAsia="Times New Roman" w:hAnsiTheme="minorHAnsi" w:cstheme="minorHAnsi"/>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393E5D23" w14:textId="77777777" w:rsidR="00AB6D82" w:rsidRPr="007335E0" w:rsidRDefault="00AB6D82" w:rsidP="00AB6D82">
      <w:pPr>
        <w:spacing w:before="0"/>
        <w:rPr>
          <w:rFonts w:asciiTheme="minorHAnsi" w:eastAsia="Times New Roman" w:hAnsiTheme="minorHAnsi" w:cstheme="minorHAnsi"/>
        </w:rPr>
      </w:pPr>
      <w:r w:rsidRPr="007335E0">
        <w:rPr>
          <w:rFonts w:asciiTheme="minorHAnsi" w:eastAsia="Times New Roman" w:hAnsiTheme="minorHAnsi" w:cstheme="minorHAnsi"/>
        </w:rPr>
        <w:t>• the needs of the disabled candidate;</w:t>
      </w:r>
      <w:r w:rsidRPr="007335E0">
        <w:rPr>
          <w:rFonts w:asciiTheme="minorHAnsi" w:eastAsia="Times New Roman" w:hAnsiTheme="minorHAnsi" w:cstheme="minorHAnsi"/>
        </w:rPr>
        <w:br/>
        <w:t>• the effectiveness of the adjustment;</w:t>
      </w:r>
      <w:r w:rsidRPr="007335E0">
        <w:rPr>
          <w:rFonts w:asciiTheme="minorHAnsi" w:eastAsia="Times New Roman" w:hAnsiTheme="minorHAnsi" w:cstheme="minorHAnsi"/>
        </w:rPr>
        <w:br/>
        <w:t xml:space="preserve">• the cost of the adjustment; </w:t>
      </w:r>
      <w:r w:rsidRPr="007335E0">
        <w:rPr>
          <w:rFonts w:asciiTheme="minorHAnsi" w:eastAsia="Times New Roman" w:hAnsiTheme="minorHAnsi" w:cstheme="minorHAnsi"/>
          <w:b/>
          <w:bCs/>
        </w:rPr>
        <w:t>and</w:t>
      </w:r>
      <w:r w:rsidRPr="007335E0">
        <w:rPr>
          <w:rFonts w:asciiTheme="minorHAnsi" w:eastAsia="Times New Roman" w:hAnsiTheme="minorHAnsi" w:cstheme="minorHAnsi"/>
        </w:rPr>
        <w:br/>
        <w:t xml:space="preserve">• the likely impact of the adjustment upon the candidate and other candidates. </w:t>
      </w:r>
    </w:p>
    <w:p w14:paraId="2887CE00" w14:textId="77777777" w:rsidR="00AB6D82" w:rsidRPr="007335E0" w:rsidRDefault="00AB6D82" w:rsidP="00AB6D82">
      <w:pPr>
        <w:rPr>
          <w:rFonts w:asciiTheme="minorHAnsi" w:eastAsia="Times New Roman" w:hAnsiTheme="minorHAnsi" w:cstheme="minorHAnsi"/>
        </w:rPr>
      </w:pPr>
      <w:r w:rsidRPr="007335E0">
        <w:rPr>
          <w:rFonts w:asciiTheme="minorHAnsi" w:eastAsia="Times New Roman" w:hAnsiTheme="minorHAnsi" w:cstheme="minorHAnsi"/>
        </w:rPr>
        <w:t>An adjustment will not be approved if it:</w:t>
      </w:r>
    </w:p>
    <w:p w14:paraId="7CF69802" w14:textId="77777777" w:rsidR="00AB6D82" w:rsidRPr="007335E0" w:rsidRDefault="00AB6D82" w:rsidP="00AB6D82">
      <w:pPr>
        <w:spacing w:before="0" w:after="0"/>
        <w:rPr>
          <w:rFonts w:asciiTheme="minorHAnsi" w:eastAsia="Times New Roman" w:hAnsiTheme="minorHAnsi" w:cstheme="minorHAnsi"/>
        </w:rPr>
      </w:pPr>
      <w:r w:rsidRPr="007335E0">
        <w:rPr>
          <w:rFonts w:asciiTheme="minorHAnsi" w:eastAsia="Times New Roman" w:hAnsiTheme="minorHAnsi" w:cstheme="minorHAnsi"/>
        </w:rPr>
        <w:t xml:space="preserve">• involves unreasonable costs to the awarding </w:t>
      </w:r>
      <w:proofErr w:type="gramStart"/>
      <w:r w:rsidRPr="007335E0">
        <w:rPr>
          <w:rFonts w:asciiTheme="minorHAnsi" w:eastAsia="Times New Roman" w:hAnsiTheme="minorHAnsi" w:cstheme="minorHAnsi"/>
        </w:rPr>
        <w:t>body;</w:t>
      </w:r>
      <w:proofErr w:type="gramEnd"/>
    </w:p>
    <w:p w14:paraId="1B3285E8" w14:textId="77777777" w:rsidR="00AB6D82" w:rsidRPr="007335E0" w:rsidRDefault="00AB6D82" w:rsidP="00AB6D82">
      <w:pPr>
        <w:spacing w:before="0"/>
        <w:rPr>
          <w:rFonts w:asciiTheme="minorHAnsi" w:eastAsia="Times New Roman" w:hAnsiTheme="minorHAnsi" w:cstheme="minorHAnsi"/>
        </w:rPr>
      </w:pPr>
      <w:r w:rsidRPr="007335E0">
        <w:rPr>
          <w:rFonts w:asciiTheme="minorHAnsi" w:eastAsia="Times New Roman" w:hAnsiTheme="minorHAnsi" w:cstheme="minorHAnsi"/>
        </w:rPr>
        <w:t xml:space="preserve">• involves unreasonable timeframes; </w:t>
      </w:r>
      <w:r w:rsidRPr="007335E0">
        <w:rPr>
          <w:rFonts w:asciiTheme="minorHAnsi" w:eastAsia="Times New Roman" w:hAnsiTheme="minorHAnsi" w:cstheme="minorHAnsi"/>
          <w:b/>
          <w:bCs/>
        </w:rPr>
        <w:t>or</w:t>
      </w:r>
      <w:r w:rsidRPr="007335E0">
        <w:rPr>
          <w:rFonts w:asciiTheme="minorHAnsi" w:eastAsia="Times New Roman" w:hAnsiTheme="minorHAnsi" w:cstheme="minorHAnsi"/>
        </w:rPr>
        <w:br/>
        <w:t xml:space="preserve">• affects the security and integrity of the assessment. </w:t>
      </w:r>
    </w:p>
    <w:p w14:paraId="7C47CE73" w14:textId="77777777" w:rsidR="00AB6D82" w:rsidRPr="007335E0" w:rsidRDefault="00AB6D82" w:rsidP="00AB6D82">
      <w:pPr>
        <w:spacing w:before="0"/>
        <w:jc w:val="both"/>
        <w:rPr>
          <w:rFonts w:asciiTheme="minorHAnsi" w:eastAsia="Times New Roman" w:hAnsiTheme="minorHAnsi" w:cstheme="minorHAnsi"/>
        </w:rPr>
      </w:pPr>
      <w:r w:rsidRPr="007335E0">
        <w:rPr>
          <w:rFonts w:asciiTheme="minorHAnsi" w:eastAsia="Times New Roman" w:hAnsiTheme="minorHAnsi" w:cstheme="minorHAnsi"/>
        </w:rPr>
        <w:t>This is because the adjustment is not ‘reasonable’. (</w:t>
      </w:r>
      <w:hyperlink r:id="rId11" w:history="1">
        <w:r w:rsidRPr="007335E0">
          <w:rPr>
            <w:rFonts w:asciiTheme="minorHAnsi" w:hAnsiTheme="minorHAnsi" w:cstheme="minorHAnsi"/>
            <w:color w:val="0000FF" w:themeColor="hyperlink"/>
          </w:rPr>
          <w:t>AA</w:t>
        </w:r>
      </w:hyperlink>
      <w:r w:rsidRPr="007335E0">
        <w:rPr>
          <w:rFonts w:asciiTheme="minorHAnsi" w:eastAsia="Times New Roman" w:hAnsiTheme="minorHAnsi" w:cstheme="minorHAnsi"/>
        </w:rPr>
        <w:t xml:space="preserve"> Definitions)</w:t>
      </w:r>
    </w:p>
    <w:p w14:paraId="69C80251" w14:textId="77777777" w:rsidR="00AB6D82" w:rsidRPr="007335E0" w:rsidRDefault="00AB6D82" w:rsidP="00AB6D82">
      <w:pPr>
        <w:spacing w:before="0"/>
        <w:rPr>
          <w:rFonts w:asciiTheme="minorHAnsi" w:eastAsia="Times New Roman" w:hAnsiTheme="minorHAnsi" w:cstheme="minorHAnsi"/>
        </w:rPr>
      </w:pPr>
      <w:r w:rsidRPr="007335E0">
        <w:rPr>
          <w:rFonts w:asciiTheme="minorHAnsi" w:eastAsia="Times New Roman" w:hAnsiTheme="minorHAnsi" w:cstheme="minorHAnsi"/>
        </w:rPr>
        <w:t xml:space="preserve">*References to legislation are to the Equality Act 2010. Separate legislation is in place for Northern Ireland (see </w:t>
      </w:r>
      <w:hyperlink r:id="rId12" w:history="1">
        <w:r w:rsidRPr="007335E0">
          <w:rPr>
            <w:rFonts w:asciiTheme="minorHAnsi" w:hAnsiTheme="minorHAnsi" w:cstheme="minorHAnsi"/>
            <w:color w:val="0000FF" w:themeColor="hyperlink"/>
          </w:rPr>
          <w:t>AA</w:t>
        </w:r>
      </w:hyperlink>
      <w:r w:rsidRPr="007335E0">
        <w:rPr>
          <w:rFonts w:asciiTheme="minorHAnsi" w:eastAsia="Times New Roman" w:hAnsiTheme="minorHAnsi" w:cstheme="minorHAnsi"/>
        </w:rPr>
        <w:t xml:space="preserve"> 1.8). The definitions and procedures in </w:t>
      </w:r>
      <w:hyperlink r:id="rId13" w:history="1">
        <w:r w:rsidRPr="007335E0">
          <w:rPr>
            <w:rFonts w:asciiTheme="minorHAnsi" w:hAnsiTheme="minorHAnsi" w:cstheme="minorHAnsi"/>
            <w:color w:val="0000FF" w:themeColor="hyperlink"/>
          </w:rPr>
          <w:t>AA</w:t>
        </w:r>
      </w:hyperlink>
      <w:r w:rsidRPr="007335E0">
        <w:rPr>
          <w:rFonts w:asciiTheme="minorHAnsi" w:eastAsia="Times New Roman" w:hAnsiTheme="minorHAnsi" w:cstheme="minorHAnsi"/>
        </w:rPr>
        <w:t xml:space="preserve"> relating to access arrangements and reasonable adjustments will also apply in Northern Ireland</w:t>
      </w:r>
    </w:p>
    <w:p w14:paraId="790B8593" w14:textId="2A107430" w:rsidR="000D1B7A" w:rsidRPr="007335E0" w:rsidRDefault="00844861" w:rsidP="00EB54FB">
      <w:pPr>
        <w:pStyle w:val="Headinglevel1"/>
        <w:spacing w:before="240" w:line="276" w:lineRule="auto"/>
        <w:rPr>
          <w:rFonts w:asciiTheme="minorHAnsi" w:hAnsiTheme="minorHAnsi" w:cstheme="minorHAnsi"/>
          <w:szCs w:val="24"/>
        </w:rPr>
      </w:pPr>
      <w:bookmarkStart w:id="30" w:name="_Toc85542747"/>
      <w:r w:rsidRPr="007335E0">
        <w:rPr>
          <w:rFonts w:asciiTheme="minorHAnsi" w:hAnsiTheme="minorHAnsi" w:cstheme="minorHAnsi"/>
          <w:szCs w:val="24"/>
        </w:rPr>
        <w:t>Purpose of the policy</w:t>
      </w:r>
      <w:bookmarkEnd w:id="22"/>
      <w:bookmarkEnd w:id="23"/>
      <w:bookmarkEnd w:id="24"/>
      <w:bookmarkEnd w:id="25"/>
      <w:bookmarkEnd w:id="26"/>
      <w:bookmarkEnd w:id="30"/>
    </w:p>
    <w:p w14:paraId="0EF7D376" w14:textId="14A8A2B3" w:rsidR="00844861" w:rsidRPr="007335E0" w:rsidRDefault="00844861" w:rsidP="00EB54FB">
      <w:pPr>
        <w:spacing w:after="0" w:line="276" w:lineRule="auto"/>
        <w:jc w:val="both"/>
        <w:rPr>
          <w:rFonts w:asciiTheme="minorHAnsi" w:hAnsiTheme="minorHAnsi" w:cstheme="minorHAnsi"/>
        </w:rPr>
      </w:pPr>
      <w:r w:rsidRPr="007335E0">
        <w:rPr>
          <w:rFonts w:asciiTheme="minorHAnsi" w:hAnsiTheme="minorHAnsi" w:cstheme="minorHAnsi"/>
        </w:rPr>
        <w:t xml:space="preserve">The purpose of this policy is to confirm that </w:t>
      </w:r>
      <w:r w:rsidR="00A47CAB" w:rsidRPr="007335E0">
        <w:rPr>
          <w:rFonts w:asciiTheme="minorHAnsi" w:hAnsiTheme="minorHAnsi" w:cstheme="minorHAnsi"/>
        </w:rPr>
        <w:t>Lytham St Anne’s High School</w:t>
      </w:r>
      <w:r w:rsidRPr="007335E0">
        <w:rPr>
          <w:rFonts w:asciiTheme="minorHAnsi" w:hAnsiTheme="minorHAnsi" w:cstheme="minorHAnsi"/>
        </w:rPr>
        <w:t xml:space="preserve"> has a written record which clearly shows the centre is leading on the access arrangements process and is complying with its </w:t>
      </w:r>
      <w:r w:rsidR="00EB54FB" w:rsidRPr="007335E0">
        <w:rPr>
          <w:rFonts w:asciiTheme="minorHAnsi" w:hAnsiTheme="minorHAnsi" w:cstheme="minorHAnsi"/>
          <w:iCs/>
        </w:rPr>
        <w:t>…</w:t>
      </w:r>
      <w:r w:rsidRPr="007335E0">
        <w:rPr>
          <w:rFonts w:asciiTheme="minorHAnsi" w:hAnsiTheme="minorHAnsi" w:cstheme="minorHAnsi"/>
          <w:iCs/>
        </w:rPr>
        <w:t>obligation to identify the need for, request and implement access arrangements.</w:t>
      </w:r>
    </w:p>
    <w:p w14:paraId="5478212B" w14:textId="6A97F35B" w:rsidR="00844861" w:rsidRPr="007335E0" w:rsidRDefault="007335E0" w:rsidP="001127C7">
      <w:pPr>
        <w:pStyle w:val="ListParagraph"/>
        <w:tabs>
          <w:tab w:val="left" w:pos="10490"/>
        </w:tabs>
        <w:spacing w:before="0" w:line="276" w:lineRule="auto"/>
        <w:ind w:right="-11"/>
        <w:jc w:val="right"/>
        <w:rPr>
          <w:rFonts w:asciiTheme="minorHAnsi" w:hAnsiTheme="minorHAnsi" w:cstheme="minorHAnsi"/>
        </w:rPr>
      </w:pPr>
      <w:r w:rsidRPr="007335E0">
        <w:rPr>
          <w:rFonts w:asciiTheme="minorHAnsi" w:hAnsiTheme="minorHAnsi" w:cstheme="minorHAnsi"/>
        </w:rPr>
        <w:t>(</w:t>
      </w:r>
      <w:r w:rsidR="00844861" w:rsidRPr="007335E0">
        <w:rPr>
          <w:rFonts w:asciiTheme="minorHAnsi" w:hAnsiTheme="minorHAnsi" w:cstheme="minorHAnsi"/>
        </w:rPr>
        <w:t xml:space="preserve">JCQ General Regulations for Approved Centres, </w:t>
      </w:r>
      <w:r w:rsidR="00033626" w:rsidRPr="007335E0">
        <w:rPr>
          <w:rFonts w:asciiTheme="minorHAnsi" w:hAnsiTheme="minorHAnsi" w:cstheme="minorHAnsi"/>
        </w:rPr>
        <w:t xml:space="preserve">(section </w:t>
      </w:r>
      <w:r w:rsidR="00844861" w:rsidRPr="007335E0">
        <w:rPr>
          <w:rFonts w:asciiTheme="minorHAnsi" w:hAnsiTheme="minorHAnsi" w:cstheme="minorHAnsi"/>
        </w:rPr>
        <w:t>5.</w:t>
      </w:r>
      <w:r w:rsidR="00033626" w:rsidRPr="007335E0">
        <w:rPr>
          <w:rFonts w:asciiTheme="minorHAnsi" w:hAnsiTheme="minorHAnsi" w:cstheme="minorHAnsi"/>
        </w:rPr>
        <w:t>4)</w:t>
      </w:r>
    </w:p>
    <w:p w14:paraId="1F9D5D84" w14:textId="77777777" w:rsidR="00844861" w:rsidRPr="007335E0" w:rsidRDefault="00844861" w:rsidP="00072C6F">
      <w:pPr>
        <w:jc w:val="right"/>
        <w:rPr>
          <w:rFonts w:asciiTheme="minorHAnsi" w:hAnsiTheme="minorHAnsi" w:cstheme="minorHAnsi"/>
          <w:i/>
          <w:color w:val="000000"/>
        </w:rPr>
      </w:pPr>
      <w:r w:rsidRPr="007335E0">
        <w:rPr>
          <w:rFonts w:asciiTheme="minorHAnsi" w:hAnsiTheme="minorHAnsi" w:cstheme="minorHAnsi"/>
        </w:rPr>
        <w:t xml:space="preserve">This publication is further referred to in this policy as </w:t>
      </w:r>
      <w:hyperlink r:id="rId14" w:history="1">
        <w:r w:rsidRPr="007335E0">
          <w:rPr>
            <w:rStyle w:val="Hyperlink"/>
            <w:rFonts w:asciiTheme="minorHAnsi" w:hAnsiTheme="minorHAnsi" w:cstheme="minorHAnsi"/>
            <w:u w:val="none"/>
          </w:rPr>
          <w:t>GR</w:t>
        </w:r>
      </w:hyperlink>
    </w:p>
    <w:p w14:paraId="73196432" w14:textId="2695355F" w:rsidR="00844861" w:rsidRPr="007335E0" w:rsidRDefault="00844861" w:rsidP="00844861">
      <w:pPr>
        <w:tabs>
          <w:tab w:val="left" w:pos="10490"/>
        </w:tabs>
        <w:spacing w:line="276" w:lineRule="auto"/>
        <w:ind w:right="-11"/>
        <w:jc w:val="both"/>
        <w:rPr>
          <w:rFonts w:asciiTheme="minorHAnsi" w:eastAsia="Times New Roman" w:hAnsiTheme="minorHAnsi" w:cstheme="minorHAnsi"/>
        </w:rPr>
      </w:pPr>
      <w:r w:rsidRPr="007335E0">
        <w:rPr>
          <w:rFonts w:asciiTheme="minorHAnsi" w:eastAsia="Times New Roman" w:hAnsiTheme="minorHAnsi" w:cstheme="minorHAnsi"/>
        </w:rPr>
        <w:t xml:space="preserve">This policy is maintained and held by the </w:t>
      </w:r>
      <w:r w:rsidR="00072C6F" w:rsidRPr="007335E0">
        <w:rPr>
          <w:rFonts w:asciiTheme="minorHAnsi" w:eastAsia="Times New Roman" w:hAnsiTheme="minorHAnsi" w:cstheme="minorHAnsi"/>
        </w:rPr>
        <w:t>ALS lead/</w:t>
      </w:r>
      <w:r w:rsidRPr="007335E0">
        <w:rPr>
          <w:rFonts w:asciiTheme="minorHAnsi" w:eastAsia="Times New Roman" w:hAnsiTheme="minorHAnsi" w:cstheme="minorHAnsi"/>
        </w:rPr>
        <w:t>SENCo alongside the individual files</w:t>
      </w:r>
      <w:r w:rsidR="0065583E" w:rsidRPr="007335E0">
        <w:rPr>
          <w:rFonts w:asciiTheme="minorHAnsi" w:eastAsia="Times New Roman" w:hAnsiTheme="minorHAnsi" w:cstheme="minorHAnsi"/>
        </w:rPr>
        <w:t>/e-folders</w:t>
      </w:r>
      <w:r w:rsidRPr="007335E0">
        <w:rPr>
          <w:rFonts w:asciiTheme="minorHAnsi" w:eastAsia="Times New Roman" w:hAnsiTheme="minorHAnsi" w:cstheme="minorHAnsi"/>
        </w:rPr>
        <w:t xml:space="preserve"> of each access arrangements candidate. Each file</w:t>
      </w:r>
      <w:r w:rsidR="0065583E" w:rsidRPr="007335E0">
        <w:rPr>
          <w:rFonts w:asciiTheme="minorHAnsi" w:eastAsia="Times New Roman" w:hAnsiTheme="minorHAnsi" w:cstheme="minorHAnsi"/>
        </w:rPr>
        <w:t>/e-folder</w:t>
      </w:r>
      <w:r w:rsidRPr="007335E0">
        <w:rPr>
          <w:rFonts w:asciiTheme="minorHAnsi" w:eastAsia="Times New Roman" w:hAnsiTheme="minorHAnsi" w:cstheme="minorHAnsi"/>
        </w:rPr>
        <w:t xml:space="preserve"> contains detailed records of all the essential information that is required to be held according to the regulations. </w:t>
      </w:r>
    </w:p>
    <w:p w14:paraId="4230DE1B" w14:textId="1F63B1B3" w:rsidR="005946D0" w:rsidRPr="007335E0" w:rsidRDefault="005946D0" w:rsidP="00AF65D5">
      <w:pPr>
        <w:spacing w:before="0"/>
        <w:ind w:left="720"/>
        <w:jc w:val="both"/>
        <w:rPr>
          <w:rFonts w:asciiTheme="minorHAnsi" w:eastAsia="Times New Roman" w:hAnsiTheme="minorHAnsi" w:cstheme="minorHAnsi"/>
        </w:rPr>
      </w:pPr>
      <w:r w:rsidRPr="007335E0">
        <w:rPr>
          <w:rFonts w:asciiTheme="minorHAnsi" w:eastAsia="Times New Roman" w:hAnsiTheme="minorHAnsi" w:cstheme="minorHAnsi"/>
        </w:rPr>
        <w:t xml:space="preserve">Where the </w:t>
      </w:r>
      <w:r w:rsidR="007335E0" w:rsidRPr="007335E0">
        <w:rPr>
          <w:rFonts w:asciiTheme="minorHAnsi" w:eastAsia="Times New Roman" w:hAnsiTheme="minorHAnsi" w:cstheme="minorHAnsi"/>
        </w:rPr>
        <w:t>ALS lead/</w:t>
      </w:r>
      <w:r w:rsidRPr="007335E0">
        <w:rPr>
          <w:rFonts w:asciiTheme="minorHAnsi" w:eastAsia="Times New Roman" w:hAnsiTheme="minorHAnsi" w:cstheme="minorHAnsi"/>
        </w:rPr>
        <w:t xml:space="preserve">SENCo is storing documentation electronically he/she </w:t>
      </w:r>
      <w:r w:rsidRPr="007335E0">
        <w:rPr>
          <w:rFonts w:asciiTheme="minorHAnsi" w:eastAsia="Times New Roman" w:hAnsiTheme="minorHAnsi" w:cstheme="minorHAnsi"/>
          <w:b/>
          <w:bCs/>
        </w:rPr>
        <w:t xml:space="preserve">must </w:t>
      </w:r>
      <w:r w:rsidRPr="007335E0">
        <w:rPr>
          <w:rFonts w:asciiTheme="minorHAnsi" w:eastAsia="Times New Roman" w:hAnsiTheme="minorHAnsi" w:cstheme="minorHAnsi"/>
        </w:rPr>
        <w:t xml:space="preserve">create an e-folder for each individual candidate. The candidate’s e-folder must hold each of the required documents for inspection. </w:t>
      </w:r>
      <w:r w:rsidRPr="007335E0">
        <w:rPr>
          <w:rFonts w:asciiTheme="minorHAnsi" w:hAnsiTheme="minorHAnsi" w:cstheme="minorHAnsi"/>
        </w:rPr>
        <w:t>(</w:t>
      </w:r>
      <w:hyperlink r:id="rId15" w:history="1">
        <w:r w:rsidRPr="007335E0">
          <w:rPr>
            <w:rStyle w:val="Hyperlink"/>
            <w:rFonts w:asciiTheme="minorHAnsi" w:hAnsiTheme="minorHAnsi" w:cstheme="minorHAnsi"/>
            <w:u w:val="none"/>
          </w:rPr>
          <w:t>AA</w:t>
        </w:r>
      </w:hyperlink>
      <w:r w:rsidR="007335E0" w:rsidRPr="007335E0">
        <w:rPr>
          <w:rFonts w:asciiTheme="minorHAnsi" w:hAnsiTheme="minorHAnsi" w:cstheme="minorHAnsi"/>
        </w:rPr>
        <w:t>, section</w:t>
      </w:r>
      <w:r w:rsidRPr="007335E0">
        <w:rPr>
          <w:rFonts w:asciiTheme="minorHAnsi" w:hAnsiTheme="minorHAnsi" w:cstheme="minorHAnsi"/>
        </w:rPr>
        <w:t>4.2)</w:t>
      </w:r>
      <w:r w:rsidRPr="007335E0">
        <w:rPr>
          <w:rFonts w:asciiTheme="minorHAnsi" w:hAnsiTheme="minorHAnsi" w:cstheme="minorHAnsi"/>
          <w:b/>
          <w:bCs/>
        </w:rPr>
        <w:t xml:space="preserve">  </w:t>
      </w:r>
    </w:p>
    <w:p w14:paraId="3025CACD" w14:textId="2BD24AEC" w:rsidR="00844861" w:rsidRPr="007335E0" w:rsidRDefault="00844861" w:rsidP="000C2701">
      <w:pPr>
        <w:spacing w:line="276" w:lineRule="auto"/>
        <w:jc w:val="both"/>
        <w:rPr>
          <w:rFonts w:asciiTheme="minorHAnsi" w:hAnsiTheme="minorHAnsi" w:cstheme="minorHAnsi"/>
        </w:rPr>
      </w:pPr>
      <w:r w:rsidRPr="007335E0">
        <w:rPr>
          <w:rFonts w:asciiTheme="minorHAnsi" w:hAnsiTheme="minorHAnsi" w:cstheme="minorHAnsi"/>
        </w:rPr>
        <w:t xml:space="preserve">The policy is annually reviewed to ensure that processes are carried out in accordance with the current edition of the JCQ publication </w:t>
      </w:r>
      <w:r w:rsidR="007335E0" w:rsidRPr="007335E0">
        <w:rPr>
          <w:rFonts w:asciiTheme="minorHAnsi" w:hAnsiTheme="minorHAnsi" w:cstheme="minorHAnsi"/>
        </w:rPr>
        <w:t>‘</w:t>
      </w:r>
      <w:r w:rsidRPr="007335E0">
        <w:rPr>
          <w:rFonts w:asciiTheme="minorHAnsi" w:hAnsiTheme="minorHAnsi" w:cstheme="minorHAnsi"/>
          <w:bCs/>
        </w:rPr>
        <w:t>Adjustments for candidates with disabilities and learning difficulties</w:t>
      </w:r>
      <w:r w:rsidRPr="007335E0">
        <w:rPr>
          <w:rFonts w:asciiTheme="minorHAnsi" w:hAnsiTheme="minorHAnsi" w:cstheme="minorHAnsi"/>
        </w:rPr>
        <w:t xml:space="preserve"> </w:t>
      </w:r>
      <w:r w:rsidR="009362F6" w:rsidRPr="007335E0">
        <w:rPr>
          <w:rFonts w:asciiTheme="minorHAnsi" w:hAnsiTheme="minorHAnsi" w:cstheme="minorHAnsi"/>
        </w:rPr>
        <w:t xml:space="preserve">- </w:t>
      </w:r>
      <w:r w:rsidRPr="007335E0">
        <w:rPr>
          <w:rFonts w:asciiTheme="minorHAnsi" w:hAnsiTheme="minorHAnsi" w:cstheme="minorHAnsi"/>
          <w:b/>
        </w:rPr>
        <w:t>Access Arrangements and Reasonable Adjustments</w:t>
      </w:r>
      <w:r w:rsidR="007335E0" w:rsidRPr="007335E0">
        <w:rPr>
          <w:rFonts w:asciiTheme="minorHAnsi" w:hAnsiTheme="minorHAnsi" w:cstheme="minorHAnsi"/>
          <w:b/>
        </w:rPr>
        <w:t>’</w:t>
      </w:r>
      <w:r w:rsidRPr="007335E0">
        <w:rPr>
          <w:rFonts w:asciiTheme="minorHAnsi" w:hAnsiTheme="minorHAnsi" w:cstheme="minorHAnsi"/>
          <w:bCs/>
        </w:rPr>
        <w:t>.</w:t>
      </w:r>
      <w:r w:rsidR="000C2701" w:rsidRPr="007335E0">
        <w:rPr>
          <w:rFonts w:asciiTheme="minorHAnsi" w:hAnsiTheme="minorHAnsi" w:cstheme="minorHAnsi"/>
        </w:rPr>
        <w:t xml:space="preserve"> </w:t>
      </w:r>
    </w:p>
    <w:p w14:paraId="34E1DF08" w14:textId="37FB6EA7" w:rsidR="00844861" w:rsidRPr="007335E0" w:rsidRDefault="00844861" w:rsidP="00072C6F">
      <w:pPr>
        <w:spacing w:line="276" w:lineRule="auto"/>
        <w:jc w:val="right"/>
        <w:rPr>
          <w:rStyle w:val="Hyperlink"/>
          <w:rFonts w:asciiTheme="minorHAnsi" w:hAnsiTheme="minorHAnsi" w:cstheme="minorHAnsi"/>
          <w:u w:val="none"/>
        </w:rPr>
      </w:pPr>
      <w:r w:rsidRPr="007335E0">
        <w:rPr>
          <w:rFonts w:asciiTheme="minorHAnsi" w:hAnsiTheme="minorHAnsi" w:cstheme="minorHAnsi"/>
          <w:bCs/>
        </w:rPr>
        <w:t xml:space="preserve">This publication is further referred to in this policy as </w:t>
      </w:r>
      <w:hyperlink r:id="rId16" w:history="1">
        <w:r w:rsidRPr="007335E0">
          <w:rPr>
            <w:rStyle w:val="Hyperlink"/>
            <w:rFonts w:asciiTheme="minorHAnsi" w:hAnsiTheme="minorHAnsi" w:cstheme="minorHAnsi"/>
            <w:u w:val="none"/>
          </w:rPr>
          <w:t>AA</w:t>
        </w:r>
      </w:hyperlink>
    </w:p>
    <w:p w14:paraId="43D0DF59" w14:textId="77777777" w:rsidR="007335E0" w:rsidRPr="005C2266" w:rsidRDefault="007335E0" w:rsidP="00072C6F">
      <w:pPr>
        <w:spacing w:line="276" w:lineRule="auto"/>
        <w:jc w:val="right"/>
        <w:rPr>
          <w:rFonts w:asciiTheme="minorHAnsi" w:hAnsiTheme="minorHAnsi" w:cstheme="minorHAnsi"/>
          <w:sz w:val="20"/>
          <w:szCs w:val="20"/>
        </w:rPr>
      </w:pPr>
    </w:p>
    <w:p w14:paraId="72C06444" w14:textId="7C7D7B00" w:rsidR="0057135F" w:rsidRPr="005C2266" w:rsidRDefault="00BD76D4" w:rsidP="0065583E">
      <w:pPr>
        <w:pStyle w:val="Headinglevel1"/>
        <w:spacing w:before="240" w:line="276" w:lineRule="auto"/>
        <w:rPr>
          <w:rFonts w:asciiTheme="minorHAnsi" w:hAnsiTheme="minorHAnsi" w:cstheme="minorHAnsi"/>
        </w:rPr>
      </w:pPr>
      <w:bookmarkStart w:id="31" w:name="_Toc85542748"/>
      <w:bookmarkStart w:id="32" w:name="_Toc490083854"/>
      <w:bookmarkStart w:id="33" w:name="_Toc496088793"/>
      <w:bookmarkStart w:id="34" w:name="_Toc523473884"/>
      <w:bookmarkStart w:id="35" w:name="_Toc22304700"/>
      <w:bookmarkStart w:id="36" w:name="_Toc22487028"/>
      <w:bookmarkStart w:id="37" w:name="_Toc22487147"/>
      <w:bookmarkStart w:id="38" w:name="_Toc443593739"/>
      <w:bookmarkStart w:id="39" w:name="_Toc466921640"/>
      <w:bookmarkEnd w:id="27"/>
      <w:bookmarkEnd w:id="28"/>
      <w:bookmarkEnd w:id="29"/>
      <w:r w:rsidRPr="005C2266">
        <w:rPr>
          <w:rFonts w:asciiTheme="minorHAnsi" w:hAnsiTheme="minorHAnsi" w:cstheme="minorHAnsi"/>
        </w:rPr>
        <w:t>General</w:t>
      </w:r>
      <w:r w:rsidR="0057135F" w:rsidRPr="005C2266">
        <w:rPr>
          <w:rFonts w:asciiTheme="minorHAnsi" w:hAnsiTheme="minorHAnsi" w:cstheme="minorHAnsi"/>
        </w:rPr>
        <w:t xml:space="preserve"> principles</w:t>
      </w:r>
      <w:bookmarkEnd w:id="31"/>
    </w:p>
    <w:p w14:paraId="2FB50123" w14:textId="70ECE4E7" w:rsidR="0057135F" w:rsidRPr="007335E0" w:rsidRDefault="0057135F" w:rsidP="0057135F">
      <w:pPr>
        <w:spacing w:line="276" w:lineRule="auto"/>
        <w:jc w:val="both"/>
        <w:rPr>
          <w:rFonts w:asciiTheme="minorHAnsi" w:eastAsia="Times New Roman" w:hAnsiTheme="minorHAnsi" w:cstheme="minorHAnsi"/>
        </w:rPr>
      </w:pPr>
      <w:r w:rsidRPr="007335E0">
        <w:rPr>
          <w:rFonts w:asciiTheme="minorHAnsi" w:hAnsiTheme="minorHAnsi" w:cstheme="minorHAnsi"/>
        </w:rPr>
        <w:t xml:space="preserve">The principles </w:t>
      </w:r>
      <w:r w:rsidR="00A47CAB" w:rsidRPr="007335E0">
        <w:rPr>
          <w:rFonts w:asciiTheme="minorHAnsi" w:hAnsiTheme="minorHAnsi" w:cstheme="minorHAnsi"/>
        </w:rPr>
        <w:t>f</w:t>
      </w:r>
      <w:r w:rsidRPr="007335E0">
        <w:rPr>
          <w:rFonts w:asciiTheme="minorHAnsi" w:hAnsiTheme="minorHAnsi" w:cstheme="minorHAnsi"/>
        </w:rPr>
        <w:t xml:space="preserve">or the centre to consider are detailed in </w:t>
      </w:r>
      <w:hyperlink r:id="rId17" w:history="1">
        <w:r w:rsidRPr="007335E0">
          <w:rPr>
            <w:rStyle w:val="Hyperlink"/>
            <w:rFonts w:asciiTheme="minorHAnsi" w:hAnsiTheme="minorHAnsi" w:cstheme="minorHAnsi"/>
            <w:u w:val="none"/>
          </w:rPr>
          <w:t>AA</w:t>
        </w:r>
      </w:hyperlink>
      <w:r w:rsidRPr="007335E0">
        <w:rPr>
          <w:rFonts w:asciiTheme="minorHAnsi" w:hAnsiTheme="minorHAnsi" w:cstheme="minorHAnsi"/>
        </w:rPr>
        <w:t xml:space="preserve"> (section 4.2). These include:</w:t>
      </w:r>
    </w:p>
    <w:p w14:paraId="3C36D9D7" w14:textId="77777777" w:rsidR="007335E0" w:rsidRDefault="0057135F" w:rsidP="007335E0">
      <w:pPr>
        <w:pStyle w:val="ListParagraph"/>
        <w:numPr>
          <w:ilvl w:val="0"/>
          <w:numId w:val="18"/>
        </w:numPr>
        <w:spacing w:before="0" w:after="0"/>
        <w:rPr>
          <w:rFonts w:asciiTheme="minorHAnsi" w:eastAsia="Times New Roman" w:hAnsiTheme="minorHAnsi" w:cstheme="minorHAnsi"/>
        </w:rPr>
      </w:pPr>
      <w:r w:rsidRPr="007335E0">
        <w:rPr>
          <w:rFonts w:asciiTheme="minorHAnsi" w:eastAsia="Times New Roman" w:hAnsiTheme="minorHAnsi" w:cstheme="minorHAnsi"/>
        </w:rPr>
        <w:t>The purpose of an access arrangement</w:t>
      </w:r>
      <w:r w:rsidR="00A47CAB" w:rsidRPr="007335E0">
        <w:rPr>
          <w:rFonts w:asciiTheme="minorHAnsi" w:eastAsia="Times New Roman" w:hAnsiTheme="minorHAnsi" w:cstheme="minorHAnsi"/>
        </w:rPr>
        <w:t>/reasonable adjustment</w:t>
      </w:r>
      <w:r w:rsidRPr="007335E0">
        <w:rPr>
          <w:rFonts w:asciiTheme="minorHAnsi" w:eastAsia="Times New Roman" w:hAnsiTheme="minorHAnsi" w:cstheme="minorHAnsi"/>
        </w:rPr>
        <w:t xml:space="preserve">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a disabled candidate</w:t>
      </w:r>
      <w:r w:rsidR="007335E0">
        <w:rPr>
          <w:rFonts w:asciiTheme="minorHAnsi" w:eastAsia="Times New Roman" w:hAnsiTheme="minorHAnsi" w:cstheme="minorHAnsi"/>
        </w:rPr>
        <w:t>.</w:t>
      </w:r>
    </w:p>
    <w:p w14:paraId="12E14EFB" w14:textId="64701DDF" w:rsidR="0057135F" w:rsidRPr="007335E0" w:rsidRDefault="0057135F" w:rsidP="007335E0">
      <w:pPr>
        <w:pStyle w:val="ListParagraph"/>
        <w:spacing w:before="0" w:after="0"/>
        <w:rPr>
          <w:rFonts w:asciiTheme="minorHAnsi" w:eastAsia="Times New Roman" w:hAnsiTheme="minorHAnsi" w:cstheme="minorHAnsi"/>
        </w:rPr>
      </w:pPr>
      <w:r w:rsidRPr="007335E0">
        <w:rPr>
          <w:rFonts w:asciiTheme="minorHAnsi" w:eastAsia="Times New Roman" w:hAnsiTheme="minorHAnsi" w:cstheme="minorHAnsi"/>
        </w:rPr>
        <w:t xml:space="preserve"> </w:t>
      </w:r>
    </w:p>
    <w:p w14:paraId="567E4D8B" w14:textId="62762D81" w:rsidR="007335E0" w:rsidRDefault="0057135F" w:rsidP="007335E0">
      <w:pPr>
        <w:pStyle w:val="ListParagraph"/>
        <w:numPr>
          <w:ilvl w:val="0"/>
          <w:numId w:val="18"/>
        </w:numPr>
        <w:spacing w:before="0" w:after="0"/>
        <w:rPr>
          <w:rFonts w:asciiTheme="minorHAnsi" w:eastAsia="Times New Roman" w:hAnsiTheme="minorHAnsi" w:cstheme="minorHAnsi"/>
        </w:rPr>
      </w:pPr>
      <w:r w:rsidRPr="007335E0">
        <w:rPr>
          <w:rFonts w:asciiTheme="minorHAnsi" w:eastAsia="Times New Roman" w:hAnsiTheme="minorHAnsi" w:cstheme="minorHAnsi"/>
        </w:rPr>
        <w:t xml:space="preserve">The SENCo, or an equivalent member of staff within a FE college, </w:t>
      </w:r>
      <w:r w:rsidRPr="007335E0">
        <w:rPr>
          <w:rFonts w:asciiTheme="minorHAnsi" w:eastAsia="Times New Roman" w:hAnsiTheme="minorHAnsi" w:cstheme="minorHAnsi"/>
          <w:b/>
          <w:bCs/>
        </w:rPr>
        <w:t>must</w:t>
      </w:r>
      <w:r w:rsidRPr="007335E0">
        <w:rPr>
          <w:rFonts w:asciiTheme="minorHAnsi" w:eastAsia="Times New Roman" w:hAnsiTheme="minorHAnsi" w:cstheme="minorHAnsi"/>
        </w:rPr>
        <w:t xml:space="preserve"> ensure that the proposed access arrangement</w:t>
      </w:r>
      <w:r w:rsidR="00A47CAB" w:rsidRPr="007335E0">
        <w:rPr>
          <w:rFonts w:asciiTheme="minorHAnsi" w:eastAsia="Times New Roman" w:hAnsiTheme="minorHAnsi" w:cstheme="minorHAnsi"/>
        </w:rPr>
        <w:t>/reasonable adjustment</w:t>
      </w:r>
      <w:r w:rsidRPr="007335E0">
        <w:rPr>
          <w:rFonts w:asciiTheme="minorHAnsi" w:eastAsia="Times New Roman" w:hAnsiTheme="minorHAnsi" w:cstheme="minorHAnsi"/>
        </w:rPr>
        <w:t xml:space="preserve"> does not </w:t>
      </w:r>
      <w:r w:rsidR="00A47CAB" w:rsidRPr="007335E0">
        <w:rPr>
          <w:rFonts w:asciiTheme="minorHAnsi" w:eastAsia="Times New Roman" w:hAnsiTheme="minorHAnsi" w:cstheme="minorHAnsi"/>
        </w:rPr>
        <w:t xml:space="preserve">unfairly </w:t>
      </w:r>
      <w:r w:rsidRPr="007335E0">
        <w:rPr>
          <w:rFonts w:asciiTheme="minorHAnsi" w:eastAsia="Times New Roman" w:hAnsiTheme="minorHAnsi" w:cstheme="minorHAnsi"/>
        </w:rPr>
        <w:t>disadvantage or advantage the candidate.</w:t>
      </w:r>
    </w:p>
    <w:p w14:paraId="6ABCAB24" w14:textId="77777777" w:rsidR="007335E0" w:rsidRPr="007335E0" w:rsidRDefault="007335E0" w:rsidP="007335E0">
      <w:pPr>
        <w:spacing w:before="0" w:after="0"/>
        <w:rPr>
          <w:rFonts w:asciiTheme="minorHAnsi" w:eastAsia="Times New Roman" w:hAnsiTheme="minorHAnsi" w:cstheme="minorHAnsi"/>
        </w:rPr>
      </w:pPr>
    </w:p>
    <w:p w14:paraId="6A57C97B" w14:textId="1F3C6B8F" w:rsidR="00A47CAB" w:rsidRDefault="00A47CAB" w:rsidP="007335E0">
      <w:pPr>
        <w:pStyle w:val="ListParagraph"/>
        <w:numPr>
          <w:ilvl w:val="0"/>
          <w:numId w:val="18"/>
        </w:numPr>
        <w:spacing w:before="0" w:after="0"/>
        <w:rPr>
          <w:rFonts w:asciiTheme="minorHAnsi" w:eastAsia="Times New Roman" w:hAnsiTheme="minorHAnsi" w:cstheme="minorHAnsi"/>
        </w:rPr>
      </w:pPr>
      <w:r w:rsidRPr="007335E0">
        <w:rPr>
          <w:rFonts w:asciiTheme="minorHAnsi" w:eastAsia="Times New Roman" w:hAnsiTheme="minorHAnsi" w:cstheme="minorHAnsi"/>
        </w:rPr>
        <w:t xml:space="preserve">Access </w:t>
      </w:r>
      <w:r w:rsidR="0057135F" w:rsidRPr="007335E0">
        <w:rPr>
          <w:rFonts w:asciiTheme="minorHAnsi" w:eastAsia="Times New Roman" w:hAnsiTheme="minorHAnsi" w:cstheme="minorHAnsi"/>
        </w:rPr>
        <w:t>Arrangements</w:t>
      </w:r>
      <w:r w:rsidRPr="007335E0">
        <w:rPr>
          <w:rFonts w:asciiTheme="minorHAnsi" w:eastAsia="Times New Roman" w:hAnsiTheme="minorHAnsi" w:cstheme="minorHAnsi"/>
        </w:rPr>
        <w:t xml:space="preserve">/reasonable adjustments should be processed at the </w:t>
      </w:r>
      <w:r w:rsidRPr="007335E0">
        <w:rPr>
          <w:rFonts w:asciiTheme="minorHAnsi" w:eastAsia="Times New Roman" w:hAnsiTheme="minorHAnsi" w:cstheme="minorHAnsi"/>
          <w:b/>
          <w:bCs/>
        </w:rPr>
        <w:t>start</w:t>
      </w:r>
      <w:r w:rsidRPr="007335E0">
        <w:rPr>
          <w:rFonts w:asciiTheme="minorHAnsi" w:eastAsia="Times New Roman" w:hAnsiTheme="minorHAnsi" w:cstheme="minorHAnsi"/>
        </w:rPr>
        <w:t xml:space="preserve"> of the course.</w:t>
      </w:r>
    </w:p>
    <w:p w14:paraId="6BF714A7" w14:textId="77777777" w:rsidR="007335E0" w:rsidRPr="007335E0" w:rsidRDefault="007335E0" w:rsidP="007335E0">
      <w:pPr>
        <w:spacing w:before="0" w:after="0"/>
        <w:rPr>
          <w:rFonts w:asciiTheme="minorHAnsi" w:eastAsia="Times New Roman" w:hAnsiTheme="minorHAnsi" w:cstheme="minorHAnsi"/>
        </w:rPr>
      </w:pPr>
    </w:p>
    <w:p w14:paraId="45BA912A" w14:textId="7FDC0D11" w:rsidR="00D50C6B" w:rsidRDefault="0057135F" w:rsidP="007335E0">
      <w:pPr>
        <w:pStyle w:val="ListParagraph"/>
        <w:numPr>
          <w:ilvl w:val="0"/>
          <w:numId w:val="18"/>
        </w:numPr>
        <w:spacing w:before="0" w:after="0"/>
        <w:rPr>
          <w:rFonts w:asciiTheme="minorHAnsi" w:eastAsia="Times New Roman" w:hAnsiTheme="minorHAnsi" w:cstheme="minorHAnsi"/>
        </w:rPr>
      </w:pPr>
      <w:r w:rsidRPr="007335E0">
        <w:rPr>
          <w:rFonts w:asciiTheme="minorHAnsi" w:eastAsia="Times New Roman" w:hAnsiTheme="minorHAnsi" w:cstheme="minorHAnsi"/>
        </w:rPr>
        <w:t xml:space="preserve">The arrangement(s) put in place </w:t>
      </w:r>
      <w:r w:rsidRPr="003A1FB3">
        <w:rPr>
          <w:rFonts w:asciiTheme="minorHAnsi" w:eastAsia="Times New Roman" w:hAnsiTheme="minorHAnsi" w:cstheme="minorHAnsi"/>
          <w:b/>
          <w:bCs/>
        </w:rPr>
        <w:t>must</w:t>
      </w:r>
      <w:r w:rsidRPr="007335E0">
        <w:rPr>
          <w:rFonts w:asciiTheme="minorHAnsi" w:eastAsia="Times New Roman" w:hAnsiTheme="minorHAnsi" w:cstheme="minorHAnsi"/>
        </w:rPr>
        <w:t xml:space="preserve"> reflect the support given to the candidate in the centr</w:t>
      </w:r>
      <w:r w:rsidR="00D50C6B" w:rsidRPr="007335E0">
        <w:rPr>
          <w:rFonts w:asciiTheme="minorHAnsi" w:eastAsia="Times New Roman" w:hAnsiTheme="minorHAnsi" w:cstheme="minorHAnsi"/>
        </w:rPr>
        <w:t>e</w:t>
      </w:r>
    </w:p>
    <w:p w14:paraId="37EE51E4" w14:textId="77777777" w:rsidR="007335E0" w:rsidRPr="007335E0" w:rsidRDefault="007335E0" w:rsidP="007335E0">
      <w:pPr>
        <w:spacing w:before="0" w:after="0"/>
        <w:rPr>
          <w:rFonts w:asciiTheme="minorHAnsi" w:eastAsia="Times New Roman" w:hAnsiTheme="minorHAnsi" w:cstheme="minorHAnsi"/>
        </w:rPr>
      </w:pPr>
    </w:p>
    <w:p w14:paraId="4DADE944" w14:textId="6FD28359" w:rsidR="00D50C6B" w:rsidRPr="007335E0" w:rsidRDefault="00D50C6B" w:rsidP="007335E0">
      <w:pPr>
        <w:pStyle w:val="ListParagraph"/>
        <w:numPr>
          <w:ilvl w:val="0"/>
          <w:numId w:val="18"/>
        </w:numPr>
        <w:spacing w:before="0" w:after="0"/>
        <w:rPr>
          <w:rFonts w:asciiTheme="minorHAnsi" w:eastAsia="Times New Roman" w:hAnsiTheme="minorHAnsi" w:cstheme="minorHAnsi"/>
        </w:rPr>
      </w:pPr>
      <w:r w:rsidRPr="007335E0">
        <w:rPr>
          <w:rFonts w:asciiTheme="minorHAnsi" w:hAnsiTheme="minorHAnsi" w:cstheme="minorHAnsi"/>
        </w:rPr>
        <w:t xml:space="preserve">The candidate </w:t>
      </w:r>
      <w:r w:rsidRPr="007335E0">
        <w:rPr>
          <w:rFonts w:asciiTheme="minorHAnsi" w:hAnsiTheme="minorHAnsi" w:cstheme="minorHAnsi"/>
          <w:b/>
          <w:bCs/>
        </w:rPr>
        <w:t xml:space="preserve">must </w:t>
      </w:r>
      <w:r w:rsidRPr="007335E0">
        <w:rPr>
          <w:rFonts w:asciiTheme="minorHAnsi" w:hAnsiTheme="minorHAnsi" w:cstheme="minorHAnsi"/>
        </w:rPr>
        <w:t>have had appropriate opportunities to practise using the access arrangement(s)</w:t>
      </w:r>
      <w:r w:rsidR="00A47CAB" w:rsidRPr="007335E0">
        <w:rPr>
          <w:rFonts w:asciiTheme="minorHAnsi" w:hAnsiTheme="minorHAnsi" w:cstheme="minorHAnsi"/>
        </w:rPr>
        <w:t>/reasonable adjustment(s)</w:t>
      </w:r>
      <w:r w:rsidRPr="007335E0">
        <w:rPr>
          <w:rFonts w:asciiTheme="minorHAnsi" w:hAnsiTheme="minorHAnsi" w:cstheme="minorHAnsi"/>
        </w:rPr>
        <w:t xml:space="preserve"> before his/her first examination. </w:t>
      </w:r>
    </w:p>
    <w:p w14:paraId="58361776" w14:textId="59D371B9" w:rsidR="00844861" w:rsidRPr="005C2266" w:rsidRDefault="00033626" w:rsidP="0065583E">
      <w:pPr>
        <w:pStyle w:val="Headinglevel1"/>
        <w:spacing w:before="240" w:line="276" w:lineRule="auto"/>
        <w:rPr>
          <w:rFonts w:asciiTheme="minorHAnsi" w:hAnsiTheme="minorHAnsi" w:cstheme="minorHAnsi"/>
        </w:rPr>
      </w:pPr>
      <w:bookmarkStart w:id="40" w:name="_Toc85542749"/>
      <w:r w:rsidRPr="005C2266">
        <w:rPr>
          <w:rFonts w:asciiTheme="minorHAnsi" w:hAnsiTheme="minorHAnsi" w:cstheme="minorHAnsi"/>
        </w:rPr>
        <w:t>Equalities</w:t>
      </w:r>
      <w:r w:rsidR="00844861" w:rsidRPr="005C2266">
        <w:rPr>
          <w:rFonts w:asciiTheme="minorHAnsi" w:hAnsiTheme="minorHAnsi" w:cstheme="minorHAnsi"/>
        </w:rPr>
        <w:t xml:space="preserve"> </w:t>
      </w:r>
      <w:r w:rsidR="00072C6F" w:rsidRPr="005C2266">
        <w:rPr>
          <w:rFonts w:asciiTheme="minorHAnsi" w:hAnsiTheme="minorHAnsi" w:cstheme="minorHAnsi"/>
        </w:rPr>
        <w:t>P</w:t>
      </w:r>
      <w:r w:rsidR="00844861" w:rsidRPr="005C2266">
        <w:rPr>
          <w:rFonts w:asciiTheme="minorHAnsi" w:hAnsiTheme="minorHAnsi" w:cstheme="minorHAnsi"/>
        </w:rPr>
        <w:t>olicy (</w:t>
      </w:r>
      <w:r w:rsidR="00D32BEF" w:rsidRPr="005C2266">
        <w:rPr>
          <w:rFonts w:asciiTheme="minorHAnsi" w:hAnsiTheme="minorHAnsi" w:cstheme="minorHAnsi"/>
        </w:rPr>
        <w:t>E</w:t>
      </w:r>
      <w:r w:rsidR="00844861" w:rsidRPr="005C2266">
        <w:rPr>
          <w:rFonts w:asciiTheme="minorHAnsi" w:hAnsiTheme="minorHAnsi" w:cstheme="minorHAnsi"/>
        </w:rPr>
        <w:t>xams)</w:t>
      </w:r>
      <w:bookmarkEnd w:id="32"/>
      <w:bookmarkEnd w:id="33"/>
      <w:bookmarkEnd w:id="34"/>
      <w:bookmarkEnd w:id="35"/>
      <w:bookmarkEnd w:id="36"/>
      <w:bookmarkEnd w:id="37"/>
      <w:bookmarkEnd w:id="40"/>
    </w:p>
    <w:p w14:paraId="2E2EF6BD" w14:textId="2C489DDD" w:rsidR="00844861" w:rsidRPr="005C2266" w:rsidRDefault="00844861" w:rsidP="00844861">
      <w:pPr>
        <w:spacing w:line="276" w:lineRule="auto"/>
        <w:jc w:val="both"/>
        <w:rPr>
          <w:rFonts w:asciiTheme="minorHAnsi" w:hAnsiTheme="minorHAnsi" w:cstheme="minorHAnsi"/>
          <w:szCs w:val="24"/>
        </w:rPr>
      </w:pPr>
      <w:r w:rsidRPr="005C2266">
        <w:rPr>
          <w:rFonts w:asciiTheme="minorHAnsi" w:hAnsiTheme="minorHAnsi" w:cstheme="minorHAnsi"/>
          <w:szCs w:val="24"/>
        </w:rPr>
        <w:t>A large part of the access arrangements</w:t>
      </w:r>
      <w:r w:rsidR="00907D13" w:rsidRPr="005C2266">
        <w:rPr>
          <w:rFonts w:asciiTheme="minorHAnsi" w:hAnsiTheme="minorHAnsi" w:cstheme="minorHAnsi"/>
          <w:szCs w:val="24"/>
        </w:rPr>
        <w:t xml:space="preserve">/reasonable adjustments </w:t>
      </w:r>
      <w:r w:rsidRPr="005C2266">
        <w:rPr>
          <w:rFonts w:asciiTheme="minorHAnsi" w:hAnsiTheme="minorHAnsi" w:cstheme="minorHAnsi"/>
          <w:szCs w:val="24"/>
        </w:rPr>
        <w:t xml:space="preserve"> process is covered in the </w:t>
      </w:r>
      <w:r w:rsidR="00033626" w:rsidRPr="005C2266">
        <w:rPr>
          <w:rFonts w:asciiTheme="minorHAnsi" w:hAnsiTheme="minorHAnsi" w:cstheme="minorHAnsi"/>
          <w:szCs w:val="24"/>
        </w:rPr>
        <w:t>Equalities</w:t>
      </w:r>
      <w:r w:rsidRPr="005C2266">
        <w:rPr>
          <w:rFonts w:asciiTheme="minorHAnsi" w:hAnsiTheme="minorHAnsi" w:cstheme="minorHAnsi"/>
          <w:szCs w:val="24"/>
        </w:rPr>
        <w:t xml:space="preserve"> </w:t>
      </w:r>
      <w:r w:rsidR="0065583E" w:rsidRPr="005C2266">
        <w:rPr>
          <w:rFonts w:asciiTheme="minorHAnsi" w:hAnsiTheme="minorHAnsi" w:cstheme="minorHAnsi"/>
          <w:szCs w:val="24"/>
        </w:rPr>
        <w:t>P</w:t>
      </w:r>
      <w:r w:rsidRPr="005C2266">
        <w:rPr>
          <w:rFonts w:asciiTheme="minorHAnsi" w:hAnsiTheme="minorHAnsi" w:cstheme="minorHAnsi"/>
          <w:szCs w:val="24"/>
        </w:rPr>
        <w:t>olicy (</w:t>
      </w:r>
      <w:r w:rsidR="000C2701" w:rsidRPr="005C2266">
        <w:rPr>
          <w:rFonts w:asciiTheme="minorHAnsi" w:hAnsiTheme="minorHAnsi" w:cstheme="minorHAnsi"/>
          <w:szCs w:val="24"/>
        </w:rPr>
        <w:t>E</w:t>
      </w:r>
      <w:r w:rsidRPr="005C2266">
        <w:rPr>
          <w:rFonts w:asciiTheme="minorHAnsi" w:hAnsiTheme="minorHAnsi" w:cstheme="minorHAnsi"/>
          <w:szCs w:val="24"/>
        </w:rPr>
        <w:t>xams) which covers staff roles and responsibilities in identifying the need for, requesting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844861" w:rsidRPr="005C2266" w14:paraId="4EE3A9A3" w14:textId="77777777" w:rsidTr="00377406">
        <w:tc>
          <w:tcPr>
            <w:tcW w:w="9548" w:type="dxa"/>
          </w:tcPr>
          <w:p w14:paraId="40794EA8" w14:textId="6C4025CE" w:rsidR="00D32BEF" w:rsidRPr="005C2266" w:rsidRDefault="003F0525" w:rsidP="00D32BEF">
            <w:pPr>
              <w:spacing w:line="276" w:lineRule="auto"/>
              <w:jc w:val="both"/>
              <w:rPr>
                <w:rFonts w:asciiTheme="minorHAnsi" w:hAnsiTheme="minorHAnsi" w:cstheme="minorHAnsi"/>
              </w:rPr>
            </w:pPr>
            <w:r w:rsidRPr="005C2266">
              <w:rPr>
                <w:rFonts w:asciiTheme="minorHAnsi" w:hAnsiTheme="minorHAnsi" w:cstheme="minorHAnsi"/>
              </w:rPr>
              <w:t xml:space="preserve">A copy of the Exams Equalities Policy is included as an appendix in the </w:t>
            </w:r>
            <w:r w:rsidR="00907D13" w:rsidRPr="005C2266">
              <w:rPr>
                <w:rFonts w:asciiTheme="minorHAnsi" w:hAnsiTheme="minorHAnsi" w:cstheme="minorHAnsi"/>
              </w:rPr>
              <w:t xml:space="preserve">Lytham St Anne’s High School </w:t>
            </w:r>
            <w:r w:rsidRPr="005C2266">
              <w:rPr>
                <w:rFonts w:asciiTheme="minorHAnsi" w:hAnsiTheme="minorHAnsi" w:cstheme="minorHAnsi"/>
              </w:rPr>
              <w:t>exam policy document.</w:t>
            </w:r>
          </w:p>
          <w:p w14:paraId="1219AD90" w14:textId="1EC0EAB2" w:rsidR="00D32BEF" w:rsidRPr="005C2266" w:rsidRDefault="0065583E" w:rsidP="00D32BEF">
            <w:pPr>
              <w:jc w:val="both"/>
              <w:rPr>
                <w:rFonts w:asciiTheme="minorHAnsi" w:hAnsiTheme="minorHAnsi" w:cstheme="minorHAnsi"/>
                <w:color w:val="595959" w:themeColor="text1" w:themeTint="A6"/>
                <w:sz w:val="18"/>
                <w:szCs w:val="18"/>
              </w:rPr>
            </w:pPr>
            <w:r w:rsidRPr="005C2266">
              <w:rPr>
                <w:rFonts w:asciiTheme="minorHAnsi" w:hAnsiTheme="minorHAnsi" w:cstheme="minorHAnsi"/>
                <w:b/>
                <w:bCs/>
                <w:color w:val="595959" w:themeColor="text1" w:themeTint="A6"/>
                <w:sz w:val="18"/>
                <w:szCs w:val="18"/>
              </w:rPr>
              <w:t>The head of centre/senior leadership team will</w:t>
            </w:r>
            <w:r w:rsidRPr="005C2266">
              <w:rPr>
                <w:rFonts w:asciiTheme="minorHAnsi" w:hAnsiTheme="minorHAnsi" w:cstheme="minorHAnsi"/>
                <w:color w:val="595959" w:themeColor="text1" w:themeTint="A6"/>
                <w:sz w:val="18"/>
                <w:szCs w:val="18"/>
              </w:rPr>
              <w:t>… recognise its duties towards disabled candidates</w:t>
            </w:r>
            <w:r w:rsidR="00195D3B" w:rsidRPr="005C2266">
              <w:rPr>
                <w:rFonts w:asciiTheme="minorHAnsi" w:hAnsiTheme="minorHAnsi" w:cstheme="minorHAnsi"/>
                <w:color w:val="595959" w:themeColor="text1" w:themeTint="A6"/>
                <w:sz w:val="18"/>
                <w:szCs w:val="18"/>
              </w:rPr>
              <w:t xml:space="preserve">, </w:t>
            </w:r>
            <w:r w:rsidR="003A1FB3">
              <w:rPr>
                <w:rFonts w:asciiTheme="minorHAnsi" w:hAnsiTheme="minorHAnsi" w:cstheme="minorHAnsi"/>
                <w:color w:val="595959" w:themeColor="text1" w:themeTint="A6"/>
                <w:sz w:val="18"/>
                <w:szCs w:val="18"/>
              </w:rPr>
              <w:t xml:space="preserve">including private candidates, </w:t>
            </w:r>
            <w:r w:rsidR="00907D13" w:rsidRPr="005C2266">
              <w:rPr>
                <w:rFonts w:asciiTheme="minorHAnsi" w:hAnsiTheme="minorHAnsi" w:cstheme="minorHAnsi"/>
                <w:color w:val="595959" w:themeColor="text1" w:themeTint="A6"/>
                <w:sz w:val="18"/>
                <w:szCs w:val="18"/>
              </w:rPr>
              <w:t xml:space="preserve">ensuring compliance with all aspects of the Equality Act 2010+, particularly Section 20 (7). </w:t>
            </w:r>
            <w:r w:rsidRPr="005C2266">
              <w:rPr>
                <w:rFonts w:asciiTheme="minorHAnsi" w:hAnsiTheme="minorHAnsi" w:cstheme="minorHAnsi"/>
                <w:color w:val="595959" w:themeColor="text1" w:themeTint="A6"/>
                <w:sz w:val="18"/>
                <w:szCs w:val="18"/>
              </w:rPr>
              <w:t xml:space="preserve">This </w:t>
            </w:r>
            <w:r w:rsidRPr="005C2266">
              <w:rPr>
                <w:rFonts w:asciiTheme="minorHAnsi" w:hAnsiTheme="minorHAnsi" w:cstheme="minorHAnsi"/>
                <w:b/>
                <w:bCs/>
                <w:color w:val="595959" w:themeColor="text1" w:themeTint="A6"/>
                <w:sz w:val="18"/>
                <w:szCs w:val="18"/>
              </w:rPr>
              <w:t xml:space="preserve">must </w:t>
            </w:r>
            <w:r w:rsidRPr="005C2266">
              <w:rPr>
                <w:rFonts w:asciiTheme="minorHAnsi" w:hAnsiTheme="minorHAnsi" w:cstheme="minorHAnsi"/>
                <w:color w:val="595959" w:themeColor="text1" w:themeTint="A6"/>
                <w:sz w:val="18"/>
                <w:szCs w:val="18"/>
              </w:rPr>
              <w:t xml:space="preserve">include a duty to explore and provide access to suitable courses, </w:t>
            </w:r>
            <w:r w:rsidR="00033626" w:rsidRPr="005C2266">
              <w:rPr>
                <w:rFonts w:asciiTheme="minorHAnsi" w:hAnsiTheme="minorHAnsi" w:cstheme="minorHAnsi"/>
                <w:color w:val="595959" w:themeColor="text1" w:themeTint="A6"/>
                <w:sz w:val="18"/>
                <w:szCs w:val="18"/>
              </w:rPr>
              <w:t xml:space="preserve">through the access arrangements process </w:t>
            </w:r>
            <w:r w:rsidRPr="005C2266">
              <w:rPr>
                <w:rFonts w:asciiTheme="minorHAnsi" w:hAnsiTheme="minorHAnsi" w:cstheme="minorHAnsi"/>
                <w:color w:val="595959" w:themeColor="text1" w:themeTint="A6"/>
                <w:sz w:val="18"/>
                <w:szCs w:val="18"/>
              </w:rPr>
              <w:t>submit applications for reasonable adjustments and make reasonable adjustments to the service the centre provides to disabled candidates</w:t>
            </w:r>
            <w:r w:rsidR="005E3893" w:rsidRPr="005C2266">
              <w:rPr>
                <w:rFonts w:asciiTheme="minorHAnsi" w:hAnsiTheme="minorHAnsi" w:cstheme="minorHAnsi"/>
                <w:color w:val="595959" w:themeColor="text1" w:themeTint="A6"/>
                <w:sz w:val="18"/>
                <w:szCs w:val="18"/>
              </w:rPr>
              <w:t xml:space="preserve">. </w:t>
            </w:r>
            <w:r w:rsidR="00907D13" w:rsidRPr="005C2266">
              <w:rPr>
                <w:rFonts w:asciiTheme="minorHAnsi" w:hAnsiTheme="minorHAnsi" w:cstheme="minorHAnsi"/>
                <w:color w:val="595959" w:themeColor="text1" w:themeTint="A6"/>
                <w:sz w:val="18"/>
                <w:szCs w:val="18"/>
              </w:rPr>
              <w:t xml:space="preserve">Where the centre is under a duty to make reasonable adjustment, the centre must not charge a disabled </w:t>
            </w:r>
            <w:r w:rsidR="005E3893" w:rsidRPr="005C2266">
              <w:rPr>
                <w:rFonts w:asciiTheme="minorHAnsi" w:hAnsiTheme="minorHAnsi" w:cstheme="minorHAnsi"/>
                <w:color w:val="595959" w:themeColor="text1" w:themeTint="A6"/>
                <w:sz w:val="18"/>
                <w:szCs w:val="18"/>
              </w:rPr>
              <w:t>candidate any additional fee in relation to the adjustment or aid …</w:t>
            </w:r>
            <w:r w:rsidRPr="005C2266">
              <w:rPr>
                <w:rFonts w:asciiTheme="minorHAnsi" w:hAnsiTheme="minorHAnsi" w:cstheme="minorHAnsi"/>
                <w:color w:val="595959" w:themeColor="text1" w:themeTint="A6"/>
                <w:sz w:val="18"/>
                <w:szCs w:val="18"/>
              </w:rPr>
              <w:t xml:space="preserve"> </w:t>
            </w:r>
          </w:p>
          <w:p w14:paraId="0DAA0738" w14:textId="25E0C1CF" w:rsidR="00844861" w:rsidRPr="005C2266" w:rsidRDefault="005E3893" w:rsidP="00072C6F">
            <w:pPr>
              <w:jc w:val="both"/>
              <w:rPr>
                <w:rFonts w:asciiTheme="minorHAnsi" w:hAnsiTheme="minorHAnsi" w:cstheme="minorHAnsi"/>
                <w:sz w:val="18"/>
                <w:szCs w:val="18"/>
              </w:rPr>
            </w:pPr>
            <w:r w:rsidRPr="005C2266">
              <w:rPr>
                <w:rFonts w:asciiTheme="minorHAnsi" w:hAnsiTheme="minorHAnsi" w:cstheme="minorHAnsi"/>
                <w:color w:val="595959" w:themeColor="text1" w:themeTint="A6"/>
                <w:sz w:val="18"/>
                <w:szCs w:val="18"/>
              </w:rPr>
              <w:t>+</w:t>
            </w:r>
            <w:r w:rsidR="0065583E" w:rsidRPr="005C2266">
              <w:rPr>
                <w:rFonts w:asciiTheme="minorHAnsi" w:hAnsiTheme="minorHAnsi" w:cstheme="minorHAnsi"/>
                <w:color w:val="595959" w:themeColor="text1" w:themeTint="A6"/>
                <w:sz w:val="18"/>
                <w:szCs w:val="18"/>
              </w:rPr>
              <w:t>or any legislation in a relevant jurisdiction other than England and Wales which has an equivalent purpose and effect</w:t>
            </w:r>
            <w:r w:rsidR="00033626" w:rsidRPr="005C2266">
              <w:rPr>
                <w:rFonts w:asciiTheme="minorHAnsi" w:hAnsiTheme="minorHAnsi" w:cstheme="minorHAnsi"/>
                <w:color w:val="595959" w:themeColor="text1" w:themeTint="A6"/>
                <w:sz w:val="18"/>
                <w:szCs w:val="18"/>
              </w:rPr>
              <w:t xml:space="preserve"> </w:t>
            </w:r>
            <w:r w:rsidR="00033626" w:rsidRPr="005C2266">
              <w:rPr>
                <w:rFonts w:asciiTheme="minorHAnsi" w:hAnsiTheme="minorHAnsi" w:cstheme="minorHAnsi"/>
                <w:sz w:val="18"/>
                <w:szCs w:val="18"/>
              </w:rPr>
              <w:t>(</w:t>
            </w:r>
            <w:hyperlink r:id="rId18" w:history="1">
              <w:r w:rsidR="0065583E" w:rsidRPr="005C2266">
                <w:rPr>
                  <w:rStyle w:val="Hyperlink"/>
                  <w:rFonts w:asciiTheme="minorHAnsi" w:hAnsiTheme="minorHAnsi" w:cstheme="minorHAnsi"/>
                  <w:sz w:val="18"/>
                  <w:szCs w:val="18"/>
                  <w:u w:val="none"/>
                </w:rPr>
                <w:t>GR</w:t>
              </w:r>
            </w:hyperlink>
            <w:r w:rsidR="0065583E" w:rsidRPr="005C2266">
              <w:rPr>
                <w:rFonts w:asciiTheme="minorHAnsi" w:hAnsiTheme="minorHAnsi" w:cstheme="minorHAnsi"/>
                <w:sz w:val="18"/>
                <w:szCs w:val="18"/>
              </w:rPr>
              <w:t xml:space="preserve"> 5.4</w:t>
            </w:r>
            <w:r w:rsidR="00033626" w:rsidRPr="005C2266">
              <w:rPr>
                <w:rFonts w:asciiTheme="minorHAnsi" w:hAnsiTheme="minorHAnsi" w:cstheme="minorHAnsi"/>
                <w:sz w:val="18"/>
                <w:szCs w:val="18"/>
              </w:rPr>
              <w:t>)</w:t>
            </w:r>
            <w:r w:rsidR="0065583E" w:rsidRPr="005C2266">
              <w:rPr>
                <w:rFonts w:asciiTheme="minorHAnsi" w:hAnsiTheme="minorHAnsi" w:cstheme="minorHAnsi"/>
                <w:sz w:val="18"/>
                <w:szCs w:val="18"/>
              </w:rPr>
              <w:t xml:space="preserve">                                                                                                                              </w:t>
            </w:r>
          </w:p>
        </w:tc>
      </w:tr>
    </w:tbl>
    <w:p w14:paraId="0EEFB832" w14:textId="0EF90FA7" w:rsidR="00844861" w:rsidRPr="005C2266" w:rsidRDefault="00844861" w:rsidP="00844861">
      <w:pPr>
        <w:spacing w:line="276" w:lineRule="auto"/>
        <w:jc w:val="both"/>
        <w:rPr>
          <w:rFonts w:asciiTheme="minorHAnsi" w:hAnsiTheme="minorHAnsi" w:cstheme="minorHAnsi"/>
          <w:szCs w:val="24"/>
        </w:rPr>
      </w:pPr>
      <w:bookmarkStart w:id="41" w:name="_Toc443593725"/>
      <w:r w:rsidRPr="005C2266">
        <w:rPr>
          <w:rFonts w:asciiTheme="minorHAnsi" w:hAnsiTheme="minorHAnsi" w:cstheme="minorHAnsi"/>
          <w:szCs w:val="24"/>
        </w:rPr>
        <w:t xml:space="preserve">The </w:t>
      </w:r>
      <w:r w:rsidR="0065583E" w:rsidRPr="005C2266">
        <w:rPr>
          <w:rFonts w:asciiTheme="minorHAnsi" w:hAnsiTheme="minorHAnsi" w:cstheme="minorHAnsi"/>
          <w:szCs w:val="24"/>
        </w:rPr>
        <w:t>A</w:t>
      </w:r>
      <w:r w:rsidRPr="005C2266">
        <w:rPr>
          <w:rFonts w:asciiTheme="minorHAnsi" w:hAnsiTheme="minorHAnsi" w:cstheme="minorHAnsi"/>
          <w:szCs w:val="24"/>
        </w:rPr>
        <w:t xml:space="preserve">ccess </w:t>
      </w:r>
      <w:r w:rsidR="00D32BEF" w:rsidRPr="005C2266">
        <w:rPr>
          <w:rFonts w:asciiTheme="minorHAnsi" w:hAnsiTheme="minorHAnsi" w:cstheme="minorHAnsi"/>
          <w:szCs w:val="24"/>
        </w:rPr>
        <w:t>A</w:t>
      </w:r>
      <w:r w:rsidRPr="005C2266">
        <w:rPr>
          <w:rFonts w:asciiTheme="minorHAnsi" w:hAnsiTheme="minorHAnsi" w:cstheme="minorHAnsi"/>
          <w:szCs w:val="24"/>
        </w:rPr>
        <w:t xml:space="preserve">rrangements </w:t>
      </w:r>
      <w:r w:rsidR="00D32BEF" w:rsidRPr="005C2266">
        <w:rPr>
          <w:rFonts w:asciiTheme="minorHAnsi" w:hAnsiTheme="minorHAnsi" w:cstheme="minorHAnsi"/>
          <w:szCs w:val="24"/>
        </w:rPr>
        <w:t>P</w:t>
      </w:r>
      <w:r w:rsidRPr="005C2266">
        <w:rPr>
          <w:rFonts w:asciiTheme="minorHAnsi" w:hAnsiTheme="minorHAnsi" w:cstheme="minorHAnsi"/>
          <w:szCs w:val="24"/>
        </w:rPr>
        <w:t>olicy further covers the assessment process and related issues in more detail.</w:t>
      </w:r>
    </w:p>
    <w:p w14:paraId="1D7A11CF" w14:textId="77777777" w:rsidR="00844861" w:rsidRPr="005C2266" w:rsidRDefault="00844861" w:rsidP="0065583E">
      <w:pPr>
        <w:pStyle w:val="Headinglevel1"/>
        <w:spacing w:before="240" w:line="276" w:lineRule="auto"/>
        <w:rPr>
          <w:rFonts w:asciiTheme="minorHAnsi" w:hAnsiTheme="minorHAnsi" w:cstheme="minorHAnsi"/>
        </w:rPr>
      </w:pPr>
      <w:bookmarkStart w:id="42" w:name="_Toc466921631"/>
      <w:bookmarkStart w:id="43" w:name="_Toc490083855"/>
      <w:bookmarkStart w:id="44" w:name="_Toc496088794"/>
      <w:bookmarkStart w:id="45" w:name="_Toc523473885"/>
      <w:bookmarkStart w:id="46" w:name="_Toc22304701"/>
      <w:bookmarkStart w:id="47" w:name="_Toc22487029"/>
      <w:bookmarkStart w:id="48" w:name="_Toc22487148"/>
      <w:bookmarkStart w:id="49" w:name="_Toc85542750"/>
      <w:r w:rsidRPr="005C2266">
        <w:rPr>
          <w:rFonts w:asciiTheme="minorHAnsi" w:hAnsiTheme="minorHAnsi" w:cstheme="minorHAnsi"/>
        </w:rPr>
        <w:t>The assessment process</w:t>
      </w:r>
      <w:bookmarkEnd w:id="41"/>
      <w:bookmarkEnd w:id="42"/>
      <w:bookmarkEnd w:id="43"/>
      <w:bookmarkEnd w:id="44"/>
      <w:bookmarkEnd w:id="45"/>
      <w:bookmarkEnd w:id="46"/>
      <w:bookmarkEnd w:id="47"/>
      <w:bookmarkEnd w:id="48"/>
      <w:bookmarkEnd w:id="49"/>
    </w:p>
    <w:p w14:paraId="6F09FC27" w14:textId="5E2C728D" w:rsidR="00844861" w:rsidRPr="005C2266" w:rsidRDefault="00844861" w:rsidP="00844861">
      <w:pPr>
        <w:spacing w:line="276" w:lineRule="auto"/>
        <w:jc w:val="both"/>
        <w:rPr>
          <w:rFonts w:asciiTheme="minorHAnsi" w:hAnsiTheme="minorHAnsi" w:cstheme="minorHAnsi"/>
          <w:szCs w:val="24"/>
        </w:rPr>
      </w:pPr>
      <w:r w:rsidRPr="005C2266">
        <w:rPr>
          <w:rFonts w:asciiTheme="minorHAnsi" w:hAnsiTheme="minorHAnsi" w:cstheme="minorHAnsi"/>
          <w:szCs w:val="24"/>
        </w:rPr>
        <w:t xml:space="preserve">Assessments are carried out by an assessor(s) appointed by the head of centre.  The assessors are appropriately qualified as required by </w:t>
      </w:r>
      <w:r w:rsidRPr="005C2266">
        <w:rPr>
          <w:rFonts w:asciiTheme="minorHAnsi" w:hAnsiTheme="minorHAnsi" w:cstheme="minorHAnsi"/>
          <w:sz w:val="20"/>
          <w:szCs w:val="20"/>
        </w:rPr>
        <w:t>JCQ</w:t>
      </w:r>
      <w:r w:rsidRPr="005C2266">
        <w:rPr>
          <w:rFonts w:asciiTheme="minorHAnsi" w:hAnsiTheme="minorHAnsi" w:cstheme="minorHAnsi"/>
          <w:szCs w:val="24"/>
        </w:rPr>
        <w:t xml:space="preserve"> regulations in </w:t>
      </w:r>
      <w:hyperlink r:id="rId19" w:history="1">
        <w:r w:rsidRPr="005C2266">
          <w:rPr>
            <w:rStyle w:val="Hyperlink"/>
            <w:rFonts w:asciiTheme="minorHAnsi" w:hAnsiTheme="minorHAnsi" w:cstheme="minorHAnsi"/>
            <w:sz w:val="20"/>
            <w:szCs w:val="20"/>
            <w:u w:val="none"/>
          </w:rPr>
          <w:t>AA</w:t>
        </w:r>
      </w:hyperlink>
      <w:r w:rsidRPr="005C2266">
        <w:rPr>
          <w:rFonts w:asciiTheme="minorHAnsi" w:hAnsiTheme="minorHAnsi" w:cstheme="minorHAnsi"/>
          <w:sz w:val="20"/>
          <w:szCs w:val="20"/>
        </w:rPr>
        <w:t xml:space="preserve"> </w:t>
      </w:r>
      <w:r w:rsidR="00EB012B" w:rsidRPr="005C2266">
        <w:rPr>
          <w:rFonts w:asciiTheme="minorHAnsi" w:hAnsiTheme="minorHAnsi" w:cstheme="minorHAnsi"/>
          <w:sz w:val="20"/>
          <w:szCs w:val="20"/>
        </w:rPr>
        <w:t xml:space="preserve">Section </w:t>
      </w:r>
      <w:r w:rsidRPr="005C2266">
        <w:rPr>
          <w:rFonts w:asciiTheme="minorHAnsi" w:hAnsiTheme="minorHAnsi" w:cstheme="minorHAnsi"/>
          <w:sz w:val="20"/>
          <w:szCs w:val="20"/>
        </w:rPr>
        <w:t>7.3</w:t>
      </w:r>
      <w:r w:rsidRPr="005C2266">
        <w:rPr>
          <w:rFonts w:asciiTheme="minorHAnsi" w:hAnsiTheme="minorHAnsi" w:cstheme="minorHAnsi"/>
          <w:szCs w:val="24"/>
        </w:rPr>
        <w:t>.</w:t>
      </w:r>
    </w:p>
    <w:p w14:paraId="6D1B48B8" w14:textId="77777777" w:rsidR="00844861" w:rsidRPr="005C2266" w:rsidRDefault="00844861" w:rsidP="0065583E">
      <w:pPr>
        <w:pStyle w:val="Headinglevel2"/>
        <w:spacing w:before="240" w:after="120" w:line="276" w:lineRule="auto"/>
        <w:rPr>
          <w:rFonts w:asciiTheme="minorHAnsi" w:hAnsiTheme="minorHAnsi" w:cstheme="minorHAnsi"/>
        </w:rPr>
      </w:pPr>
      <w:bookmarkStart w:id="50" w:name="_Toc490083856"/>
      <w:bookmarkStart w:id="51" w:name="_Toc496088795"/>
      <w:bookmarkStart w:id="52" w:name="_Toc523473886"/>
      <w:bookmarkStart w:id="53" w:name="_Toc22304702"/>
      <w:bookmarkStart w:id="54" w:name="_Toc22487030"/>
      <w:bookmarkStart w:id="55" w:name="_Toc22487149"/>
      <w:bookmarkStart w:id="56" w:name="_Toc85542751"/>
      <w:r w:rsidRPr="005C2266">
        <w:rPr>
          <w:rFonts w:asciiTheme="minorHAnsi" w:hAnsiTheme="minorHAnsi" w:cstheme="minorHAnsi"/>
        </w:rPr>
        <w:t>The qualification(s) of the current assessor(s)</w:t>
      </w:r>
      <w:bookmarkEnd w:id="50"/>
      <w:bookmarkEnd w:id="51"/>
      <w:bookmarkEnd w:id="52"/>
      <w:bookmarkEnd w:id="53"/>
      <w:bookmarkEnd w:id="54"/>
      <w:bookmarkEnd w:id="55"/>
      <w:bookmarkEnd w:id="56"/>
      <w:r w:rsidRPr="005C2266">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5C2266" w14:paraId="03D89CA1" w14:textId="77777777" w:rsidTr="00377406">
        <w:tc>
          <w:tcPr>
            <w:tcW w:w="9548" w:type="dxa"/>
          </w:tcPr>
          <w:p w14:paraId="476F1445" w14:textId="77777777" w:rsidR="00D81682" w:rsidRPr="00D81682" w:rsidRDefault="00D81682" w:rsidP="00D81682">
            <w:pPr>
              <w:shd w:val="clear" w:color="auto" w:fill="FFFFFF"/>
              <w:spacing w:before="0" w:after="0"/>
              <w:textAlignment w:val="baseline"/>
              <w:rPr>
                <w:rFonts w:asciiTheme="minorHAnsi" w:eastAsia="Times New Roman" w:hAnsiTheme="minorHAnsi" w:cstheme="minorHAnsi"/>
                <w:color w:val="FF3300"/>
              </w:rPr>
            </w:pPr>
            <w:r w:rsidRPr="00D81682">
              <w:rPr>
                <w:rFonts w:asciiTheme="minorHAnsi" w:eastAsia="Times New Roman" w:hAnsiTheme="minorHAnsi" w:cstheme="minorHAnsi"/>
                <w:b/>
                <w:bCs/>
                <w:color w:val="000000"/>
                <w:bdr w:val="none" w:sz="0" w:space="0" w:color="auto" w:frame="1"/>
              </w:rPr>
              <w:t>Tonia Hallam</w:t>
            </w:r>
            <w:r w:rsidRPr="00D81682">
              <w:rPr>
                <w:rFonts w:asciiTheme="minorHAnsi" w:eastAsia="Times New Roman" w:hAnsiTheme="minorHAnsi" w:cstheme="minorHAnsi"/>
                <w:color w:val="000000"/>
                <w:bdr w:val="none" w:sz="0" w:space="0" w:color="auto" w:frame="1"/>
              </w:rPr>
              <w:t xml:space="preserve"> - IQ Level 7 Organisation Postgraduate Award of Proficiency in Assessment for Access Arrangements (PAPAA)</w:t>
            </w:r>
            <w:r w:rsidRPr="00D81682">
              <w:rPr>
                <w:rFonts w:asciiTheme="minorHAnsi" w:eastAsia="Times New Roman" w:hAnsiTheme="minorHAnsi" w:cstheme="minorHAnsi"/>
                <w:color w:val="FF3300"/>
              </w:rPr>
              <w:t>  - </w:t>
            </w:r>
            <w:r w:rsidRPr="00D81682">
              <w:rPr>
                <w:rFonts w:asciiTheme="minorHAnsi" w:eastAsia="Times New Roman" w:hAnsiTheme="minorHAnsi" w:cstheme="minorHAnsi"/>
                <w:color w:val="000000"/>
                <w:bdr w:val="none" w:sz="0" w:space="0" w:color="auto" w:frame="1"/>
              </w:rPr>
              <w:t>Communicate-ed </w:t>
            </w:r>
            <w:r w:rsidRPr="00D81682">
              <w:rPr>
                <w:rFonts w:asciiTheme="minorHAnsi" w:eastAsia="Times New Roman" w:hAnsiTheme="minorHAnsi" w:cstheme="minorHAnsi"/>
                <w:color w:val="FF3300"/>
              </w:rPr>
              <w:t> </w:t>
            </w:r>
          </w:p>
          <w:p w14:paraId="0B69883E" w14:textId="77777777" w:rsidR="00D81682" w:rsidRPr="00D81682" w:rsidRDefault="00D81682" w:rsidP="00D81682">
            <w:pPr>
              <w:shd w:val="clear" w:color="auto" w:fill="FFFFFF"/>
              <w:spacing w:before="0" w:after="0"/>
              <w:textAlignment w:val="baseline"/>
              <w:rPr>
                <w:rFonts w:asciiTheme="minorHAnsi" w:eastAsia="Times New Roman" w:hAnsiTheme="minorHAnsi" w:cstheme="minorHAnsi"/>
                <w:color w:val="000000"/>
              </w:rPr>
            </w:pPr>
          </w:p>
          <w:p w14:paraId="4AC1B20E" w14:textId="4AF36A5B" w:rsidR="00844861" w:rsidRPr="00D81682" w:rsidRDefault="00D81682" w:rsidP="00D81682">
            <w:pPr>
              <w:shd w:val="clear" w:color="auto" w:fill="FFFFFF"/>
              <w:spacing w:before="0" w:after="0"/>
              <w:textAlignment w:val="baseline"/>
              <w:rPr>
                <w:rFonts w:asciiTheme="minorHAnsi" w:eastAsia="Times New Roman" w:hAnsiTheme="minorHAnsi" w:cstheme="minorHAnsi"/>
                <w:color w:val="000000"/>
              </w:rPr>
            </w:pPr>
            <w:r w:rsidRPr="00D81682">
              <w:rPr>
                <w:rFonts w:asciiTheme="minorHAnsi" w:eastAsia="Times New Roman" w:hAnsiTheme="minorHAnsi" w:cstheme="minorHAnsi"/>
                <w:color w:val="000000"/>
                <w:bdr w:val="none" w:sz="0" w:space="0" w:color="auto" w:frame="1"/>
              </w:rPr>
              <w:t> </w:t>
            </w:r>
            <w:r w:rsidRPr="00D81682">
              <w:rPr>
                <w:rFonts w:asciiTheme="minorHAnsi" w:eastAsia="Times New Roman" w:hAnsiTheme="minorHAnsi" w:cstheme="minorHAnsi"/>
                <w:b/>
                <w:bCs/>
                <w:color w:val="000000"/>
                <w:bdr w:val="none" w:sz="0" w:space="0" w:color="auto" w:frame="1"/>
              </w:rPr>
              <w:t>Sheila Vann</w:t>
            </w:r>
            <w:r w:rsidRPr="00D81682">
              <w:rPr>
                <w:rFonts w:asciiTheme="minorHAnsi" w:eastAsia="Times New Roman" w:hAnsiTheme="minorHAnsi" w:cstheme="minorHAnsi"/>
                <w:color w:val="000000"/>
                <w:bdr w:val="none" w:sz="0" w:space="0" w:color="auto" w:frame="1"/>
              </w:rPr>
              <w:t xml:space="preserve"> - Postgraduate Certificate in Specific Learning Difficulties (Dyslexia) -  British Dyslexia Association</w:t>
            </w:r>
            <w:r w:rsidR="00844861" w:rsidRPr="005C2266">
              <w:rPr>
                <w:rFonts w:asciiTheme="minorHAnsi" w:hAnsiTheme="minorHAnsi" w:cstheme="minorHAnsi"/>
                <w:b/>
                <w:bCs/>
              </w:rPr>
              <w:t xml:space="preserve">                </w:t>
            </w:r>
          </w:p>
        </w:tc>
      </w:tr>
    </w:tbl>
    <w:p w14:paraId="27FD824A" w14:textId="77777777" w:rsidR="00844861" w:rsidRPr="005C2266" w:rsidRDefault="00844861" w:rsidP="0065583E">
      <w:pPr>
        <w:pStyle w:val="Headinglevel2"/>
        <w:spacing w:before="240" w:after="120" w:line="276" w:lineRule="auto"/>
        <w:rPr>
          <w:rFonts w:asciiTheme="minorHAnsi" w:hAnsiTheme="minorHAnsi" w:cstheme="minorHAnsi"/>
        </w:rPr>
      </w:pPr>
      <w:bookmarkStart w:id="57" w:name="_Toc523473887"/>
      <w:bookmarkStart w:id="58" w:name="_Toc22304703"/>
      <w:bookmarkStart w:id="59" w:name="_Toc22487031"/>
      <w:bookmarkStart w:id="60" w:name="_Toc22487150"/>
      <w:bookmarkStart w:id="61" w:name="_Toc85542752"/>
      <w:bookmarkStart w:id="62" w:name="_Toc466921632"/>
      <w:bookmarkStart w:id="63" w:name="_Toc490083857"/>
      <w:bookmarkStart w:id="64" w:name="_Toc496088796"/>
      <w:r w:rsidRPr="005C2266">
        <w:rPr>
          <w:rFonts w:asciiTheme="minorHAnsi" w:hAnsiTheme="minorHAnsi" w:cstheme="minorHAnsi"/>
        </w:rPr>
        <w:t>Appointment of assessors of candidates with learning difficulties</w:t>
      </w:r>
      <w:bookmarkEnd w:id="57"/>
      <w:bookmarkEnd w:id="58"/>
      <w:bookmarkEnd w:id="59"/>
      <w:bookmarkEnd w:id="60"/>
      <w:bookmarkEnd w:id="61"/>
    </w:p>
    <w:p w14:paraId="437C1465" w14:textId="55C68B09" w:rsidR="00844861" w:rsidRPr="005C2266" w:rsidRDefault="00844861" w:rsidP="00844861">
      <w:pPr>
        <w:spacing w:line="276" w:lineRule="auto"/>
        <w:jc w:val="both"/>
        <w:rPr>
          <w:rFonts w:asciiTheme="minorHAnsi" w:hAnsiTheme="minorHAnsi" w:cstheme="minorHAnsi"/>
          <w:szCs w:val="24"/>
        </w:rPr>
      </w:pPr>
      <w:r w:rsidRPr="005C2266">
        <w:rPr>
          <w:rFonts w:asciiTheme="minorHAnsi" w:hAnsiTheme="minorHAnsi" w:cstheme="minorHAnsi"/>
          <w:szCs w:val="24"/>
        </w:rPr>
        <w:t xml:space="preserve">At the point an assessor is engaged/employed in the centre, evidence of the assessor’s qualification is obtained and checked against the current requirements in </w:t>
      </w:r>
      <w:hyperlink r:id="rId20" w:history="1">
        <w:r w:rsidRPr="005C2266">
          <w:rPr>
            <w:rStyle w:val="Hyperlink"/>
            <w:rFonts w:asciiTheme="minorHAnsi" w:hAnsiTheme="minorHAnsi" w:cstheme="minorHAnsi"/>
            <w:sz w:val="20"/>
            <w:szCs w:val="20"/>
            <w:u w:val="none"/>
          </w:rPr>
          <w:t>AA</w:t>
        </w:r>
      </w:hyperlink>
      <w:r w:rsidRPr="005C2266">
        <w:rPr>
          <w:rFonts w:asciiTheme="minorHAnsi" w:hAnsiTheme="minorHAnsi" w:cstheme="minorHAnsi"/>
          <w:szCs w:val="24"/>
        </w:rPr>
        <w:t>. This process is carried out prior to the assessor undertaking any assessment of a candidate.</w:t>
      </w:r>
    </w:p>
    <w:p w14:paraId="0A27336C" w14:textId="77777777" w:rsidR="00844861" w:rsidRPr="005C2266" w:rsidRDefault="00844861" w:rsidP="00844861">
      <w:pPr>
        <w:rPr>
          <w:rFonts w:asciiTheme="minorHAnsi" w:hAnsiTheme="minorHAnsi" w:cstheme="minorHAnsi"/>
          <w:b/>
          <w:szCs w:val="24"/>
        </w:rPr>
      </w:pPr>
      <w:r w:rsidRPr="005C2266">
        <w:rPr>
          <w:rFonts w:asciiTheme="minorHAnsi" w:hAnsiTheme="minorHAnsi" w:cstheme="minorHAnsi"/>
          <w:b/>
          <w:szCs w:val="24"/>
        </w:rPr>
        <w:t>Checking the qualification(s) of the assessor(s)</w:t>
      </w:r>
      <w:bookmarkEnd w:id="62"/>
      <w:bookmarkEnd w:id="63"/>
      <w:bookmarkEnd w:id="64"/>
      <w:r w:rsidRPr="005C2266">
        <w:rPr>
          <w:rFonts w:asciiTheme="minorHAnsi" w:hAnsiTheme="minorHAnsi" w:cstheme="minorHAnsi"/>
          <w:b/>
          <w:szCs w:val="24"/>
        </w:rPr>
        <w:t xml:space="preserve"> </w:t>
      </w:r>
    </w:p>
    <w:tbl>
      <w:tblPr>
        <w:tblStyle w:val="TableGrid"/>
        <w:tblW w:w="9340" w:type="dxa"/>
        <w:tblInd w:w="720" w:type="dxa"/>
        <w:tblLook w:val="04A0" w:firstRow="1" w:lastRow="0" w:firstColumn="1" w:lastColumn="0" w:noHBand="0" w:noVBand="1"/>
      </w:tblPr>
      <w:tblGrid>
        <w:gridCol w:w="9340"/>
      </w:tblGrid>
      <w:tr w:rsidR="00844861" w:rsidRPr="005C2266" w14:paraId="0BCDB365" w14:textId="77777777" w:rsidTr="00EB54FB">
        <w:tc>
          <w:tcPr>
            <w:tcW w:w="9340" w:type="dxa"/>
          </w:tcPr>
          <w:p w14:paraId="1CEC69B6" w14:textId="2B28198B" w:rsidR="00844861" w:rsidRPr="005C2266" w:rsidRDefault="003F0525" w:rsidP="00377406">
            <w:pPr>
              <w:spacing w:line="276" w:lineRule="auto"/>
              <w:jc w:val="both"/>
              <w:rPr>
                <w:rFonts w:asciiTheme="minorHAnsi" w:hAnsiTheme="minorHAnsi" w:cstheme="minorHAnsi"/>
              </w:rPr>
            </w:pPr>
            <w:r w:rsidRPr="00D81682">
              <w:rPr>
                <w:rFonts w:asciiTheme="minorHAnsi" w:hAnsiTheme="minorHAnsi" w:cstheme="minorHAnsi"/>
              </w:rPr>
              <w:t xml:space="preserve">Assessor’s must produce their original </w:t>
            </w:r>
            <w:r w:rsidR="00FE4B27" w:rsidRPr="00D81682">
              <w:rPr>
                <w:rFonts w:asciiTheme="minorHAnsi" w:hAnsiTheme="minorHAnsi" w:cstheme="minorHAnsi"/>
              </w:rPr>
              <w:t>c</w:t>
            </w:r>
            <w:r w:rsidRPr="00D81682">
              <w:rPr>
                <w:rFonts w:asciiTheme="minorHAnsi" w:hAnsiTheme="minorHAnsi" w:cstheme="minorHAnsi"/>
              </w:rPr>
              <w:t>ertificates for the SENCO/Principal to verify the</w:t>
            </w:r>
            <w:r w:rsidR="007D36D5" w:rsidRPr="00D81682">
              <w:rPr>
                <w:rFonts w:asciiTheme="minorHAnsi" w:hAnsiTheme="minorHAnsi" w:cstheme="minorHAnsi"/>
              </w:rPr>
              <w:t>ir</w:t>
            </w:r>
            <w:r w:rsidRPr="00D81682">
              <w:rPr>
                <w:rFonts w:asciiTheme="minorHAnsi" w:hAnsiTheme="minorHAnsi" w:cstheme="minorHAnsi"/>
              </w:rPr>
              <w:t xml:space="preserve"> awarding and a copy of these qualifications will be held with the Access Arrangement files. These certificates must be produced prior t</w:t>
            </w:r>
            <w:r w:rsidR="00FE4B27" w:rsidRPr="00D81682">
              <w:rPr>
                <w:rFonts w:asciiTheme="minorHAnsi" w:hAnsiTheme="minorHAnsi" w:cstheme="minorHAnsi"/>
              </w:rPr>
              <w:t>o the assessor undertaking any assessment in the centre.</w:t>
            </w:r>
            <w:r w:rsidR="00844861" w:rsidRPr="005C2266">
              <w:rPr>
                <w:rFonts w:asciiTheme="minorHAnsi" w:hAnsiTheme="minorHAnsi" w:cstheme="minorHAnsi"/>
              </w:rPr>
              <w:t xml:space="preserve"> </w:t>
            </w:r>
          </w:p>
          <w:p w14:paraId="34A03CCA" w14:textId="41F6BA1D" w:rsidR="00844861" w:rsidRPr="005C2266" w:rsidRDefault="00844861" w:rsidP="00377406">
            <w:pPr>
              <w:spacing w:after="0" w:line="276" w:lineRule="auto"/>
              <w:jc w:val="both"/>
              <w:rPr>
                <w:rStyle w:val="Hyperlink"/>
                <w:rFonts w:asciiTheme="minorHAnsi" w:hAnsiTheme="minorHAnsi" w:cstheme="minorHAnsi"/>
              </w:rPr>
            </w:pPr>
            <w:r w:rsidRPr="005C2266">
              <w:rPr>
                <w:rFonts w:asciiTheme="minorHAnsi" w:hAnsiTheme="minorHAnsi" w:cstheme="minorHAnsi"/>
              </w:rPr>
              <w:t xml:space="preserve">Bear in mind </w:t>
            </w:r>
            <w:r w:rsidRPr="005C2266">
              <w:rPr>
                <w:rFonts w:asciiTheme="minorHAnsi" w:hAnsiTheme="minorHAnsi" w:cstheme="minorHAnsi"/>
                <w:b/>
              </w:rPr>
              <w:t>all</w:t>
            </w:r>
            <w:r w:rsidRPr="005C2266">
              <w:rPr>
                <w:rFonts w:asciiTheme="minorHAnsi" w:hAnsiTheme="minorHAnsi" w:cstheme="minorHAnsi"/>
              </w:rPr>
              <w:t xml:space="preserve"> relevant </w:t>
            </w:r>
            <w:r w:rsidRPr="005C2266">
              <w:rPr>
                <w:rFonts w:asciiTheme="minorHAnsi" w:hAnsiTheme="minorHAnsi" w:cstheme="minorHAnsi"/>
                <w:sz w:val="20"/>
                <w:szCs w:val="20"/>
              </w:rPr>
              <w:t>JCQ</w:t>
            </w:r>
            <w:r w:rsidRPr="005C2266">
              <w:rPr>
                <w:rFonts w:asciiTheme="minorHAnsi" w:hAnsiTheme="minorHAnsi" w:cstheme="minorHAnsi"/>
              </w:rPr>
              <w:t xml:space="preserve"> regulations and guidance provided in </w:t>
            </w:r>
            <w:hyperlink r:id="rId21" w:history="1">
              <w:r w:rsidRPr="005C2266">
                <w:rPr>
                  <w:rStyle w:val="Hyperlink"/>
                  <w:rFonts w:asciiTheme="minorHAnsi" w:hAnsiTheme="minorHAnsi" w:cstheme="minorHAnsi"/>
                  <w:sz w:val="20"/>
                  <w:szCs w:val="20"/>
                  <w:u w:val="none"/>
                </w:rPr>
                <w:t>GR</w:t>
              </w:r>
            </w:hyperlink>
            <w:r w:rsidRPr="005C2266">
              <w:rPr>
                <w:rFonts w:asciiTheme="minorHAnsi" w:hAnsiTheme="minorHAnsi" w:cstheme="minorHAnsi"/>
                <w:sz w:val="20"/>
                <w:szCs w:val="20"/>
              </w:rPr>
              <w:t xml:space="preserve"> </w:t>
            </w:r>
            <w:r w:rsidRPr="005C2266">
              <w:rPr>
                <w:rFonts w:asciiTheme="minorHAnsi" w:hAnsiTheme="minorHAnsi" w:cstheme="minorHAnsi"/>
              </w:rPr>
              <w:t xml:space="preserve">and </w:t>
            </w:r>
            <w:hyperlink r:id="rId22" w:history="1">
              <w:r w:rsidRPr="005C2266">
                <w:rPr>
                  <w:rStyle w:val="Hyperlink"/>
                  <w:rFonts w:asciiTheme="minorHAnsi" w:hAnsiTheme="minorHAnsi" w:cstheme="minorHAnsi"/>
                  <w:sz w:val="20"/>
                  <w:szCs w:val="20"/>
                  <w:u w:val="none"/>
                </w:rPr>
                <w:t>AA</w:t>
              </w:r>
            </w:hyperlink>
            <w:r w:rsidRPr="005C2266">
              <w:rPr>
                <w:rStyle w:val="Hyperlink"/>
                <w:rFonts w:asciiTheme="minorHAnsi" w:hAnsiTheme="minorHAnsi" w:cstheme="minorHAnsi"/>
                <w:sz w:val="20"/>
                <w:szCs w:val="20"/>
                <w:u w:val="none"/>
              </w:rPr>
              <w:t xml:space="preserve"> </w:t>
            </w:r>
            <w:r w:rsidRPr="005C2266">
              <w:rPr>
                <w:rStyle w:val="Hyperlink"/>
                <w:rFonts w:asciiTheme="minorHAnsi" w:hAnsiTheme="minorHAnsi" w:cstheme="minorHAnsi"/>
                <w:color w:val="auto"/>
                <w:u w:val="none"/>
              </w:rPr>
              <w:t>including</w:t>
            </w:r>
            <w:r w:rsidR="0065583E" w:rsidRPr="005C2266">
              <w:rPr>
                <w:rStyle w:val="Hyperlink"/>
                <w:rFonts w:asciiTheme="minorHAnsi" w:hAnsiTheme="minorHAnsi" w:cstheme="minorHAnsi"/>
                <w:color w:val="auto"/>
                <w:u w:val="none"/>
              </w:rPr>
              <w:t>:</w:t>
            </w:r>
          </w:p>
          <w:p w14:paraId="3335868D" w14:textId="66A8B280" w:rsidR="0065583E" w:rsidRPr="001153D3" w:rsidRDefault="0065583E" w:rsidP="0042123F">
            <w:pPr>
              <w:pBdr>
                <w:left w:val="single" w:sz="8" w:space="4" w:color="FFC000"/>
              </w:pBdr>
              <w:spacing w:after="0"/>
              <w:ind w:right="159"/>
              <w:rPr>
                <w:rFonts w:asciiTheme="minorHAnsi" w:hAnsiTheme="minorHAnsi" w:cstheme="minorHAnsi"/>
              </w:rPr>
            </w:pPr>
            <w:r w:rsidRPr="001153D3">
              <w:rPr>
                <w:rFonts w:asciiTheme="minorHAnsi" w:hAnsiTheme="minorHAnsi" w:cstheme="minorHAnsi"/>
                <w:b/>
                <w:bCs/>
              </w:rPr>
              <w:t>The head of centre/senior leadership team will</w:t>
            </w:r>
            <w:r w:rsidRPr="001153D3">
              <w:rPr>
                <w:rFonts w:asciiTheme="minorHAnsi" w:hAnsiTheme="minorHAnsi" w:cstheme="minorHAnsi"/>
              </w:rPr>
              <w:t xml:space="preserve">… have a </w:t>
            </w:r>
            <w:r w:rsidRPr="001153D3">
              <w:rPr>
                <w:rFonts w:asciiTheme="minorHAnsi" w:hAnsiTheme="minorHAnsi" w:cstheme="minorHAnsi"/>
                <w:b/>
                <w:bCs/>
              </w:rPr>
              <w:t xml:space="preserve">written </w:t>
            </w:r>
            <w:r w:rsidRPr="001153D3">
              <w:rPr>
                <w:rFonts w:asciiTheme="minorHAnsi" w:hAnsiTheme="minorHAnsi" w:cstheme="minorHAnsi"/>
              </w:rPr>
              <w:t xml:space="preserve">process in place to not only check the qualification(s) of their assessor(s) but that the correct procedures are followed as </w:t>
            </w:r>
            <w:r w:rsidR="00D82187" w:rsidRPr="001153D3">
              <w:rPr>
                <w:rFonts w:asciiTheme="minorHAnsi" w:hAnsiTheme="minorHAnsi" w:cstheme="minorHAnsi"/>
              </w:rPr>
              <w:t>in</w:t>
            </w:r>
            <w:r w:rsidRPr="001153D3">
              <w:rPr>
                <w:rFonts w:asciiTheme="minorHAnsi" w:hAnsiTheme="minorHAnsi" w:cstheme="minorHAnsi"/>
              </w:rPr>
              <w:t xml:space="preserve"> Chapter 7 of the JCQ publication Access Arrangements and Reasonable Adjustments…</w:t>
            </w:r>
            <w:r w:rsidR="00D82187" w:rsidRPr="001153D3">
              <w:rPr>
                <w:rFonts w:asciiTheme="minorHAnsi" w:hAnsiTheme="minorHAnsi" w:cstheme="minorHAnsi"/>
              </w:rPr>
              <w:t xml:space="preserve"> (</w:t>
            </w:r>
            <w:hyperlink r:id="rId23" w:history="1">
              <w:r w:rsidRPr="001153D3">
                <w:rPr>
                  <w:rStyle w:val="Hyperlink"/>
                  <w:rFonts w:asciiTheme="minorHAnsi" w:hAnsiTheme="minorHAnsi" w:cstheme="minorHAnsi"/>
                  <w:color w:val="auto"/>
                  <w:u w:val="none"/>
                </w:rPr>
                <w:t>GR</w:t>
              </w:r>
            </w:hyperlink>
            <w:r w:rsidR="001153D3" w:rsidRPr="001153D3">
              <w:rPr>
                <w:rStyle w:val="Hyperlink"/>
                <w:rFonts w:asciiTheme="minorHAnsi" w:hAnsiTheme="minorHAnsi" w:cstheme="minorHAnsi"/>
                <w:color w:val="auto"/>
                <w:u w:val="none"/>
              </w:rPr>
              <w:t>,</w:t>
            </w:r>
            <w:r w:rsidR="001153D3" w:rsidRPr="001153D3">
              <w:rPr>
                <w:rStyle w:val="Hyperlink"/>
                <w:rFonts w:asciiTheme="minorHAnsi" w:hAnsiTheme="minorHAnsi" w:cstheme="minorHAnsi"/>
                <w:color w:val="auto"/>
              </w:rPr>
              <w:t xml:space="preserve"> </w:t>
            </w:r>
            <w:r w:rsidR="001153D3" w:rsidRPr="001153D3">
              <w:rPr>
                <w:rStyle w:val="Hyperlink"/>
                <w:rFonts w:asciiTheme="minorHAnsi" w:hAnsiTheme="minorHAnsi" w:cstheme="minorHAnsi"/>
                <w:color w:val="auto"/>
                <w:u w:val="none"/>
              </w:rPr>
              <w:t xml:space="preserve">section </w:t>
            </w:r>
            <w:r w:rsidRPr="001153D3">
              <w:rPr>
                <w:rFonts w:asciiTheme="minorHAnsi" w:hAnsiTheme="minorHAnsi" w:cstheme="minorHAnsi"/>
              </w:rPr>
              <w:t xml:space="preserve"> 5.4</w:t>
            </w:r>
            <w:r w:rsidR="00D82187" w:rsidRPr="001153D3">
              <w:rPr>
                <w:rFonts w:asciiTheme="minorHAnsi" w:hAnsiTheme="minorHAnsi" w:cstheme="minorHAnsi"/>
              </w:rPr>
              <w:t>)</w:t>
            </w:r>
            <w:r w:rsidRPr="001153D3">
              <w:rPr>
                <w:rFonts w:asciiTheme="minorHAnsi" w:hAnsiTheme="minorHAnsi" w:cstheme="minorHAnsi"/>
              </w:rPr>
              <w:t xml:space="preserve">                                                                                                                                                                                   </w:t>
            </w:r>
          </w:p>
          <w:p w14:paraId="323E7D0F" w14:textId="77777777" w:rsidR="0042123F" w:rsidRPr="001153D3" w:rsidRDefault="00C85C47" w:rsidP="0042123F">
            <w:pPr>
              <w:pBdr>
                <w:left w:val="single" w:sz="8" w:space="4" w:color="FFC000"/>
              </w:pBdr>
              <w:spacing w:after="0"/>
              <w:ind w:right="159"/>
              <w:rPr>
                <w:rFonts w:asciiTheme="minorHAnsi" w:hAnsiTheme="minorHAnsi" w:cstheme="minorHAnsi"/>
                <w:b/>
                <w:bCs/>
              </w:rPr>
            </w:pPr>
            <w:r w:rsidRPr="001153D3">
              <w:rPr>
                <w:rFonts w:asciiTheme="minorHAnsi" w:hAnsiTheme="minorHAnsi" w:cstheme="minorHAnsi"/>
                <w:b/>
                <w:bCs/>
              </w:rPr>
              <w:t xml:space="preserve">The head of centre must ensure that evidence of the assessor’s qualification(s) is obtained at the point of engagement/employment and prior to the assessor undertaking any assessment of a candidate. </w:t>
            </w:r>
          </w:p>
          <w:p w14:paraId="518F9180" w14:textId="50B662AC" w:rsidR="003A1FB3" w:rsidRPr="00D81682" w:rsidRDefault="00C85C47" w:rsidP="00FE4B27">
            <w:pPr>
              <w:pBdr>
                <w:left w:val="single" w:sz="8" w:space="4" w:color="FFC000"/>
              </w:pBdr>
              <w:spacing w:after="0"/>
              <w:ind w:right="159"/>
              <w:rPr>
                <w:rFonts w:asciiTheme="minorHAnsi" w:hAnsiTheme="minorHAnsi" w:cstheme="minorHAnsi"/>
              </w:rPr>
            </w:pPr>
            <w:r w:rsidRPr="001153D3">
              <w:rPr>
                <w:rFonts w:asciiTheme="minorHAnsi" w:hAnsiTheme="minorHAnsi" w:cstheme="minorHAnsi"/>
                <w:b/>
                <w:bCs/>
              </w:rPr>
              <w:t>Evidence of the assessor’s qualification(s) must be held on file for inspection purposes and be presented to the JCQ Centre Inspector by the SENCo.</w:t>
            </w:r>
            <w:r w:rsidR="00D82187" w:rsidRPr="001153D3">
              <w:rPr>
                <w:rFonts w:asciiTheme="minorHAnsi" w:hAnsiTheme="minorHAnsi" w:cstheme="minorHAnsi"/>
                <w:b/>
                <w:bCs/>
              </w:rPr>
              <w:t xml:space="preserve"> </w:t>
            </w:r>
            <w:r w:rsidR="00D82187" w:rsidRPr="001153D3">
              <w:rPr>
                <w:rFonts w:asciiTheme="minorHAnsi" w:hAnsiTheme="minorHAnsi" w:cstheme="minorHAnsi"/>
              </w:rPr>
              <w:t>(</w:t>
            </w:r>
            <w:hyperlink r:id="rId24" w:history="1">
              <w:r w:rsidRPr="001153D3">
                <w:rPr>
                  <w:rStyle w:val="Hyperlink"/>
                  <w:rFonts w:asciiTheme="minorHAnsi" w:hAnsiTheme="minorHAnsi" w:cstheme="minorHAnsi"/>
                  <w:color w:val="auto"/>
                  <w:u w:val="none"/>
                </w:rPr>
                <w:t>AA</w:t>
              </w:r>
            </w:hyperlink>
            <w:r w:rsidR="001153D3" w:rsidRPr="001153D3">
              <w:rPr>
                <w:rStyle w:val="Hyperlink"/>
                <w:rFonts w:asciiTheme="minorHAnsi" w:hAnsiTheme="minorHAnsi" w:cstheme="minorHAnsi"/>
                <w:color w:val="auto"/>
                <w:u w:val="none"/>
              </w:rPr>
              <w:t>,</w:t>
            </w:r>
            <w:r w:rsidR="001153D3" w:rsidRPr="001153D3">
              <w:rPr>
                <w:rStyle w:val="Hyperlink"/>
                <w:color w:val="auto"/>
                <w:u w:val="none"/>
              </w:rPr>
              <w:t xml:space="preserve"> section</w:t>
            </w:r>
            <w:r w:rsidRPr="001153D3">
              <w:rPr>
                <w:rFonts w:asciiTheme="minorHAnsi" w:hAnsiTheme="minorHAnsi" w:cstheme="minorHAnsi"/>
              </w:rPr>
              <w:t>7.3</w:t>
            </w:r>
            <w:r w:rsidR="00D82187" w:rsidRPr="001153D3">
              <w:rPr>
                <w:rFonts w:asciiTheme="minorHAnsi" w:hAnsiTheme="minorHAnsi" w:cstheme="minorHAnsi"/>
              </w:rPr>
              <w:t>)</w:t>
            </w:r>
          </w:p>
        </w:tc>
      </w:tr>
    </w:tbl>
    <w:p w14:paraId="7776B245" w14:textId="77777777" w:rsidR="00D81682" w:rsidRDefault="00D81682" w:rsidP="00844861">
      <w:pPr>
        <w:rPr>
          <w:rFonts w:asciiTheme="minorHAnsi" w:hAnsiTheme="minorHAnsi" w:cstheme="minorHAnsi"/>
          <w:b/>
          <w:szCs w:val="24"/>
        </w:rPr>
      </w:pPr>
      <w:bookmarkStart w:id="65" w:name="_Toc466921633"/>
      <w:bookmarkStart w:id="66" w:name="_Toc490083858"/>
      <w:bookmarkStart w:id="67" w:name="_Toc496088797"/>
    </w:p>
    <w:p w14:paraId="44FB6806" w14:textId="57E14090" w:rsidR="00844861" w:rsidRPr="005C2266" w:rsidRDefault="00844861" w:rsidP="00844861">
      <w:pPr>
        <w:rPr>
          <w:rFonts w:asciiTheme="minorHAnsi" w:hAnsiTheme="minorHAnsi" w:cstheme="minorHAnsi"/>
          <w:b/>
          <w:szCs w:val="24"/>
        </w:rPr>
      </w:pPr>
      <w:r w:rsidRPr="005C2266">
        <w:rPr>
          <w:rFonts w:asciiTheme="minorHAnsi" w:hAnsiTheme="minorHAnsi" w:cstheme="minorHAnsi"/>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844861" w:rsidRPr="005C2266" w14:paraId="47FE5905" w14:textId="77777777" w:rsidTr="00D81682">
        <w:tc>
          <w:tcPr>
            <w:tcW w:w="9340" w:type="dxa"/>
            <w:shd w:val="clear" w:color="auto" w:fill="FFFFFF" w:themeFill="background1"/>
          </w:tcPr>
          <w:p w14:paraId="59485C00" w14:textId="409E53CF" w:rsidR="00844861" w:rsidRPr="005C2266" w:rsidRDefault="00FE4B27" w:rsidP="00FE4B27">
            <w:pPr>
              <w:spacing w:line="276" w:lineRule="auto"/>
              <w:jc w:val="both"/>
              <w:rPr>
                <w:rFonts w:asciiTheme="minorHAnsi" w:hAnsiTheme="minorHAnsi" w:cstheme="minorHAnsi"/>
              </w:rPr>
            </w:pPr>
            <w:r w:rsidRPr="00D81682">
              <w:rPr>
                <w:rFonts w:asciiTheme="minorHAnsi" w:hAnsiTheme="minorHAnsi" w:cstheme="minorHAnsi"/>
              </w:rPr>
              <w:t>Evidence of the assessor’s qualifications are held by the SENCO in a locked filing cabinet in her office, alongside the evidence for access arrangements.</w:t>
            </w:r>
          </w:p>
        </w:tc>
      </w:tr>
    </w:tbl>
    <w:p w14:paraId="03A9F9AD" w14:textId="77777777" w:rsidR="00844861" w:rsidRPr="005C2266" w:rsidRDefault="00844861" w:rsidP="00C85C47">
      <w:pPr>
        <w:pStyle w:val="Headinglevel2"/>
        <w:spacing w:before="240" w:after="120" w:line="276" w:lineRule="auto"/>
        <w:rPr>
          <w:rFonts w:asciiTheme="minorHAnsi" w:hAnsiTheme="minorHAnsi" w:cstheme="minorHAnsi"/>
        </w:rPr>
      </w:pPr>
      <w:bookmarkStart w:id="68" w:name="_Toc523473888"/>
      <w:bookmarkStart w:id="69" w:name="_Toc22304704"/>
      <w:bookmarkStart w:id="70" w:name="_Toc22487032"/>
      <w:bookmarkStart w:id="71" w:name="_Toc22487151"/>
      <w:bookmarkStart w:id="72" w:name="_Toc85542753"/>
      <w:r w:rsidRPr="005C2266">
        <w:rPr>
          <w:rFonts w:asciiTheme="minorHAnsi" w:hAnsiTheme="minorHAnsi" w:cstheme="minorHAnsi"/>
        </w:rPr>
        <w:t>Process for the assessment of a candidate’s learning difficulties by an assessor</w:t>
      </w:r>
      <w:bookmarkEnd w:id="68"/>
      <w:bookmarkEnd w:id="69"/>
      <w:bookmarkEnd w:id="70"/>
      <w:bookmarkEnd w:id="71"/>
      <w:bookmarkEnd w:id="72"/>
      <w:r w:rsidRPr="005C2266">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5C2266" w14:paraId="6D86E4E1" w14:textId="77777777" w:rsidTr="00377406">
        <w:tc>
          <w:tcPr>
            <w:tcW w:w="9548" w:type="dxa"/>
          </w:tcPr>
          <w:p w14:paraId="5C0B1F54" w14:textId="77777777" w:rsidR="00D81682" w:rsidRPr="00D81682" w:rsidRDefault="00D81682" w:rsidP="00D81682">
            <w:pPr>
              <w:shd w:val="clear" w:color="auto" w:fill="FFFFFF"/>
              <w:spacing w:before="0" w:after="0"/>
              <w:textAlignment w:val="baseline"/>
              <w:rPr>
                <w:rFonts w:ascii="Calibri" w:eastAsia="Times New Roman" w:hAnsi="Calibri" w:cs="Calibri"/>
                <w:color w:val="000000"/>
              </w:rPr>
            </w:pPr>
            <w:r w:rsidRPr="00D81682">
              <w:rPr>
                <w:rFonts w:ascii="Calibri" w:eastAsia="Times New Roman" w:hAnsi="Calibri" w:cs="Calibri"/>
                <w:color w:val="000000"/>
              </w:rPr>
              <w:t xml:space="preserve">Students on the schools SEND register are assessed in accordance with their current needs.  A </w:t>
            </w:r>
            <w:proofErr w:type="gramStart"/>
            <w:r w:rsidRPr="00D81682">
              <w:rPr>
                <w:rFonts w:ascii="Calibri" w:eastAsia="Times New Roman" w:hAnsi="Calibri" w:cs="Calibri"/>
                <w:color w:val="000000"/>
              </w:rPr>
              <w:t>students</w:t>
            </w:r>
            <w:proofErr w:type="gramEnd"/>
            <w:r w:rsidRPr="00D81682">
              <w:rPr>
                <w:rFonts w:ascii="Calibri" w:eastAsia="Times New Roman" w:hAnsi="Calibri" w:cs="Calibri"/>
                <w:color w:val="000000"/>
              </w:rPr>
              <w:t xml:space="preserve"> needs are identified through the schools Graduated response to meeting the needs of learners who are not making expected progress in their subjects.  Students on the SEND register who are K - Sen Support or C - Additional educational need are assessed using the appropriate assessments for their areas of need.</w:t>
            </w:r>
          </w:p>
          <w:p w14:paraId="31BDB827" w14:textId="77777777" w:rsidR="00D81682" w:rsidRPr="00D81682" w:rsidRDefault="00D81682" w:rsidP="00D81682">
            <w:pPr>
              <w:shd w:val="clear" w:color="auto" w:fill="FFFFFF"/>
              <w:spacing w:before="0" w:after="0"/>
              <w:textAlignment w:val="baseline"/>
              <w:rPr>
                <w:rFonts w:ascii="Calibri" w:eastAsia="Times New Roman" w:hAnsi="Calibri" w:cs="Calibri"/>
                <w:color w:val="000000"/>
              </w:rPr>
            </w:pPr>
          </w:p>
          <w:p w14:paraId="564E7374" w14:textId="77777777" w:rsidR="00D81682" w:rsidRPr="00D81682" w:rsidRDefault="00D81682" w:rsidP="00D81682">
            <w:pPr>
              <w:shd w:val="clear" w:color="auto" w:fill="FFFFFF"/>
              <w:spacing w:before="0" w:after="0"/>
              <w:textAlignment w:val="baseline"/>
              <w:rPr>
                <w:rFonts w:ascii="Calibri" w:eastAsia="Times New Roman" w:hAnsi="Calibri" w:cs="Calibri"/>
                <w:color w:val="000000"/>
              </w:rPr>
            </w:pPr>
            <w:r w:rsidRPr="00D81682">
              <w:rPr>
                <w:rFonts w:ascii="Calibri" w:eastAsia="Times New Roman" w:hAnsi="Calibri" w:cs="Calibri"/>
                <w:color w:val="000000"/>
              </w:rPr>
              <w:t xml:space="preserve">These students are assessed every </w:t>
            </w:r>
            <w:proofErr w:type="gramStart"/>
            <w:r w:rsidRPr="00D81682">
              <w:rPr>
                <w:rFonts w:ascii="Calibri" w:eastAsia="Times New Roman" w:hAnsi="Calibri" w:cs="Calibri"/>
                <w:color w:val="000000"/>
              </w:rPr>
              <w:t>year</w:t>
            </w:r>
            <w:proofErr w:type="gramEnd"/>
            <w:r w:rsidRPr="00D81682">
              <w:rPr>
                <w:rFonts w:ascii="Calibri" w:eastAsia="Times New Roman" w:hAnsi="Calibri" w:cs="Calibri"/>
                <w:color w:val="000000"/>
              </w:rPr>
              <w:t xml:space="preserve"> and their normal ways of working are assessed at every data analysis point.  Thios is to ensure we have the correct support in place for students on the SEND register.</w:t>
            </w:r>
          </w:p>
          <w:p w14:paraId="1AB00754" w14:textId="77777777" w:rsidR="00D81682" w:rsidRPr="00D81682" w:rsidRDefault="00D81682" w:rsidP="00D81682">
            <w:pPr>
              <w:shd w:val="clear" w:color="auto" w:fill="FFFFFF"/>
              <w:spacing w:before="0" w:after="0"/>
              <w:textAlignment w:val="baseline"/>
              <w:rPr>
                <w:rFonts w:ascii="Calibri" w:eastAsia="Times New Roman" w:hAnsi="Calibri" w:cs="Calibri"/>
                <w:color w:val="000000"/>
              </w:rPr>
            </w:pPr>
          </w:p>
          <w:p w14:paraId="6E15E15A" w14:textId="7640C493" w:rsidR="00D81682" w:rsidRPr="00D81682" w:rsidRDefault="00D81682" w:rsidP="00D81682">
            <w:pPr>
              <w:shd w:val="clear" w:color="auto" w:fill="FFFFFF"/>
              <w:spacing w:before="0" w:after="0"/>
              <w:textAlignment w:val="baseline"/>
              <w:rPr>
                <w:rFonts w:ascii="Calibri" w:eastAsia="Times New Roman" w:hAnsi="Calibri" w:cs="Calibri"/>
                <w:color w:val="000000"/>
              </w:rPr>
            </w:pPr>
            <w:r w:rsidRPr="00D81682">
              <w:rPr>
                <w:rFonts w:ascii="Calibri" w:eastAsia="Times New Roman" w:hAnsi="Calibri" w:cs="Calibri"/>
                <w:color w:val="000000"/>
              </w:rPr>
              <w:t xml:space="preserve">In the Summer term of </w:t>
            </w:r>
            <w:r>
              <w:rPr>
                <w:rFonts w:ascii="Calibri" w:eastAsia="Times New Roman" w:hAnsi="Calibri" w:cs="Calibri"/>
                <w:color w:val="000000"/>
              </w:rPr>
              <w:t>Y</w:t>
            </w:r>
            <w:r w:rsidRPr="00D81682">
              <w:rPr>
                <w:rFonts w:ascii="Calibri" w:eastAsia="Times New Roman" w:hAnsi="Calibri" w:cs="Calibri"/>
                <w:color w:val="000000"/>
              </w:rPr>
              <w:t>ear 9 as a centre we endeavour to complete our formal assessments for candidates with a learning difficultly.   As a school we have a school referral system where staff and parents can raise a concern about their child's progress through out their schooling, in K</w:t>
            </w:r>
            <w:r>
              <w:rPr>
                <w:rFonts w:ascii="Calibri" w:eastAsia="Times New Roman" w:hAnsi="Calibri" w:cs="Calibri"/>
                <w:color w:val="000000"/>
              </w:rPr>
              <w:t xml:space="preserve">ey Stage </w:t>
            </w:r>
            <w:r w:rsidRPr="00D81682">
              <w:rPr>
                <w:rFonts w:ascii="Calibri" w:eastAsia="Times New Roman" w:hAnsi="Calibri" w:cs="Calibri"/>
                <w:color w:val="000000"/>
              </w:rPr>
              <w:t xml:space="preserve">4 - we ask parents and teachers to raise concerns in </w:t>
            </w:r>
            <w:r>
              <w:rPr>
                <w:rFonts w:ascii="Calibri" w:eastAsia="Times New Roman" w:hAnsi="Calibri" w:cs="Calibri"/>
                <w:color w:val="000000"/>
              </w:rPr>
              <w:t>Y</w:t>
            </w:r>
            <w:r w:rsidRPr="00D81682">
              <w:rPr>
                <w:rFonts w:ascii="Calibri" w:eastAsia="Times New Roman" w:hAnsi="Calibri" w:cs="Calibri"/>
                <w:color w:val="000000"/>
              </w:rPr>
              <w:t>ear 10, to ensure we can complete the necessary assessments in a  timely manner and the need for an arrangements then becomes their normal way of working.</w:t>
            </w:r>
          </w:p>
          <w:p w14:paraId="4F9B649E" w14:textId="176FE32F" w:rsidR="00907224" w:rsidRPr="005C2266" w:rsidRDefault="00907224" w:rsidP="002660C5">
            <w:pPr>
              <w:autoSpaceDE w:val="0"/>
              <w:autoSpaceDN w:val="0"/>
              <w:adjustRightInd w:val="0"/>
              <w:spacing w:before="0" w:after="0"/>
              <w:rPr>
                <w:rFonts w:asciiTheme="minorHAnsi" w:hAnsiTheme="minorHAnsi" w:cstheme="minorHAnsi"/>
              </w:rPr>
            </w:pPr>
          </w:p>
          <w:p w14:paraId="5FA3EBA0" w14:textId="5F00F095" w:rsidR="002660C5" w:rsidRPr="005C2266" w:rsidRDefault="009E5842" w:rsidP="002660C5">
            <w:pPr>
              <w:autoSpaceDE w:val="0"/>
              <w:autoSpaceDN w:val="0"/>
              <w:adjustRightInd w:val="0"/>
              <w:spacing w:before="0" w:after="0"/>
              <w:rPr>
                <w:rFonts w:asciiTheme="minorHAnsi" w:hAnsiTheme="minorHAnsi" w:cstheme="minorHAnsi"/>
                <w:b/>
                <w:bCs/>
                <w:sz w:val="20"/>
                <w:szCs w:val="20"/>
              </w:rPr>
            </w:pPr>
            <w:r w:rsidRPr="005C2266">
              <w:rPr>
                <w:rFonts w:asciiTheme="minorHAnsi" w:hAnsiTheme="minorHAnsi" w:cstheme="minorHAnsi"/>
                <w:b/>
                <w:bCs/>
                <w:sz w:val="20"/>
                <w:szCs w:val="20"/>
              </w:rPr>
              <w:t>Note</w:t>
            </w:r>
          </w:p>
          <w:p w14:paraId="0D600E26" w14:textId="0B98FD08" w:rsidR="002660C5" w:rsidRPr="005C2266" w:rsidRDefault="002660C5" w:rsidP="002660C5">
            <w:pPr>
              <w:autoSpaceDE w:val="0"/>
              <w:autoSpaceDN w:val="0"/>
              <w:adjustRightInd w:val="0"/>
              <w:spacing w:before="0" w:after="0"/>
              <w:jc w:val="both"/>
              <w:rPr>
                <w:rFonts w:asciiTheme="minorHAnsi" w:hAnsiTheme="minorHAnsi" w:cstheme="minorHAnsi"/>
                <w:b/>
                <w:bCs/>
                <w:color w:val="595959" w:themeColor="text1" w:themeTint="A6"/>
                <w:sz w:val="18"/>
                <w:szCs w:val="18"/>
              </w:rPr>
            </w:pPr>
            <w:r w:rsidRPr="005C2266">
              <w:rPr>
                <w:rFonts w:asciiTheme="minorHAnsi" w:hAnsiTheme="minorHAnsi" w:cstheme="minorHAnsi"/>
                <w:b/>
                <w:bCs/>
                <w:color w:val="595959" w:themeColor="text1" w:themeTint="A6"/>
                <w:sz w:val="18"/>
                <w:szCs w:val="18"/>
              </w:rPr>
              <w:t>…</w:t>
            </w:r>
            <w:r w:rsidRPr="005C2266">
              <w:rPr>
                <w:rFonts w:asciiTheme="minorHAnsi" w:hAnsiTheme="minorHAnsi" w:cstheme="minorHAnsi"/>
                <w:color w:val="595959" w:themeColor="text1" w:themeTint="A6"/>
                <w:sz w:val="18"/>
                <w:szCs w:val="18"/>
              </w:rPr>
              <w:t xml:space="preserve"> SENCos and assessors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w:t>
            </w:r>
            <w:r w:rsidRPr="005C2266">
              <w:rPr>
                <w:rFonts w:asciiTheme="minorHAnsi" w:hAnsiTheme="minorHAnsi" w:cstheme="minorHAnsi"/>
                <w:sz w:val="18"/>
                <w:szCs w:val="18"/>
              </w:rPr>
              <w:t>(</w:t>
            </w:r>
            <w:hyperlink r:id="rId25" w:history="1">
              <w:r w:rsidRPr="005C2266">
                <w:rPr>
                  <w:rStyle w:val="Hyperlink"/>
                  <w:rFonts w:asciiTheme="minorHAnsi" w:hAnsiTheme="minorHAnsi" w:cstheme="minorHAnsi"/>
                  <w:sz w:val="18"/>
                  <w:szCs w:val="18"/>
                  <w:u w:val="none"/>
                </w:rPr>
                <w:t>AA</w:t>
              </w:r>
            </w:hyperlink>
            <w:r w:rsidRPr="005C2266">
              <w:rPr>
                <w:rFonts w:asciiTheme="minorHAnsi" w:hAnsiTheme="minorHAnsi" w:cstheme="minorHAnsi"/>
                <w:sz w:val="18"/>
                <w:szCs w:val="18"/>
              </w:rPr>
              <w:t xml:space="preserve"> </w:t>
            </w:r>
            <w:r w:rsidR="001153D3">
              <w:rPr>
                <w:rFonts w:asciiTheme="minorHAnsi" w:hAnsiTheme="minorHAnsi" w:cstheme="minorHAnsi"/>
                <w:sz w:val="18"/>
                <w:szCs w:val="18"/>
              </w:rPr>
              <w:t>section</w:t>
            </w:r>
            <w:r w:rsidRPr="005C2266">
              <w:rPr>
                <w:rFonts w:asciiTheme="minorHAnsi" w:hAnsiTheme="minorHAnsi" w:cstheme="minorHAnsi"/>
                <w:sz w:val="18"/>
                <w:szCs w:val="18"/>
              </w:rPr>
              <w:t>7.3)</w:t>
            </w:r>
            <w:r w:rsidRPr="005C2266">
              <w:rPr>
                <w:rFonts w:asciiTheme="minorHAnsi" w:hAnsiTheme="minorHAnsi" w:cstheme="minorHAnsi"/>
                <w:b/>
                <w:bCs/>
                <w:sz w:val="18"/>
                <w:szCs w:val="18"/>
              </w:rPr>
              <w:t xml:space="preserve">  </w:t>
            </w:r>
          </w:p>
          <w:p w14:paraId="23862D5C" w14:textId="2F348FB6" w:rsidR="00844861" w:rsidRPr="005C2266" w:rsidRDefault="00844861" w:rsidP="00377406">
            <w:pPr>
              <w:autoSpaceDE w:val="0"/>
              <w:autoSpaceDN w:val="0"/>
              <w:adjustRightInd w:val="0"/>
              <w:spacing w:line="276" w:lineRule="auto"/>
              <w:jc w:val="both"/>
              <w:rPr>
                <w:rFonts w:asciiTheme="minorHAnsi" w:hAnsiTheme="minorHAnsi" w:cstheme="minorHAnsi"/>
              </w:rPr>
            </w:pPr>
          </w:p>
        </w:tc>
      </w:tr>
    </w:tbl>
    <w:p w14:paraId="59AA4706" w14:textId="29B58497" w:rsidR="009747C7" w:rsidRPr="005C2266" w:rsidRDefault="00844861" w:rsidP="00063959">
      <w:pPr>
        <w:pStyle w:val="Headinglevel2"/>
        <w:spacing w:before="240" w:after="120" w:line="276" w:lineRule="auto"/>
        <w:rPr>
          <w:rFonts w:asciiTheme="minorHAnsi" w:hAnsiTheme="minorHAnsi" w:cstheme="minorHAnsi"/>
          <w:i/>
        </w:rPr>
      </w:pPr>
      <w:bookmarkStart w:id="73" w:name="_Toc443593728"/>
      <w:bookmarkStart w:id="74" w:name="_Toc466921635"/>
      <w:bookmarkStart w:id="75" w:name="_Toc490083860"/>
      <w:bookmarkStart w:id="76" w:name="_Toc496088799"/>
      <w:bookmarkStart w:id="77" w:name="_Toc523473889"/>
      <w:bookmarkStart w:id="78" w:name="_Toc22304705"/>
      <w:bookmarkStart w:id="79" w:name="_Toc22487033"/>
      <w:bookmarkStart w:id="80" w:name="_Toc22487152"/>
      <w:bookmarkStart w:id="81" w:name="_Toc85542754"/>
      <w:bookmarkEnd w:id="65"/>
      <w:bookmarkEnd w:id="66"/>
      <w:bookmarkEnd w:id="67"/>
      <w:r w:rsidRPr="005C2266">
        <w:rPr>
          <w:rFonts w:asciiTheme="minorHAnsi" w:hAnsiTheme="minorHAnsi" w:cstheme="minorHAnsi"/>
        </w:rPr>
        <w:t>P</w:t>
      </w:r>
      <w:r w:rsidR="001153D3">
        <w:rPr>
          <w:rFonts w:asciiTheme="minorHAnsi" w:hAnsiTheme="minorHAnsi" w:cstheme="minorHAnsi"/>
        </w:rPr>
        <w:t>icture of need/</w:t>
      </w:r>
      <w:bookmarkEnd w:id="73"/>
      <w:bookmarkEnd w:id="74"/>
      <w:bookmarkEnd w:id="75"/>
      <w:bookmarkEnd w:id="76"/>
      <w:bookmarkEnd w:id="77"/>
      <w:bookmarkEnd w:id="78"/>
      <w:bookmarkEnd w:id="79"/>
      <w:bookmarkEnd w:id="80"/>
      <w:r w:rsidR="009747C7" w:rsidRPr="005C2266">
        <w:rPr>
          <w:rFonts w:asciiTheme="minorHAnsi" w:hAnsiTheme="minorHAnsi" w:cstheme="minorHAnsi"/>
        </w:rPr>
        <w:t>confirming normal way of working</w:t>
      </w:r>
      <w:bookmarkEnd w:id="81"/>
    </w:p>
    <w:tbl>
      <w:tblPr>
        <w:tblStyle w:val="TableGrid"/>
        <w:tblW w:w="0" w:type="auto"/>
        <w:tblInd w:w="675" w:type="dxa"/>
        <w:tblLook w:val="04A0" w:firstRow="1" w:lastRow="0" w:firstColumn="1" w:lastColumn="0" w:noHBand="0" w:noVBand="1"/>
      </w:tblPr>
      <w:tblGrid>
        <w:gridCol w:w="9367"/>
      </w:tblGrid>
      <w:tr w:rsidR="00844861" w:rsidRPr="005C2266" w14:paraId="5D3DDFBB" w14:textId="77777777" w:rsidTr="00377406">
        <w:tc>
          <w:tcPr>
            <w:tcW w:w="10161" w:type="dxa"/>
          </w:tcPr>
          <w:p w14:paraId="5DC1FBAF" w14:textId="38AD682B" w:rsidR="00D81682" w:rsidRPr="00D81682" w:rsidRDefault="00D81682" w:rsidP="00D81682">
            <w:pPr>
              <w:shd w:val="clear" w:color="auto" w:fill="FFFFFF"/>
              <w:spacing w:before="0" w:after="0"/>
              <w:rPr>
                <w:rFonts w:asciiTheme="minorHAnsi" w:eastAsia="Times New Roman" w:hAnsiTheme="minorHAnsi" w:cstheme="minorHAnsi"/>
                <w:color w:val="FF3300"/>
              </w:rPr>
            </w:pPr>
            <w:r w:rsidRPr="00D81682">
              <w:rPr>
                <w:rFonts w:asciiTheme="minorHAnsi" w:eastAsia="Times New Roman" w:hAnsiTheme="minorHAnsi" w:cstheme="minorHAnsi"/>
                <w:color w:val="000000"/>
                <w:bdr w:val="none" w:sz="0" w:space="0" w:color="auto" w:frame="1"/>
              </w:rPr>
              <w:t xml:space="preserve">At Lytham we start to collate evidence of need from </w:t>
            </w:r>
            <w:r>
              <w:rPr>
                <w:rFonts w:asciiTheme="minorHAnsi" w:eastAsia="Times New Roman" w:hAnsiTheme="minorHAnsi" w:cstheme="minorHAnsi"/>
                <w:color w:val="000000"/>
                <w:bdr w:val="none" w:sz="0" w:space="0" w:color="auto" w:frame="1"/>
              </w:rPr>
              <w:t>Y</w:t>
            </w:r>
            <w:r w:rsidRPr="00D81682">
              <w:rPr>
                <w:rFonts w:asciiTheme="minorHAnsi" w:eastAsia="Times New Roman" w:hAnsiTheme="minorHAnsi" w:cstheme="minorHAnsi"/>
                <w:color w:val="000000"/>
                <w:bdr w:val="none" w:sz="0" w:space="0" w:color="auto" w:frame="1"/>
              </w:rPr>
              <w:t xml:space="preserve">ear 6 to 7 transition we then ensure that student passports are up to date, these are used to inform teachers of the </w:t>
            </w:r>
            <w:proofErr w:type="gramStart"/>
            <w:r w:rsidRPr="00D81682">
              <w:rPr>
                <w:rFonts w:asciiTheme="minorHAnsi" w:eastAsia="Times New Roman" w:hAnsiTheme="minorHAnsi" w:cstheme="minorHAnsi"/>
                <w:color w:val="000000"/>
                <w:bdr w:val="none" w:sz="0" w:space="0" w:color="auto" w:frame="1"/>
              </w:rPr>
              <w:t>high quality</w:t>
            </w:r>
            <w:proofErr w:type="gramEnd"/>
            <w:r w:rsidRPr="00D81682">
              <w:rPr>
                <w:rFonts w:asciiTheme="minorHAnsi" w:eastAsia="Times New Roman" w:hAnsiTheme="minorHAnsi" w:cstheme="minorHAnsi"/>
                <w:color w:val="000000"/>
                <w:bdr w:val="none" w:sz="0" w:space="0" w:color="auto" w:frame="1"/>
              </w:rPr>
              <w:t xml:space="preserve"> strategies they need to be using to meet a student's needs in the classroom.  On this document we advise what students need to be doing when they have assessments and exams, this ensure that from </w:t>
            </w:r>
            <w:r>
              <w:rPr>
                <w:rFonts w:asciiTheme="minorHAnsi" w:eastAsia="Times New Roman" w:hAnsiTheme="minorHAnsi" w:cstheme="minorHAnsi"/>
                <w:color w:val="000000"/>
                <w:bdr w:val="none" w:sz="0" w:space="0" w:color="auto" w:frame="1"/>
              </w:rPr>
              <w:t>Y</w:t>
            </w:r>
            <w:r w:rsidRPr="00D81682">
              <w:rPr>
                <w:rFonts w:asciiTheme="minorHAnsi" w:eastAsia="Times New Roman" w:hAnsiTheme="minorHAnsi" w:cstheme="minorHAnsi"/>
                <w:color w:val="000000"/>
                <w:bdr w:val="none" w:sz="0" w:space="0" w:color="auto" w:frame="1"/>
              </w:rPr>
              <w:t>ear 7 we are aiming to embed the skills they will need when they sit their exams.</w:t>
            </w:r>
          </w:p>
          <w:p w14:paraId="75E147A8" w14:textId="07A7A39B" w:rsidR="00D81682" w:rsidRPr="00D81682" w:rsidRDefault="00D81682" w:rsidP="00D81682">
            <w:pPr>
              <w:shd w:val="clear" w:color="auto" w:fill="FFFFFF"/>
              <w:spacing w:before="0" w:after="0"/>
              <w:rPr>
                <w:rFonts w:asciiTheme="minorHAnsi" w:eastAsia="Times New Roman" w:hAnsiTheme="minorHAnsi" w:cstheme="minorHAnsi"/>
                <w:color w:val="FF3300"/>
              </w:rPr>
            </w:pPr>
            <w:r w:rsidRPr="00D81682">
              <w:rPr>
                <w:rFonts w:asciiTheme="minorHAnsi" w:eastAsia="Times New Roman" w:hAnsiTheme="minorHAnsi" w:cstheme="minorHAnsi"/>
                <w:color w:val="000000"/>
                <w:bdr w:val="none" w:sz="0" w:space="0" w:color="auto" w:frame="1"/>
              </w:rPr>
              <w:t xml:space="preserve">Each year we review their provision and AA.  In </w:t>
            </w:r>
            <w:r>
              <w:rPr>
                <w:rFonts w:asciiTheme="minorHAnsi" w:eastAsia="Times New Roman" w:hAnsiTheme="minorHAnsi" w:cstheme="minorHAnsi"/>
                <w:color w:val="000000"/>
                <w:bdr w:val="none" w:sz="0" w:space="0" w:color="auto" w:frame="1"/>
              </w:rPr>
              <w:t>Y</w:t>
            </w:r>
            <w:r w:rsidRPr="00D81682">
              <w:rPr>
                <w:rFonts w:asciiTheme="minorHAnsi" w:eastAsia="Times New Roman" w:hAnsiTheme="minorHAnsi" w:cstheme="minorHAnsi"/>
                <w:color w:val="000000"/>
                <w:bdr w:val="none" w:sz="0" w:space="0" w:color="auto" w:frame="1"/>
              </w:rPr>
              <w:t>ear</w:t>
            </w:r>
            <w:r>
              <w:rPr>
                <w:rFonts w:asciiTheme="minorHAnsi" w:eastAsia="Times New Roman" w:hAnsiTheme="minorHAnsi" w:cstheme="minorHAnsi"/>
                <w:color w:val="000000"/>
                <w:bdr w:val="none" w:sz="0" w:space="0" w:color="auto" w:frame="1"/>
              </w:rPr>
              <w:t>s</w:t>
            </w:r>
            <w:r w:rsidRPr="00D81682">
              <w:rPr>
                <w:rFonts w:asciiTheme="minorHAnsi" w:eastAsia="Times New Roman" w:hAnsiTheme="minorHAnsi" w:cstheme="minorHAnsi"/>
                <w:color w:val="000000"/>
                <w:bdr w:val="none" w:sz="0" w:space="0" w:color="auto" w:frame="1"/>
              </w:rPr>
              <w:t xml:space="preserve"> 10 and 11 we endeavour to work with teaching staff to gather evidence from them on how they use the AA in class and whether the student still requires this arrangement.</w:t>
            </w:r>
          </w:p>
          <w:p w14:paraId="6F752041" w14:textId="0AA28602" w:rsidR="002660C5" w:rsidRPr="005C2266" w:rsidRDefault="002660C5" w:rsidP="00466719">
            <w:pPr>
              <w:pStyle w:val="NormalWeb"/>
              <w:spacing w:before="120" w:beforeAutospacing="0" w:after="120" w:afterAutospacing="0"/>
              <w:rPr>
                <w:rFonts w:asciiTheme="minorHAnsi" w:hAnsiTheme="minorHAnsi" w:cstheme="minorHAnsi"/>
                <w:color w:val="595959" w:themeColor="text1" w:themeTint="A6"/>
                <w:sz w:val="18"/>
                <w:szCs w:val="18"/>
              </w:rPr>
            </w:pPr>
            <w:r w:rsidRPr="005C2266">
              <w:rPr>
                <w:rFonts w:asciiTheme="minorHAnsi" w:hAnsiTheme="minorHAnsi" w:cstheme="minorHAnsi"/>
                <w:color w:val="595959" w:themeColor="text1" w:themeTint="A6"/>
                <w:sz w:val="18"/>
                <w:szCs w:val="18"/>
              </w:rPr>
              <w:t xml:space="preserve">Before the candidate’s assessment, the SENCo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provide the assessor with background information, i.e. a picture of need has been painted as </w:t>
            </w:r>
            <w:r w:rsidR="00466719" w:rsidRPr="005C2266">
              <w:rPr>
                <w:rFonts w:asciiTheme="minorHAnsi" w:hAnsiTheme="minorHAnsi" w:cstheme="minorHAnsi"/>
                <w:color w:val="595959" w:themeColor="text1" w:themeTint="A6"/>
                <w:sz w:val="18"/>
                <w:szCs w:val="18"/>
              </w:rPr>
              <w:t>required in P</w:t>
            </w:r>
            <w:r w:rsidRPr="005C2266">
              <w:rPr>
                <w:rFonts w:asciiTheme="minorHAnsi" w:hAnsiTheme="minorHAnsi" w:cstheme="minorHAnsi"/>
                <w:color w:val="595959" w:themeColor="text1" w:themeTint="A6"/>
                <w:sz w:val="18"/>
                <w:szCs w:val="18"/>
              </w:rPr>
              <w:t xml:space="preserve">art 1 of Form 8. The SENCo and the assessor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work together to ensure a joined-up and consistent process.</w:t>
            </w:r>
          </w:p>
          <w:p w14:paraId="1BB8785D" w14:textId="6DBD8A15" w:rsidR="002660C5" w:rsidRPr="005C2266" w:rsidRDefault="002660C5" w:rsidP="00466719">
            <w:pPr>
              <w:pStyle w:val="NormalWeb"/>
              <w:spacing w:before="120" w:beforeAutospacing="0" w:after="120" w:afterAutospacing="0"/>
              <w:rPr>
                <w:rFonts w:asciiTheme="minorHAnsi" w:hAnsiTheme="minorHAnsi" w:cstheme="minorHAnsi"/>
                <w:color w:val="595959" w:themeColor="text1" w:themeTint="A6"/>
                <w:sz w:val="18"/>
                <w:szCs w:val="18"/>
              </w:rPr>
            </w:pPr>
            <w:r w:rsidRPr="005C2266">
              <w:rPr>
                <w:rFonts w:asciiTheme="minorHAnsi" w:hAnsiTheme="minorHAnsi" w:cstheme="minorHAnsi"/>
                <w:color w:val="595959" w:themeColor="text1" w:themeTint="A6"/>
                <w:sz w:val="18"/>
                <w:szCs w:val="18"/>
              </w:rPr>
              <w:t xml:space="preserve">An independent assessor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contact the centre and ask for evidence of the candidate’s normal way of working and relevant background information. This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take place </w:t>
            </w:r>
            <w:r w:rsidRPr="005C2266">
              <w:rPr>
                <w:rFonts w:asciiTheme="minorHAnsi" w:hAnsiTheme="minorHAnsi" w:cstheme="minorHAnsi"/>
                <w:b/>
                <w:bCs/>
                <w:color w:val="595959" w:themeColor="text1" w:themeTint="A6"/>
                <w:sz w:val="18"/>
                <w:szCs w:val="18"/>
              </w:rPr>
              <w:t>before</w:t>
            </w:r>
            <w:r w:rsidRPr="005C2266">
              <w:rPr>
                <w:rFonts w:asciiTheme="minorHAnsi" w:hAnsiTheme="minorHAnsi" w:cstheme="minorHAnsi"/>
                <w:color w:val="595959" w:themeColor="text1" w:themeTint="A6"/>
                <w:sz w:val="18"/>
                <w:szCs w:val="18"/>
              </w:rPr>
              <w:t xml:space="preserve"> the candidate is assessed.</w:t>
            </w:r>
            <w:r w:rsidR="00466719" w:rsidRPr="005C2266">
              <w:rPr>
                <w:rFonts w:asciiTheme="minorHAnsi" w:hAnsiTheme="minorHAnsi" w:cstheme="minorHAnsi"/>
                <w:color w:val="595959" w:themeColor="text1" w:themeTint="A6"/>
                <w:sz w:val="18"/>
                <w:szCs w:val="18"/>
              </w:rPr>
              <w:t xml:space="preserve"> Additionally, the independent assessor </w:t>
            </w:r>
            <w:r w:rsidR="00466719" w:rsidRPr="005C2266">
              <w:rPr>
                <w:rFonts w:asciiTheme="minorHAnsi" w:hAnsiTheme="minorHAnsi" w:cstheme="minorHAnsi"/>
                <w:b/>
                <w:bCs/>
                <w:color w:val="595959" w:themeColor="text1" w:themeTint="A6"/>
                <w:sz w:val="18"/>
                <w:szCs w:val="18"/>
              </w:rPr>
              <w:t>must</w:t>
            </w:r>
            <w:r w:rsidR="00466719" w:rsidRPr="005C2266">
              <w:rPr>
                <w:rFonts w:asciiTheme="minorHAnsi" w:hAnsiTheme="minorHAnsi" w:cstheme="minorHAnsi"/>
                <w:color w:val="595959" w:themeColor="text1" w:themeTint="A6"/>
                <w:sz w:val="18"/>
                <w:szCs w:val="18"/>
              </w:rPr>
              <w:t xml:space="preserve"> be approved by the Head of Centre to assess the candidate.</w:t>
            </w:r>
          </w:p>
          <w:p w14:paraId="0EEE4E4C" w14:textId="3036B175" w:rsidR="002660C5" w:rsidRPr="005C2266" w:rsidRDefault="002660C5" w:rsidP="00466719">
            <w:pPr>
              <w:pStyle w:val="NormalWeb"/>
              <w:spacing w:before="120" w:beforeAutospacing="0" w:after="120" w:afterAutospacing="0"/>
              <w:rPr>
                <w:rFonts w:asciiTheme="minorHAnsi" w:hAnsiTheme="minorHAnsi" w:cstheme="minorHAnsi"/>
                <w:color w:val="595959" w:themeColor="text1" w:themeTint="A6"/>
                <w:sz w:val="18"/>
                <w:szCs w:val="18"/>
              </w:rPr>
            </w:pPr>
            <w:r w:rsidRPr="005C2266">
              <w:rPr>
                <w:rFonts w:asciiTheme="minorHAnsi" w:hAnsiTheme="minorHAnsi" w:cstheme="minorHAnsi"/>
                <w:color w:val="595959" w:themeColor="text1" w:themeTint="A6"/>
                <w:sz w:val="18"/>
                <w:szCs w:val="18"/>
              </w:rPr>
              <w:t xml:space="preserve">All candidates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be assessed </w:t>
            </w:r>
            <w:proofErr w:type="gramStart"/>
            <w:r w:rsidRPr="005C2266">
              <w:rPr>
                <w:rFonts w:asciiTheme="minorHAnsi" w:hAnsiTheme="minorHAnsi" w:cstheme="minorHAnsi"/>
                <w:color w:val="595959" w:themeColor="text1" w:themeTint="A6"/>
                <w:sz w:val="18"/>
                <w:szCs w:val="18"/>
              </w:rPr>
              <w:t>in light of</w:t>
            </w:r>
            <w:proofErr w:type="gramEnd"/>
            <w:r w:rsidRPr="005C2266">
              <w:rPr>
                <w:rFonts w:asciiTheme="minorHAnsi" w:hAnsiTheme="minorHAnsi" w:cstheme="minorHAnsi"/>
                <w:color w:val="595959" w:themeColor="text1" w:themeTint="A6"/>
                <w:sz w:val="18"/>
                <w:szCs w:val="18"/>
              </w:rPr>
              <w:t xml:space="preserve"> the picture of need and the background information as detailed within Part 1 of Form 8.</w:t>
            </w:r>
          </w:p>
          <w:p w14:paraId="2D84DDCD" w14:textId="62257620" w:rsidR="00844861" w:rsidRPr="00D81682" w:rsidRDefault="002660C5" w:rsidP="00907224">
            <w:pPr>
              <w:pStyle w:val="NormalWeb"/>
              <w:spacing w:before="120" w:beforeAutospacing="0" w:after="120" w:afterAutospacing="0"/>
              <w:rPr>
                <w:rFonts w:asciiTheme="minorHAnsi" w:hAnsiTheme="minorHAnsi" w:cstheme="minorHAnsi"/>
                <w:sz w:val="18"/>
                <w:szCs w:val="18"/>
              </w:rPr>
            </w:pPr>
            <w:r w:rsidRPr="005C2266">
              <w:rPr>
                <w:rFonts w:asciiTheme="minorHAnsi" w:hAnsiTheme="minorHAnsi" w:cstheme="minorHAnsi"/>
                <w:color w:val="595959" w:themeColor="text1" w:themeTint="A6"/>
                <w:sz w:val="18"/>
                <w:szCs w:val="18"/>
              </w:rPr>
              <w:t xml:space="preserve">An independent assessor </w:t>
            </w:r>
            <w:r w:rsidRPr="005C2266">
              <w:rPr>
                <w:rFonts w:asciiTheme="minorHAnsi" w:hAnsiTheme="minorHAnsi" w:cstheme="minorHAnsi"/>
                <w:b/>
                <w:bCs/>
                <w:color w:val="595959" w:themeColor="text1" w:themeTint="A6"/>
                <w:sz w:val="18"/>
                <w:szCs w:val="18"/>
              </w:rPr>
              <w:t>must</w:t>
            </w:r>
            <w:r w:rsidRPr="005C2266">
              <w:rPr>
                <w:rFonts w:asciiTheme="minorHAnsi" w:hAnsiTheme="minorHAnsi" w:cstheme="minorHAnsi"/>
                <w:color w:val="595959" w:themeColor="text1" w:themeTint="A6"/>
                <w:sz w:val="18"/>
                <w:szCs w:val="18"/>
              </w:rPr>
              <w:t xml:space="preserve"> discuss access arrangements</w:t>
            </w:r>
            <w:r w:rsidR="00466719" w:rsidRPr="005C2266">
              <w:rPr>
                <w:rFonts w:asciiTheme="minorHAnsi" w:hAnsiTheme="minorHAnsi" w:cstheme="minorHAnsi"/>
                <w:color w:val="595959" w:themeColor="text1" w:themeTint="A6"/>
                <w:sz w:val="18"/>
                <w:szCs w:val="18"/>
              </w:rPr>
              <w:t>/reasonable adjustments</w:t>
            </w:r>
            <w:r w:rsidRPr="005C2266">
              <w:rPr>
                <w:rFonts w:asciiTheme="minorHAnsi" w:hAnsiTheme="minorHAnsi" w:cstheme="minorHAnsi"/>
                <w:color w:val="595959" w:themeColor="text1" w:themeTint="A6"/>
                <w:sz w:val="18"/>
                <w:szCs w:val="18"/>
              </w:rPr>
              <w:t xml:space="preserve"> with the SENCo. The responsibility to </w:t>
            </w:r>
            <w:r w:rsidR="00466719" w:rsidRPr="005C2266">
              <w:rPr>
                <w:rFonts w:asciiTheme="minorHAnsi" w:hAnsiTheme="minorHAnsi" w:cstheme="minorHAnsi"/>
                <w:color w:val="595959" w:themeColor="text1" w:themeTint="A6"/>
                <w:sz w:val="18"/>
                <w:szCs w:val="18"/>
              </w:rPr>
              <w:t xml:space="preserve">determine and request appropriate and practical access arrangements/reasonable adjustments </w:t>
            </w:r>
            <w:r w:rsidRPr="005C2266">
              <w:rPr>
                <w:rFonts w:asciiTheme="minorHAnsi" w:hAnsiTheme="minorHAnsi" w:cstheme="minorHAnsi"/>
                <w:color w:val="595959" w:themeColor="text1" w:themeTint="A6"/>
                <w:sz w:val="18"/>
                <w:szCs w:val="18"/>
              </w:rPr>
              <w:t>specifically lies with the SENCo.</w:t>
            </w:r>
            <w:r w:rsidRPr="005C2266">
              <w:rPr>
                <w:rFonts w:asciiTheme="minorHAnsi" w:hAnsiTheme="minorHAnsi" w:cstheme="minorHAnsi"/>
                <w:b/>
                <w:bCs/>
                <w:color w:val="595959" w:themeColor="text1" w:themeTint="A6"/>
                <w:sz w:val="18"/>
                <w:szCs w:val="18"/>
              </w:rPr>
              <w:t xml:space="preserve"> </w:t>
            </w:r>
            <w:r w:rsidRPr="005C2266">
              <w:rPr>
                <w:rFonts w:asciiTheme="minorHAnsi" w:hAnsiTheme="minorHAnsi" w:cstheme="minorHAnsi"/>
                <w:sz w:val="18"/>
                <w:szCs w:val="18"/>
              </w:rPr>
              <w:t>(</w:t>
            </w:r>
            <w:hyperlink r:id="rId26" w:history="1">
              <w:r w:rsidRPr="005C2266">
                <w:rPr>
                  <w:rStyle w:val="Hyperlink"/>
                  <w:rFonts w:asciiTheme="minorHAnsi" w:hAnsiTheme="minorHAnsi" w:cstheme="minorHAnsi"/>
                  <w:sz w:val="18"/>
                  <w:szCs w:val="18"/>
                  <w:u w:val="none"/>
                </w:rPr>
                <w:t>AA</w:t>
              </w:r>
            </w:hyperlink>
            <w:r w:rsidRPr="005C2266">
              <w:rPr>
                <w:rFonts w:asciiTheme="minorHAnsi" w:hAnsiTheme="minorHAnsi" w:cstheme="minorHAnsi"/>
                <w:sz w:val="18"/>
                <w:szCs w:val="18"/>
              </w:rPr>
              <w:t xml:space="preserve"> </w:t>
            </w:r>
            <w:r w:rsidR="001153D3">
              <w:rPr>
                <w:rFonts w:asciiTheme="minorHAnsi" w:hAnsiTheme="minorHAnsi" w:cstheme="minorHAnsi"/>
                <w:sz w:val="18"/>
                <w:szCs w:val="18"/>
              </w:rPr>
              <w:t xml:space="preserve">section </w:t>
            </w:r>
            <w:r w:rsidRPr="005C2266">
              <w:rPr>
                <w:rFonts w:asciiTheme="minorHAnsi" w:hAnsiTheme="minorHAnsi" w:cstheme="minorHAnsi"/>
                <w:sz w:val="18"/>
                <w:szCs w:val="18"/>
              </w:rPr>
              <w:t>7.5)</w:t>
            </w:r>
          </w:p>
        </w:tc>
      </w:tr>
    </w:tbl>
    <w:p w14:paraId="4DB14628" w14:textId="77777777" w:rsidR="00452B7E" w:rsidRPr="005C2266" w:rsidRDefault="00452B7E" w:rsidP="00844861">
      <w:pPr>
        <w:pStyle w:val="Headinglevel1"/>
        <w:spacing w:before="240"/>
        <w:rPr>
          <w:rFonts w:asciiTheme="minorHAnsi" w:hAnsiTheme="minorHAnsi" w:cstheme="minorHAnsi"/>
        </w:rPr>
      </w:pPr>
      <w:bookmarkStart w:id="82" w:name="_Toc466921636"/>
      <w:bookmarkStart w:id="83" w:name="_Toc490083861"/>
      <w:bookmarkStart w:id="84" w:name="_Toc496088800"/>
      <w:bookmarkStart w:id="85" w:name="_Toc523473890"/>
      <w:bookmarkStart w:id="86" w:name="_Toc22304706"/>
      <w:bookmarkStart w:id="87" w:name="_Toc22487034"/>
      <w:bookmarkStart w:id="88" w:name="_Toc22487153"/>
      <w:bookmarkStart w:id="89" w:name="_Toc85542755"/>
    </w:p>
    <w:p w14:paraId="29BCF61B" w14:textId="25484C3A" w:rsidR="00844861" w:rsidRPr="005C2266" w:rsidRDefault="00844861" w:rsidP="00844861">
      <w:pPr>
        <w:pStyle w:val="Headinglevel1"/>
        <w:spacing w:before="240"/>
        <w:rPr>
          <w:rFonts w:asciiTheme="minorHAnsi" w:hAnsiTheme="minorHAnsi" w:cstheme="minorHAnsi"/>
        </w:rPr>
      </w:pPr>
      <w:r w:rsidRPr="005C2266">
        <w:rPr>
          <w:rFonts w:asciiTheme="minorHAnsi" w:hAnsiTheme="minorHAnsi" w:cstheme="minorHAnsi"/>
        </w:rPr>
        <w:t>Processing access arrangements</w:t>
      </w:r>
      <w:bookmarkEnd w:id="82"/>
      <w:bookmarkEnd w:id="83"/>
      <w:bookmarkEnd w:id="84"/>
      <w:bookmarkEnd w:id="85"/>
      <w:bookmarkEnd w:id="86"/>
      <w:bookmarkEnd w:id="87"/>
      <w:bookmarkEnd w:id="88"/>
      <w:bookmarkEnd w:id="89"/>
      <w:r w:rsidR="00452B7E" w:rsidRPr="005C2266">
        <w:rPr>
          <w:rFonts w:asciiTheme="minorHAnsi" w:hAnsiTheme="minorHAnsi" w:cstheme="minorHAnsi"/>
        </w:rPr>
        <w:t xml:space="preserve"> and adjustments</w:t>
      </w:r>
    </w:p>
    <w:p w14:paraId="513A363C" w14:textId="41E81FE1" w:rsidR="00844861" w:rsidRPr="005C2266" w:rsidRDefault="00844861" w:rsidP="00844861">
      <w:pPr>
        <w:pStyle w:val="Headinglevel2"/>
        <w:spacing w:before="0"/>
        <w:rPr>
          <w:rFonts w:asciiTheme="minorHAnsi" w:hAnsiTheme="minorHAnsi" w:cstheme="minorHAnsi"/>
        </w:rPr>
      </w:pPr>
      <w:bookmarkStart w:id="90" w:name="_Toc496088801"/>
      <w:bookmarkStart w:id="91" w:name="_Toc523473891"/>
      <w:bookmarkStart w:id="92" w:name="_Toc22304707"/>
      <w:bookmarkStart w:id="93" w:name="_Toc22487035"/>
      <w:bookmarkStart w:id="94" w:name="_Toc22487154"/>
      <w:bookmarkStart w:id="95" w:name="_Toc85542756"/>
      <w:r w:rsidRPr="005C2266">
        <w:rPr>
          <w:rFonts w:asciiTheme="minorHAnsi" w:hAnsiTheme="minorHAnsi" w:cstheme="minorHAnsi"/>
        </w:rPr>
        <w:t>Arrangements</w:t>
      </w:r>
      <w:r w:rsidR="00452B7E" w:rsidRPr="005C2266">
        <w:rPr>
          <w:rFonts w:asciiTheme="minorHAnsi" w:hAnsiTheme="minorHAnsi" w:cstheme="minorHAnsi"/>
        </w:rPr>
        <w:t xml:space="preserve">/adjustments </w:t>
      </w:r>
      <w:r w:rsidRPr="005C2266">
        <w:rPr>
          <w:rFonts w:asciiTheme="minorHAnsi" w:hAnsiTheme="minorHAnsi" w:cstheme="minorHAnsi"/>
        </w:rPr>
        <w:t>requiring awarding body approval</w:t>
      </w:r>
      <w:bookmarkEnd w:id="90"/>
      <w:bookmarkEnd w:id="91"/>
      <w:bookmarkEnd w:id="92"/>
      <w:bookmarkEnd w:id="93"/>
      <w:bookmarkEnd w:id="94"/>
      <w:bookmarkEnd w:id="95"/>
    </w:p>
    <w:p w14:paraId="413F8020" w14:textId="3A9990AA" w:rsidR="00844861" w:rsidRPr="005C2266" w:rsidRDefault="00844861" w:rsidP="00233410">
      <w:pPr>
        <w:pStyle w:val="NormalWeb"/>
        <w:spacing w:before="0" w:beforeAutospacing="0" w:after="120" w:afterAutospacing="0" w:line="276" w:lineRule="auto"/>
        <w:rPr>
          <w:rFonts w:asciiTheme="minorHAnsi" w:hAnsiTheme="minorHAnsi" w:cstheme="minorHAnsi"/>
          <w:sz w:val="24"/>
        </w:rPr>
      </w:pPr>
      <w:r w:rsidRPr="005C2266">
        <w:rPr>
          <w:rFonts w:asciiTheme="minorHAnsi" w:hAnsiTheme="minorHAnsi" w:cstheme="minorHAnsi"/>
          <w:iCs/>
          <w:sz w:val="20"/>
          <w:szCs w:val="20"/>
        </w:rPr>
        <w:t>Access arrangements online</w:t>
      </w:r>
      <w:r w:rsidRPr="005C2266">
        <w:rPr>
          <w:rFonts w:asciiTheme="minorHAnsi" w:hAnsiTheme="minorHAnsi" w:cstheme="minorHAnsi"/>
        </w:rPr>
        <w:t xml:space="preserve"> </w:t>
      </w:r>
      <w:r w:rsidRPr="005C2266">
        <w:rPr>
          <w:rFonts w:asciiTheme="minorHAnsi" w:hAnsiTheme="minorHAnsi" w:cstheme="minorHAnsi"/>
          <w:sz w:val="20"/>
          <w:szCs w:val="20"/>
        </w:rPr>
        <w:t>(AAO</w:t>
      </w:r>
      <w:r w:rsidRPr="005C2266">
        <w:rPr>
          <w:rFonts w:asciiTheme="minorHAnsi" w:hAnsiTheme="minorHAnsi" w:cstheme="minorHAnsi"/>
        </w:rPr>
        <w:t xml:space="preserve">) is a tool provided by </w:t>
      </w:r>
      <w:r w:rsidRPr="005C2266">
        <w:rPr>
          <w:rFonts w:asciiTheme="minorHAnsi" w:hAnsiTheme="minorHAnsi" w:cstheme="minorHAnsi"/>
          <w:sz w:val="20"/>
          <w:szCs w:val="20"/>
        </w:rPr>
        <w:t>JCQ</w:t>
      </w:r>
      <w:r w:rsidRPr="005C2266">
        <w:rPr>
          <w:rFonts w:asciiTheme="minorHAnsi" w:hAnsiTheme="minorHAnsi" w:cstheme="minorHAnsi"/>
        </w:rPr>
        <w:t xml:space="preserve"> member awarding bodies for centres to apply for required access arrangement approval for the qualifications </w:t>
      </w:r>
      <w:r w:rsidR="002660C5" w:rsidRPr="005C2266">
        <w:rPr>
          <w:rFonts w:asciiTheme="minorHAnsi" w:hAnsiTheme="minorHAnsi" w:cstheme="minorHAnsi"/>
        </w:rPr>
        <w:t>covered by the tool</w:t>
      </w:r>
      <w:r w:rsidRPr="005C2266">
        <w:rPr>
          <w:rFonts w:asciiTheme="minorHAnsi" w:hAnsiTheme="minorHAnsi" w:cstheme="minorHAnsi"/>
        </w:rPr>
        <w:t xml:space="preserve">. This tool also provides the facility to order modified papers for those qualifications </w:t>
      </w:r>
      <w:r w:rsidR="00233410" w:rsidRPr="005C2266">
        <w:rPr>
          <w:rFonts w:asciiTheme="minorHAnsi" w:hAnsiTheme="minorHAnsi" w:cstheme="minorHAnsi"/>
        </w:rPr>
        <w:t>included</w:t>
      </w:r>
      <w:r w:rsidRPr="005C2266">
        <w:rPr>
          <w:rFonts w:asciiTheme="minorHAnsi" w:hAnsiTheme="minorHAnsi" w:cstheme="minorHAnsi"/>
        </w:rPr>
        <w:t>.</w:t>
      </w:r>
      <w:r w:rsidR="00233410" w:rsidRPr="005C2266">
        <w:rPr>
          <w:rFonts w:asciiTheme="minorHAnsi" w:hAnsiTheme="minorHAnsi" w:cstheme="minorHAnsi"/>
        </w:rPr>
        <w:t xml:space="preserve"> </w:t>
      </w:r>
      <w:r w:rsidR="00233410" w:rsidRPr="005C2266">
        <w:rPr>
          <w:rFonts w:asciiTheme="minorHAnsi" w:hAnsiTheme="minorHAnsi" w:cstheme="minorHAnsi"/>
          <w:color w:val="595959" w:themeColor="text1" w:themeTint="A6"/>
          <w:sz w:val="20"/>
          <w:szCs w:val="20"/>
        </w:rPr>
        <w:t xml:space="preserve">(Refer to </w:t>
      </w:r>
      <w:hyperlink r:id="rId27" w:history="1">
        <w:r w:rsidR="00233410" w:rsidRPr="005C2266">
          <w:rPr>
            <w:rStyle w:val="Hyperlink"/>
            <w:rFonts w:asciiTheme="minorHAnsi" w:hAnsiTheme="minorHAnsi" w:cstheme="minorHAnsi"/>
            <w:sz w:val="20"/>
            <w:szCs w:val="20"/>
            <w:u w:val="none"/>
          </w:rPr>
          <w:t>AA</w:t>
        </w:r>
      </w:hyperlink>
      <w:r w:rsidR="00233410" w:rsidRPr="005C2266">
        <w:rPr>
          <w:rStyle w:val="Hyperlink"/>
          <w:rFonts w:asciiTheme="minorHAnsi" w:hAnsiTheme="minorHAnsi" w:cstheme="minorHAnsi"/>
          <w:color w:val="595959" w:themeColor="text1" w:themeTint="A6"/>
          <w:sz w:val="20"/>
          <w:szCs w:val="20"/>
          <w:u w:val="none"/>
        </w:rPr>
        <w:t xml:space="preserve">, (chapter 8) </w:t>
      </w:r>
      <w:r w:rsidR="00452B7E" w:rsidRPr="005C2266">
        <w:rPr>
          <w:rStyle w:val="Hyperlink"/>
          <w:rFonts w:asciiTheme="minorHAnsi" w:hAnsiTheme="minorHAnsi" w:cstheme="minorHAnsi"/>
          <w:color w:val="595959" w:themeColor="text1" w:themeTint="A6"/>
          <w:sz w:val="20"/>
          <w:szCs w:val="20"/>
          <w:u w:val="none"/>
        </w:rPr>
        <w:t>(</w:t>
      </w:r>
      <w:r w:rsidR="00233410" w:rsidRPr="005C2266">
        <w:rPr>
          <w:rFonts w:asciiTheme="minorHAnsi" w:hAnsiTheme="minorHAnsi" w:cstheme="minorHAnsi"/>
          <w:b/>
          <w:bCs/>
          <w:color w:val="595959" w:themeColor="text1" w:themeTint="A6"/>
          <w:sz w:val="20"/>
          <w:szCs w:val="20"/>
        </w:rPr>
        <w:t>Processing applications for access arrangements</w:t>
      </w:r>
      <w:r w:rsidR="00452B7E" w:rsidRPr="005C2266">
        <w:rPr>
          <w:rFonts w:asciiTheme="minorHAnsi" w:hAnsiTheme="minorHAnsi" w:cstheme="minorHAnsi"/>
          <w:b/>
          <w:bCs/>
          <w:color w:val="595959" w:themeColor="text1" w:themeTint="A6"/>
          <w:sz w:val="20"/>
          <w:szCs w:val="20"/>
        </w:rPr>
        <w:t xml:space="preserve"> and adjustments)</w:t>
      </w:r>
      <w:r w:rsidR="00233410" w:rsidRPr="005C2266">
        <w:rPr>
          <w:rFonts w:asciiTheme="minorHAnsi" w:hAnsiTheme="minorHAnsi" w:cstheme="minorHAnsi"/>
          <w:b/>
          <w:bCs/>
          <w:color w:val="595959" w:themeColor="text1" w:themeTint="A6"/>
          <w:sz w:val="20"/>
          <w:szCs w:val="20"/>
        </w:rPr>
        <w:t xml:space="preserve"> </w:t>
      </w:r>
      <w:r w:rsidR="00233410" w:rsidRPr="005C2266">
        <w:rPr>
          <w:rFonts w:asciiTheme="minorHAnsi" w:hAnsiTheme="minorHAnsi" w:cstheme="minorHAnsi"/>
          <w:color w:val="595959" w:themeColor="text1" w:themeTint="A6"/>
          <w:sz w:val="20"/>
          <w:szCs w:val="20"/>
        </w:rPr>
        <w:t>and chapter 6</w:t>
      </w:r>
      <w:r w:rsidR="00233410" w:rsidRPr="005C2266">
        <w:rPr>
          <w:rFonts w:asciiTheme="minorHAnsi" w:hAnsiTheme="minorHAnsi" w:cstheme="minorHAnsi"/>
          <w:b/>
          <w:bCs/>
          <w:color w:val="595959" w:themeColor="text1" w:themeTint="A6"/>
          <w:sz w:val="20"/>
          <w:szCs w:val="20"/>
        </w:rPr>
        <w:t xml:space="preserve"> </w:t>
      </w:r>
      <w:r w:rsidR="00452B7E" w:rsidRPr="005C2266">
        <w:rPr>
          <w:rFonts w:asciiTheme="minorHAnsi" w:hAnsiTheme="minorHAnsi" w:cstheme="minorHAnsi"/>
          <w:b/>
          <w:bCs/>
          <w:color w:val="595959" w:themeColor="text1" w:themeTint="A6"/>
          <w:sz w:val="20"/>
          <w:szCs w:val="20"/>
        </w:rPr>
        <w:t>(</w:t>
      </w:r>
      <w:r w:rsidR="00233410" w:rsidRPr="005C2266">
        <w:rPr>
          <w:rFonts w:asciiTheme="minorHAnsi" w:hAnsiTheme="minorHAnsi" w:cstheme="minorHAnsi"/>
          <w:b/>
          <w:bCs/>
          <w:color w:val="595959" w:themeColor="text1" w:themeTint="A6"/>
          <w:sz w:val="20"/>
          <w:szCs w:val="20"/>
        </w:rPr>
        <w:t>Modified papers</w:t>
      </w:r>
      <w:r w:rsidR="00233410" w:rsidRPr="005C2266">
        <w:rPr>
          <w:rFonts w:asciiTheme="minorHAnsi" w:hAnsiTheme="minorHAnsi" w:cstheme="minorHAnsi"/>
          <w:color w:val="595959" w:themeColor="text1" w:themeTint="A6"/>
          <w:sz w:val="20"/>
          <w:szCs w:val="20"/>
        </w:rPr>
        <w:t>)</w:t>
      </w:r>
      <w:r w:rsidR="00233410" w:rsidRPr="005C2266">
        <w:rPr>
          <w:rFonts w:asciiTheme="minorHAnsi" w:hAnsiTheme="minorHAnsi" w:cstheme="minorHAnsi"/>
          <w:b/>
          <w:bCs/>
          <w:color w:val="595959" w:themeColor="text1" w:themeTint="A6"/>
          <w:sz w:val="32"/>
          <w:szCs w:val="32"/>
        </w:rPr>
        <w:t xml:space="preserve"> </w:t>
      </w:r>
    </w:p>
    <w:p w14:paraId="3C232DC8" w14:textId="5E5BC0BC" w:rsidR="00844861" w:rsidRPr="005C2266" w:rsidRDefault="00844861" w:rsidP="00844861">
      <w:pPr>
        <w:autoSpaceDE w:val="0"/>
        <w:autoSpaceDN w:val="0"/>
        <w:adjustRightInd w:val="0"/>
        <w:spacing w:line="276" w:lineRule="auto"/>
        <w:jc w:val="both"/>
        <w:rPr>
          <w:rFonts w:asciiTheme="minorHAnsi" w:hAnsiTheme="minorHAnsi" w:cstheme="minorHAnsi"/>
          <w:szCs w:val="24"/>
        </w:rPr>
      </w:pPr>
      <w:r w:rsidRPr="005C2266">
        <w:rPr>
          <w:rFonts w:asciiTheme="minorHAnsi" w:hAnsiTheme="minorHAnsi" w:cstheme="minorHAnsi"/>
          <w:sz w:val="20"/>
          <w:szCs w:val="20"/>
        </w:rPr>
        <w:t>AAO</w:t>
      </w:r>
      <w:r w:rsidRPr="005C2266">
        <w:rPr>
          <w:rFonts w:asciiTheme="minorHAnsi" w:hAnsiTheme="minorHAnsi" w:cstheme="minorHAnsi"/>
          <w:szCs w:val="24"/>
        </w:rPr>
        <w:t xml:space="preserve"> is accessed </w:t>
      </w:r>
      <w:r w:rsidR="00D049CA" w:rsidRPr="005C2266">
        <w:rPr>
          <w:rFonts w:asciiTheme="minorHAnsi" w:hAnsiTheme="minorHAnsi" w:cstheme="minorHAnsi"/>
          <w:szCs w:val="24"/>
        </w:rPr>
        <w:t xml:space="preserve">within the </w:t>
      </w:r>
      <w:r w:rsidR="00D049CA" w:rsidRPr="005C2266">
        <w:rPr>
          <w:rFonts w:asciiTheme="minorHAnsi" w:hAnsiTheme="minorHAnsi" w:cstheme="minorHAnsi"/>
          <w:sz w:val="20"/>
          <w:szCs w:val="20"/>
        </w:rPr>
        <w:t>JCQ Centre Admin Portal (CAP)</w:t>
      </w:r>
      <w:r w:rsidR="00D049CA" w:rsidRPr="005C2266">
        <w:rPr>
          <w:rFonts w:asciiTheme="minorHAnsi" w:hAnsiTheme="minorHAnsi" w:cstheme="minorHAnsi"/>
          <w:szCs w:val="24"/>
        </w:rPr>
        <w:t xml:space="preserve"> </w:t>
      </w:r>
      <w:r w:rsidRPr="005C2266">
        <w:rPr>
          <w:rFonts w:asciiTheme="minorHAnsi" w:hAnsiTheme="minorHAnsi" w:cstheme="minorHAnsi"/>
          <w:szCs w:val="24"/>
        </w:rPr>
        <w:t xml:space="preserve">by logging in to </w:t>
      </w:r>
      <w:r w:rsidR="00D049CA" w:rsidRPr="005C2266">
        <w:rPr>
          <w:rFonts w:asciiTheme="minorHAnsi" w:hAnsiTheme="minorHAnsi" w:cstheme="minorHAnsi"/>
          <w:szCs w:val="24"/>
        </w:rPr>
        <w:t xml:space="preserve">one </w:t>
      </w:r>
      <w:r w:rsidRPr="005C2266">
        <w:rPr>
          <w:rFonts w:asciiTheme="minorHAnsi" w:hAnsiTheme="minorHAnsi" w:cstheme="minorHAnsi"/>
          <w:szCs w:val="24"/>
        </w:rPr>
        <w:t xml:space="preserve">of the awarding body secure extranet sites. A single application </w:t>
      </w:r>
      <w:r w:rsidR="00233410" w:rsidRPr="005C2266">
        <w:rPr>
          <w:rFonts w:asciiTheme="minorHAnsi" w:hAnsiTheme="minorHAnsi" w:cstheme="minorHAnsi"/>
          <w:szCs w:val="24"/>
        </w:rPr>
        <w:t xml:space="preserve">for approval </w:t>
      </w:r>
      <w:r w:rsidRPr="005C2266">
        <w:rPr>
          <w:rFonts w:asciiTheme="minorHAnsi" w:hAnsiTheme="minorHAnsi" w:cstheme="minorHAnsi"/>
          <w:szCs w:val="24"/>
        </w:rPr>
        <w:t xml:space="preserve">is required for each candidate regardless of the awarding body used. </w:t>
      </w:r>
    </w:p>
    <w:p w14:paraId="6BA20AC9" w14:textId="25605610" w:rsidR="00844861" w:rsidRPr="005C2266" w:rsidRDefault="00844861" w:rsidP="00844861">
      <w:pPr>
        <w:pStyle w:val="Headinglevel2"/>
        <w:spacing w:before="240" w:after="120" w:line="276" w:lineRule="auto"/>
        <w:rPr>
          <w:rFonts w:asciiTheme="minorHAnsi" w:hAnsiTheme="minorHAnsi" w:cstheme="minorHAnsi"/>
        </w:rPr>
      </w:pPr>
      <w:bookmarkStart w:id="96" w:name="_Toc466921637"/>
      <w:bookmarkStart w:id="97" w:name="_Toc490083862"/>
      <w:bookmarkStart w:id="98" w:name="_Toc496088802"/>
      <w:bookmarkStart w:id="99" w:name="_Toc523473892"/>
      <w:bookmarkStart w:id="100" w:name="_Toc22304708"/>
      <w:bookmarkStart w:id="101" w:name="_Toc22487036"/>
      <w:bookmarkStart w:id="102" w:name="_Toc22487155"/>
      <w:bookmarkStart w:id="103" w:name="_Toc85542757"/>
      <w:bookmarkStart w:id="104" w:name="_Toc449469100"/>
      <w:r w:rsidRPr="005C2266">
        <w:rPr>
          <w:rFonts w:asciiTheme="minorHAnsi" w:hAnsiTheme="minorHAnsi" w:cstheme="minorHAnsi"/>
        </w:rPr>
        <w:t>Centre-delegated arrangements</w:t>
      </w:r>
      <w:bookmarkEnd w:id="96"/>
      <w:bookmarkEnd w:id="97"/>
      <w:bookmarkEnd w:id="98"/>
      <w:bookmarkEnd w:id="99"/>
      <w:bookmarkEnd w:id="100"/>
      <w:bookmarkEnd w:id="101"/>
      <w:bookmarkEnd w:id="102"/>
      <w:bookmarkEnd w:id="103"/>
      <w:r w:rsidR="00452B7E" w:rsidRPr="005C2266">
        <w:rPr>
          <w:rFonts w:asciiTheme="minorHAnsi" w:hAnsiTheme="minorHAnsi" w:cstheme="minorHAnsi"/>
        </w:rPr>
        <w:t>/adjustments</w:t>
      </w:r>
    </w:p>
    <w:tbl>
      <w:tblPr>
        <w:tblStyle w:val="TableGrid"/>
        <w:tblW w:w="0" w:type="auto"/>
        <w:tblInd w:w="720" w:type="dxa"/>
        <w:tblLook w:val="04A0" w:firstRow="1" w:lastRow="0" w:firstColumn="1" w:lastColumn="0" w:noHBand="0" w:noVBand="1"/>
      </w:tblPr>
      <w:tblGrid>
        <w:gridCol w:w="9322"/>
      </w:tblGrid>
      <w:tr w:rsidR="00844861" w:rsidRPr="005C2266" w14:paraId="77ADF3A1" w14:textId="77777777" w:rsidTr="00377406">
        <w:tc>
          <w:tcPr>
            <w:tcW w:w="9548" w:type="dxa"/>
          </w:tcPr>
          <w:p w14:paraId="4284B203" w14:textId="6FF8701F" w:rsidR="00844861" w:rsidRPr="00E62120" w:rsidRDefault="00E62120" w:rsidP="00377406">
            <w:pPr>
              <w:spacing w:line="276" w:lineRule="auto"/>
              <w:rPr>
                <w:rFonts w:asciiTheme="minorHAnsi" w:hAnsiTheme="minorHAnsi" w:cstheme="minorHAnsi"/>
              </w:rPr>
            </w:pPr>
            <w:r w:rsidRPr="00E62120">
              <w:rPr>
                <w:rFonts w:asciiTheme="minorHAnsi" w:hAnsiTheme="minorHAnsi" w:cstheme="minorHAnsi"/>
                <w:color w:val="000000"/>
                <w:shd w:val="clear" w:color="auto" w:fill="FFFFFF"/>
              </w:rPr>
              <w:t xml:space="preserve">As a school we use the same approach to centre-delegated adjustments.  These are in </w:t>
            </w:r>
            <w:proofErr w:type="gramStart"/>
            <w:r w:rsidRPr="00E62120">
              <w:rPr>
                <w:rFonts w:asciiTheme="minorHAnsi" w:hAnsiTheme="minorHAnsi" w:cstheme="minorHAnsi"/>
                <w:color w:val="000000"/>
                <w:shd w:val="clear" w:color="auto" w:fill="FFFFFF"/>
              </w:rPr>
              <w:t>class,</w:t>
            </w:r>
            <w:proofErr w:type="gramEnd"/>
            <w:r w:rsidRPr="00E62120">
              <w:rPr>
                <w:rFonts w:asciiTheme="minorHAnsi" w:hAnsiTheme="minorHAnsi" w:cstheme="minorHAnsi"/>
                <w:color w:val="000000"/>
                <w:shd w:val="clear" w:color="auto" w:fill="FFFFFF"/>
              </w:rPr>
              <w:t xml:space="preserve"> we ask for teaching staff to confirm students require these arrangements.  We use a formal letter to paint a picture of need for students using centre delegated arrangements.  We endeavour to review these arrangements yearly leading up to K</w:t>
            </w:r>
            <w:r>
              <w:rPr>
                <w:rFonts w:asciiTheme="minorHAnsi" w:hAnsiTheme="minorHAnsi" w:cstheme="minorHAnsi"/>
                <w:color w:val="000000"/>
                <w:shd w:val="clear" w:color="auto" w:fill="FFFFFF"/>
              </w:rPr>
              <w:t>ey Stage 4</w:t>
            </w:r>
            <w:r w:rsidRPr="00E62120">
              <w:rPr>
                <w:rFonts w:asciiTheme="minorHAnsi" w:hAnsiTheme="minorHAnsi" w:cstheme="minorHAnsi"/>
                <w:color w:val="000000"/>
                <w:shd w:val="clear" w:color="auto" w:fill="FFFFFF"/>
              </w:rPr>
              <w:t xml:space="preserve"> and then whilst accessing their K</w:t>
            </w:r>
            <w:r>
              <w:rPr>
                <w:rFonts w:asciiTheme="minorHAnsi" w:hAnsiTheme="minorHAnsi" w:cstheme="minorHAnsi"/>
                <w:color w:val="000000"/>
                <w:shd w:val="clear" w:color="auto" w:fill="FFFFFF"/>
              </w:rPr>
              <w:t xml:space="preserve">ey Stage </w:t>
            </w:r>
            <w:r w:rsidRPr="00E62120">
              <w:rPr>
                <w:rFonts w:asciiTheme="minorHAnsi" w:hAnsiTheme="minorHAnsi" w:cstheme="minorHAnsi"/>
                <w:color w:val="000000"/>
                <w:shd w:val="clear" w:color="auto" w:fill="FFFFFF"/>
              </w:rPr>
              <w:t>4 curriculum.</w:t>
            </w:r>
          </w:p>
        </w:tc>
      </w:tr>
    </w:tbl>
    <w:p w14:paraId="73470DAA" w14:textId="77777777" w:rsidR="00E62120" w:rsidRDefault="00E62120" w:rsidP="00844861">
      <w:pPr>
        <w:pStyle w:val="Headinglevel1"/>
        <w:spacing w:before="240" w:line="276" w:lineRule="auto"/>
        <w:rPr>
          <w:rFonts w:asciiTheme="minorHAnsi" w:hAnsiTheme="minorHAnsi" w:cstheme="minorHAnsi"/>
        </w:rPr>
      </w:pPr>
      <w:bookmarkStart w:id="105" w:name="_Toc490083863"/>
      <w:bookmarkStart w:id="106" w:name="_Toc496088803"/>
      <w:bookmarkStart w:id="107" w:name="_Toc523473893"/>
      <w:bookmarkStart w:id="108" w:name="_Toc22304709"/>
      <w:bookmarkStart w:id="109" w:name="_Toc22487037"/>
      <w:bookmarkStart w:id="110" w:name="_Toc22487156"/>
      <w:bookmarkStart w:id="111" w:name="_Toc85542758"/>
      <w:bookmarkStart w:id="112" w:name="_Toc443593730"/>
      <w:bookmarkStart w:id="113" w:name="_Toc466921638"/>
    </w:p>
    <w:p w14:paraId="67685FD2" w14:textId="28F2522B" w:rsidR="00844861" w:rsidRPr="005C2266" w:rsidRDefault="00844861" w:rsidP="00844861">
      <w:pPr>
        <w:pStyle w:val="Headinglevel1"/>
        <w:spacing w:before="240" w:line="276" w:lineRule="auto"/>
        <w:rPr>
          <w:rFonts w:asciiTheme="minorHAnsi" w:hAnsiTheme="minorHAnsi" w:cstheme="minorHAnsi"/>
        </w:rPr>
      </w:pPr>
      <w:r w:rsidRPr="005C2266">
        <w:rPr>
          <w:rFonts w:asciiTheme="minorHAnsi" w:hAnsiTheme="minorHAnsi" w:cstheme="minorHAnsi"/>
        </w:rPr>
        <w:t xml:space="preserve">Centre-specific criteria for </w:t>
      </w:r>
      <w:proofErr w:type="gramStart"/>
      <w:r w:rsidRPr="005C2266">
        <w:rPr>
          <w:rFonts w:asciiTheme="minorHAnsi" w:hAnsiTheme="minorHAnsi" w:cstheme="minorHAnsi"/>
        </w:rPr>
        <w:t>particular arrangements</w:t>
      </w:r>
      <w:bookmarkEnd w:id="105"/>
      <w:bookmarkEnd w:id="106"/>
      <w:bookmarkEnd w:id="107"/>
      <w:bookmarkEnd w:id="108"/>
      <w:bookmarkEnd w:id="109"/>
      <w:bookmarkEnd w:id="110"/>
      <w:bookmarkEnd w:id="111"/>
      <w:r w:rsidR="00452B7E" w:rsidRPr="005C2266">
        <w:rPr>
          <w:rFonts w:asciiTheme="minorHAnsi" w:hAnsiTheme="minorHAnsi" w:cstheme="minorHAnsi"/>
        </w:rPr>
        <w:t>/adjustments</w:t>
      </w:r>
      <w:proofErr w:type="gramEnd"/>
    </w:p>
    <w:p w14:paraId="2A30F0B4" w14:textId="5E9C7578" w:rsidR="00844861" w:rsidRPr="005C2266" w:rsidRDefault="00844861" w:rsidP="00844861">
      <w:pPr>
        <w:pStyle w:val="Headinglevel2"/>
        <w:spacing w:before="240" w:after="120" w:line="276" w:lineRule="auto"/>
        <w:rPr>
          <w:rFonts w:asciiTheme="minorHAnsi" w:hAnsiTheme="minorHAnsi" w:cstheme="minorHAnsi"/>
        </w:rPr>
      </w:pPr>
      <w:bookmarkStart w:id="114" w:name="_Toc490083864"/>
      <w:bookmarkStart w:id="115" w:name="_Toc496088804"/>
      <w:bookmarkStart w:id="116" w:name="_Toc523473894"/>
      <w:bookmarkStart w:id="117" w:name="_Toc22304710"/>
      <w:bookmarkStart w:id="118" w:name="_Toc22487038"/>
      <w:bookmarkStart w:id="119" w:name="_Toc22487157"/>
      <w:bookmarkStart w:id="120" w:name="_Toc85542759"/>
      <w:r w:rsidRPr="005C2266">
        <w:rPr>
          <w:rFonts w:asciiTheme="minorHAnsi" w:hAnsiTheme="minorHAnsi" w:cstheme="minorHAnsi"/>
        </w:rPr>
        <w:t xml:space="preserve">Word </w:t>
      </w:r>
      <w:r w:rsidR="009924A0" w:rsidRPr="005C2266">
        <w:rPr>
          <w:rFonts w:asciiTheme="minorHAnsi" w:hAnsiTheme="minorHAnsi" w:cstheme="minorHAnsi"/>
        </w:rPr>
        <w:t>P</w:t>
      </w:r>
      <w:r w:rsidRPr="005C2266">
        <w:rPr>
          <w:rFonts w:asciiTheme="minorHAnsi" w:hAnsiTheme="minorHAnsi" w:cstheme="minorHAnsi"/>
        </w:rPr>
        <w:t xml:space="preserve">rocessor </w:t>
      </w:r>
      <w:r w:rsidR="009924A0" w:rsidRPr="005C2266">
        <w:rPr>
          <w:rFonts w:asciiTheme="minorHAnsi" w:hAnsiTheme="minorHAnsi" w:cstheme="minorHAnsi"/>
        </w:rPr>
        <w:t>P</w:t>
      </w:r>
      <w:r w:rsidRPr="005C2266">
        <w:rPr>
          <w:rFonts w:asciiTheme="minorHAnsi" w:hAnsiTheme="minorHAnsi" w:cstheme="minorHAnsi"/>
        </w:rPr>
        <w:t>olicy</w:t>
      </w:r>
      <w:bookmarkEnd w:id="112"/>
      <w:bookmarkEnd w:id="113"/>
      <w:bookmarkEnd w:id="114"/>
      <w:r w:rsidRPr="005C2266">
        <w:rPr>
          <w:rFonts w:asciiTheme="minorHAnsi" w:hAnsiTheme="minorHAnsi" w:cstheme="minorHAnsi"/>
        </w:rPr>
        <w:t xml:space="preserve"> (</w:t>
      </w:r>
      <w:r w:rsidR="009924A0" w:rsidRPr="005C2266">
        <w:rPr>
          <w:rFonts w:asciiTheme="minorHAnsi" w:hAnsiTheme="minorHAnsi" w:cstheme="minorHAnsi"/>
        </w:rPr>
        <w:t>E</w:t>
      </w:r>
      <w:r w:rsidRPr="005C2266">
        <w:rPr>
          <w:rFonts w:asciiTheme="minorHAnsi" w:hAnsiTheme="minorHAnsi" w:cstheme="minorHAnsi"/>
        </w:rPr>
        <w:t>xams)</w:t>
      </w:r>
      <w:bookmarkEnd w:id="115"/>
      <w:bookmarkEnd w:id="116"/>
      <w:bookmarkEnd w:id="117"/>
      <w:bookmarkEnd w:id="118"/>
      <w:bookmarkEnd w:id="119"/>
      <w:bookmarkEnd w:id="120"/>
    </w:p>
    <w:p w14:paraId="328EF512" w14:textId="751F1AA5" w:rsidR="00844861" w:rsidRPr="005C2266" w:rsidRDefault="00844861" w:rsidP="00844861">
      <w:pPr>
        <w:spacing w:line="276" w:lineRule="auto"/>
        <w:jc w:val="both"/>
        <w:rPr>
          <w:rFonts w:asciiTheme="minorHAnsi" w:hAnsiTheme="minorHAnsi" w:cstheme="minorHAnsi"/>
          <w:szCs w:val="24"/>
        </w:rPr>
      </w:pPr>
      <w:r w:rsidRPr="005C2266">
        <w:rPr>
          <w:rFonts w:asciiTheme="minorHAnsi" w:hAnsiTheme="minorHAnsi" w:cstheme="minorHAnsi"/>
          <w:szCs w:val="24"/>
        </w:rPr>
        <w:t>An exam candidate may be approved the use of a word processor where this is appropriate to the candidate’s needs and not simply because the candidate</w:t>
      </w:r>
      <w:r w:rsidR="00452B7E" w:rsidRPr="005C2266">
        <w:rPr>
          <w:rFonts w:asciiTheme="minorHAnsi" w:hAnsiTheme="minorHAnsi" w:cstheme="minorHAnsi"/>
          <w:szCs w:val="24"/>
        </w:rPr>
        <w:t xml:space="preserve"> now wants to type rather than write in exams or can work faster on a keyboard, or because they use a laptop at home. The use of a word processor must reflect the </w:t>
      </w:r>
      <w:proofErr w:type="gramStart"/>
      <w:r w:rsidR="00452B7E" w:rsidRPr="005C2266">
        <w:rPr>
          <w:rFonts w:asciiTheme="minorHAnsi" w:hAnsiTheme="minorHAnsi" w:cstheme="minorHAnsi"/>
          <w:szCs w:val="24"/>
        </w:rPr>
        <w:t>candidates</w:t>
      </w:r>
      <w:proofErr w:type="gramEnd"/>
      <w:r w:rsidR="00452B7E" w:rsidRPr="005C2266">
        <w:rPr>
          <w:rFonts w:asciiTheme="minorHAnsi" w:hAnsiTheme="minorHAnsi" w:cstheme="minorHAnsi"/>
          <w:szCs w:val="24"/>
        </w:rPr>
        <w:t xml:space="preserve"> normal way of working within the centre.</w:t>
      </w:r>
      <w:r w:rsidRPr="005C2266">
        <w:rPr>
          <w:rFonts w:asciiTheme="minorHAnsi" w:hAnsiTheme="minorHAnsi" w:cstheme="minorHAnsi"/>
          <w:szCs w:val="24"/>
        </w:rPr>
        <w:t xml:space="preserve"> </w:t>
      </w:r>
    </w:p>
    <w:tbl>
      <w:tblPr>
        <w:tblStyle w:val="TableGrid"/>
        <w:tblW w:w="0" w:type="auto"/>
        <w:tblInd w:w="675" w:type="dxa"/>
        <w:tblLook w:val="04A0" w:firstRow="1" w:lastRow="0" w:firstColumn="1" w:lastColumn="0" w:noHBand="0" w:noVBand="1"/>
      </w:tblPr>
      <w:tblGrid>
        <w:gridCol w:w="9367"/>
      </w:tblGrid>
      <w:tr w:rsidR="00844861" w:rsidRPr="005C2266" w14:paraId="21BF6BD1" w14:textId="77777777" w:rsidTr="00377406">
        <w:tc>
          <w:tcPr>
            <w:tcW w:w="9604" w:type="dxa"/>
          </w:tcPr>
          <w:p w14:paraId="6BBBE14E" w14:textId="6A55AAFB" w:rsidR="00E21577" w:rsidRPr="00E62120" w:rsidRDefault="00907224" w:rsidP="00E62120">
            <w:pPr>
              <w:spacing w:line="276" w:lineRule="auto"/>
              <w:jc w:val="both"/>
              <w:rPr>
                <w:rFonts w:asciiTheme="minorHAnsi" w:hAnsiTheme="minorHAnsi" w:cstheme="minorHAnsi"/>
              </w:rPr>
            </w:pPr>
            <w:r w:rsidRPr="005C2266">
              <w:rPr>
                <w:rFonts w:asciiTheme="minorHAnsi" w:hAnsiTheme="minorHAnsi" w:cstheme="minorHAnsi"/>
              </w:rPr>
              <w:t>The Exam Word Processor Policy document is included as an appendix in this document and is also kept in a locked filing cabinet in the SENCO’s office.</w:t>
            </w:r>
          </w:p>
        </w:tc>
      </w:tr>
    </w:tbl>
    <w:p w14:paraId="4797FBC7" w14:textId="1FF6796B" w:rsidR="00844861" w:rsidRPr="005C2266" w:rsidRDefault="00844861" w:rsidP="00844861">
      <w:pPr>
        <w:pStyle w:val="Headinglevel2"/>
        <w:spacing w:before="240" w:after="120" w:line="276" w:lineRule="auto"/>
        <w:rPr>
          <w:rFonts w:asciiTheme="minorHAnsi" w:hAnsiTheme="minorHAnsi" w:cstheme="minorHAnsi"/>
        </w:rPr>
      </w:pPr>
      <w:bookmarkStart w:id="121" w:name="_Toc443593731"/>
      <w:bookmarkStart w:id="122" w:name="_Toc466921639"/>
      <w:bookmarkStart w:id="123" w:name="_Toc490083865"/>
      <w:bookmarkStart w:id="124" w:name="_Toc496088805"/>
      <w:bookmarkStart w:id="125" w:name="_Toc523473895"/>
      <w:bookmarkStart w:id="126" w:name="_Toc22304711"/>
      <w:bookmarkStart w:id="127" w:name="_Toc22487039"/>
      <w:bookmarkStart w:id="128" w:name="_Toc22487158"/>
      <w:bookmarkStart w:id="129" w:name="_Toc85542760"/>
      <w:r w:rsidRPr="005C2266">
        <w:rPr>
          <w:rFonts w:asciiTheme="minorHAnsi" w:hAnsiTheme="minorHAnsi" w:cstheme="minorHAnsi"/>
        </w:rPr>
        <w:t xml:space="preserve">Separate </w:t>
      </w:r>
      <w:bookmarkEnd w:id="121"/>
      <w:bookmarkEnd w:id="122"/>
      <w:bookmarkEnd w:id="123"/>
      <w:bookmarkEnd w:id="124"/>
      <w:bookmarkEnd w:id="125"/>
      <w:bookmarkEnd w:id="126"/>
      <w:bookmarkEnd w:id="127"/>
      <w:bookmarkEnd w:id="128"/>
      <w:r w:rsidR="00930D38" w:rsidRPr="005C2266">
        <w:rPr>
          <w:rFonts w:asciiTheme="minorHAnsi" w:hAnsiTheme="minorHAnsi" w:cstheme="minorHAnsi"/>
        </w:rPr>
        <w:t>Invigilation Policy</w:t>
      </w:r>
      <w:bookmarkEnd w:id="129"/>
    </w:p>
    <w:p w14:paraId="2CA2ECBE" w14:textId="545F6002" w:rsidR="00844861" w:rsidRPr="005C2266" w:rsidRDefault="00844861" w:rsidP="007D36D5">
      <w:pPr>
        <w:spacing w:line="276" w:lineRule="auto"/>
        <w:jc w:val="center"/>
        <w:rPr>
          <w:rFonts w:asciiTheme="minorHAnsi" w:hAnsiTheme="minorHAnsi" w:cstheme="minorHAnsi"/>
          <w:szCs w:val="24"/>
        </w:rPr>
      </w:pPr>
      <w:r w:rsidRPr="005C2266">
        <w:rPr>
          <w:rFonts w:asciiTheme="minorHAnsi" w:hAnsiTheme="minorHAnsi" w:cstheme="minorHAnsi"/>
          <w:szCs w:val="24"/>
        </w:rPr>
        <w:t xml:space="preserve">A decision where an exam candidate may be approved separate invigilation within the centre will be made by the </w:t>
      </w:r>
      <w:r w:rsidR="00930D38" w:rsidRPr="005C2266">
        <w:rPr>
          <w:rFonts w:asciiTheme="minorHAnsi" w:hAnsiTheme="minorHAnsi" w:cstheme="minorHAnsi"/>
          <w:szCs w:val="24"/>
        </w:rPr>
        <w:t>ALS lead/</w:t>
      </w:r>
      <w:r w:rsidRPr="005C2266">
        <w:rPr>
          <w:rFonts w:asciiTheme="minorHAnsi" w:hAnsiTheme="minorHAnsi" w:cstheme="minorHAnsi"/>
          <w:szCs w:val="24"/>
        </w:rPr>
        <w:t>SENCo</w:t>
      </w:r>
      <w:r w:rsidR="007D36D5" w:rsidRPr="005C2266">
        <w:rPr>
          <w:rFonts w:asciiTheme="minorHAnsi" w:hAnsiTheme="minorHAnsi" w:cstheme="minorHAnsi"/>
          <w:szCs w:val="24"/>
        </w:rPr>
        <w:t xml:space="preserve"> in conjunction with the Exams Officer</w:t>
      </w:r>
      <w:r w:rsidRPr="005C2266">
        <w:rPr>
          <w:rFonts w:asciiTheme="minorHAnsi" w:hAnsiTheme="minorHAnsi" w:cstheme="minorHAnsi"/>
          <w:szCs w:val="24"/>
        </w:rPr>
        <w:t>.</w:t>
      </w:r>
    </w:p>
    <w:p w14:paraId="0160FAA3" w14:textId="7566B89A" w:rsidR="00844861" w:rsidRPr="005C2266" w:rsidRDefault="00844861" w:rsidP="00844861">
      <w:pPr>
        <w:spacing w:line="276" w:lineRule="auto"/>
        <w:jc w:val="both"/>
        <w:rPr>
          <w:rFonts w:asciiTheme="minorHAnsi" w:hAnsiTheme="minorHAnsi" w:cstheme="minorHAnsi"/>
          <w:szCs w:val="24"/>
        </w:rPr>
      </w:pPr>
      <w:r w:rsidRPr="005C2266">
        <w:rPr>
          <w:rFonts w:asciiTheme="minorHAnsi" w:hAnsiTheme="minorHAnsi" w:cstheme="minorHAnsi"/>
          <w:szCs w:val="24"/>
        </w:rPr>
        <w:t>The decision will be based on</w:t>
      </w:r>
      <w:r w:rsidR="00A15719" w:rsidRPr="005C2266">
        <w:rPr>
          <w:rFonts w:asciiTheme="minorHAnsi" w:hAnsiTheme="minorHAnsi" w:cstheme="minorHAnsi"/>
          <w:szCs w:val="24"/>
        </w:rPr>
        <w:t>:</w:t>
      </w:r>
      <w:r w:rsidRPr="005C2266">
        <w:rPr>
          <w:rFonts w:asciiTheme="minorHAnsi" w:hAnsiTheme="minorHAnsi" w:cstheme="minorHAnsi"/>
          <w:szCs w:val="24"/>
        </w:rPr>
        <w:t xml:space="preserve"> </w:t>
      </w:r>
    </w:p>
    <w:p w14:paraId="1D9894F1" w14:textId="77777777" w:rsidR="008F395A" w:rsidRPr="005C2266" w:rsidRDefault="00844861" w:rsidP="00A25051">
      <w:pPr>
        <w:pStyle w:val="ListParagraph"/>
        <w:numPr>
          <w:ilvl w:val="0"/>
          <w:numId w:val="2"/>
        </w:numPr>
        <w:spacing w:line="276" w:lineRule="auto"/>
        <w:jc w:val="both"/>
        <w:rPr>
          <w:rFonts w:asciiTheme="minorHAnsi" w:hAnsiTheme="minorHAnsi" w:cstheme="minorHAnsi"/>
          <w:iCs/>
        </w:rPr>
      </w:pPr>
      <w:r w:rsidRPr="005C2266">
        <w:rPr>
          <w:rFonts w:asciiTheme="minorHAnsi" w:hAnsiTheme="minorHAnsi" w:cstheme="minorHAnsi"/>
          <w:iCs/>
        </w:rPr>
        <w:t xml:space="preserve">whether the candidate has a substantial and </w:t>
      </w:r>
      <w:proofErr w:type="gramStart"/>
      <w:r w:rsidRPr="005C2266">
        <w:rPr>
          <w:rFonts w:asciiTheme="minorHAnsi" w:hAnsiTheme="minorHAnsi" w:cstheme="minorHAnsi"/>
          <w:iCs/>
        </w:rPr>
        <w:t>long term</w:t>
      </w:r>
      <w:proofErr w:type="gramEnd"/>
      <w:r w:rsidRPr="005C2266">
        <w:rPr>
          <w:rFonts w:asciiTheme="minorHAnsi" w:hAnsiTheme="minorHAnsi" w:cstheme="minorHAnsi"/>
          <w:iCs/>
        </w:rPr>
        <w:t xml:space="preserve"> impairment which has an adverse effect;</w:t>
      </w:r>
    </w:p>
    <w:p w14:paraId="007BE8E1" w14:textId="33FD75AF" w:rsidR="00844861" w:rsidRPr="005C2266" w:rsidRDefault="00844861" w:rsidP="008F395A">
      <w:pPr>
        <w:pStyle w:val="ListParagraph"/>
        <w:spacing w:line="276" w:lineRule="auto"/>
        <w:jc w:val="both"/>
        <w:rPr>
          <w:rFonts w:asciiTheme="minorHAnsi" w:hAnsiTheme="minorHAnsi" w:cstheme="minorHAnsi"/>
          <w:iCs/>
        </w:rPr>
      </w:pPr>
      <w:r w:rsidRPr="005C2266">
        <w:rPr>
          <w:rFonts w:asciiTheme="minorHAnsi" w:hAnsiTheme="minorHAnsi" w:cstheme="minorHAnsi"/>
          <w:b/>
          <w:bCs/>
          <w:iCs/>
          <w:u w:val="single"/>
        </w:rPr>
        <w:t>and</w:t>
      </w:r>
      <w:r w:rsidRPr="005C2266">
        <w:rPr>
          <w:rFonts w:asciiTheme="minorHAnsi" w:hAnsiTheme="minorHAnsi" w:cstheme="minorHAnsi"/>
          <w:iCs/>
        </w:rPr>
        <w:t xml:space="preserve"> </w:t>
      </w:r>
    </w:p>
    <w:p w14:paraId="5C3C9EA8" w14:textId="1C97CC42" w:rsidR="00922CE8" w:rsidRPr="005C2266" w:rsidRDefault="00844861" w:rsidP="00922CE8">
      <w:pPr>
        <w:pStyle w:val="ListParagraph"/>
        <w:numPr>
          <w:ilvl w:val="0"/>
          <w:numId w:val="2"/>
        </w:numPr>
        <w:spacing w:line="276" w:lineRule="auto"/>
        <w:jc w:val="both"/>
        <w:rPr>
          <w:rFonts w:asciiTheme="minorHAnsi" w:hAnsiTheme="minorHAnsi" w:cstheme="minorHAnsi"/>
        </w:rPr>
      </w:pPr>
      <w:r w:rsidRPr="005C2266">
        <w:rPr>
          <w:rFonts w:asciiTheme="minorHAnsi" w:hAnsiTheme="minorHAnsi" w:cstheme="minorHAnsi"/>
          <w:iCs/>
        </w:rPr>
        <w:t>the candidate’s normal way of working within the centre</w:t>
      </w:r>
      <w:r w:rsidR="00FB450E" w:rsidRPr="005C2266">
        <w:rPr>
          <w:rFonts w:asciiTheme="minorHAnsi" w:hAnsiTheme="minorHAnsi" w:cstheme="minorHAnsi"/>
          <w:b/>
          <w:bCs/>
        </w:rPr>
        <w:t xml:space="preserve"> </w:t>
      </w:r>
      <w:r w:rsidR="00922CE8" w:rsidRPr="005C2266">
        <w:rPr>
          <w:rFonts w:asciiTheme="minorHAnsi" w:hAnsiTheme="minorHAnsi" w:cstheme="minorHAnsi"/>
          <w:bCs/>
        </w:rPr>
        <w:t>(</w:t>
      </w:r>
      <w:hyperlink r:id="rId28" w:history="1">
        <w:r w:rsidRPr="005C2266">
          <w:rPr>
            <w:rStyle w:val="Hyperlink"/>
            <w:rFonts w:asciiTheme="minorHAnsi" w:hAnsiTheme="minorHAnsi" w:cstheme="minorHAnsi"/>
            <w:color w:val="auto"/>
            <w:u w:val="none"/>
          </w:rPr>
          <w:t>AA</w:t>
        </w:r>
      </w:hyperlink>
      <w:r w:rsidRPr="005C2266">
        <w:rPr>
          <w:rStyle w:val="Hyperlink"/>
          <w:rFonts w:asciiTheme="minorHAnsi" w:hAnsiTheme="minorHAnsi" w:cstheme="minorHAnsi"/>
          <w:color w:val="auto"/>
          <w:u w:val="none"/>
        </w:rPr>
        <w:t xml:space="preserve"> </w:t>
      </w:r>
      <w:r w:rsidR="00E21577">
        <w:rPr>
          <w:rStyle w:val="Hyperlink"/>
          <w:rFonts w:asciiTheme="minorHAnsi" w:hAnsiTheme="minorHAnsi" w:cstheme="minorHAnsi"/>
          <w:color w:val="auto"/>
          <w:u w:val="none"/>
        </w:rPr>
        <w:t xml:space="preserve">section </w:t>
      </w:r>
      <w:r w:rsidRPr="005C2266">
        <w:rPr>
          <w:rFonts w:asciiTheme="minorHAnsi" w:hAnsiTheme="minorHAnsi" w:cstheme="minorHAnsi"/>
        </w:rPr>
        <w:t>5.16</w:t>
      </w:r>
      <w:r w:rsidR="00922CE8" w:rsidRPr="005C2266">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9322"/>
      </w:tblGrid>
      <w:tr w:rsidR="00844861" w:rsidRPr="00E62120" w14:paraId="613DF73E" w14:textId="77777777" w:rsidTr="00377406">
        <w:tc>
          <w:tcPr>
            <w:tcW w:w="9548" w:type="dxa"/>
          </w:tcPr>
          <w:p w14:paraId="5B45EC98" w14:textId="77777777" w:rsidR="00E62120" w:rsidRPr="00E62120" w:rsidRDefault="00E62120" w:rsidP="00E62120">
            <w:pPr>
              <w:shd w:val="clear" w:color="auto" w:fill="FFFFFF"/>
              <w:spacing w:before="0" w:after="0"/>
              <w:textAlignment w:val="baseline"/>
              <w:rPr>
                <w:rFonts w:asciiTheme="minorHAnsi" w:eastAsia="Times New Roman" w:hAnsiTheme="minorHAnsi" w:cstheme="minorHAnsi"/>
                <w:color w:val="000000"/>
              </w:rPr>
            </w:pPr>
            <w:r w:rsidRPr="00E62120">
              <w:rPr>
                <w:rFonts w:asciiTheme="minorHAnsi" w:eastAsia="Times New Roman" w:hAnsiTheme="minorHAnsi" w:cstheme="minorHAnsi"/>
                <w:color w:val="000000"/>
              </w:rPr>
              <w:t>As a school students who use a separate exam room or smaller space, are students who are- </w:t>
            </w:r>
          </w:p>
          <w:p w14:paraId="249272CA" w14:textId="77777777" w:rsidR="00E62120" w:rsidRPr="00E62120" w:rsidRDefault="00E62120" w:rsidP="00E62120">
            <w:pPr>
              <w:shd w:val="clear" w:color="auto" w:fill="FFFFFF"/>
              <w:spacing w:before="0" w:after="0"/>
              <w:textAlignment w:val="baseline"/>
              <w:rPr>
                <w:rFonts w:asciiTheme="minorHAnsi" w:eastAsia="Times New Roman" w:hAnsiTheme="minorHAnsi" w:cstheme="minorHAnsi"/>
                <w:color w:val="000000"/>
              </w:rPr>
            </w:pPr>
          </w:p>
          <w:p w14:paraId="214A749E" w14:textId="77777777" w:rsidR="00E62120" w:rsidRPr="00E62120" w:rsidRDefault="00E62120" w:rsidP="00E62120">
            <w:pPr>
              <w:shd w:val="clear" w:color="auto" w:fill="FFFFFF"/>
              <w:spacing w:before="0" w:after="0"/>
              <w:textAlignment w:val="baseline"/>
              <w:rPr>
                <w:rFonts w:asciiTheme="minorHAnsi" w:eastAsia="Times New Roman" w:hAnsiTheme="minorHAnsi" w:cstheme="minorHAnsi"/>
                <w:color w:val="000000"/>
              </w:rPr>
            </w:pPr>
            <w:r w:rsidRPr="00E62120">
              <w:rPr>
                <w:rFonts w:asciiTheme="minorHAnsi" w:eastAsia="Times New Roman" w:hAnsiTheme="minorHAnsi" w:cstheme="minorHAnsi"/>
                <w:color w:val="000000"/>
              </w:rPr>
              <w:t>a) Are accessing SEMH support in school, counselling services and or  Camhs</w:t>
            </w:r>
          </w:p>
          <w:p w14:paraId="4068A4F2" w14:textId="77777777" w:rsidR="00E62120" w:rsidRPr="00E62120" w:rsidRDefault="00E62120" w:rsidP="00E62120">
            <w:pPr>
              <w:shd w:val="clear" w:color="auto" w:fill="FFFFFF"/>
              <w:spacing w:before="0" w:after="0"/>
              <w:textAlignment w:val="baseline"/>
              <w:rPr>
                <w:rFonts w:asciiTheme="minorHAnsi" w:eastAsia="Times New Roman" w:hAnsiTheme="minorHAnsi" w:cstheme="minorHAnsi"/>
                <w:color w:val="000000"/>
              </w:rPr>
            </w:pPr>
            <w:r w:rsidRPr="00E62120">
              <w:rPr>
                <w:rFonts w:asciiTheme="minorHAnsi" w:eastAsia="Times New Roman" w:hAnsiTheme="minorHAnsi" w:cstheme="minorHAnsi"/>
                <w:color w:val="000000"/>
              </w:rPr>
              <w:t>b) Students who are taught in small classes.</w:t>
            </w:r>
          </w:p>
          <w:p w14:paraId="098C9FB3" w14:textId="77777777" w:rsidR="00E62120" w:rsidRPr="00E62120" w:rsidRDefault="00E62120" w:rsidP="00E62120">
            <w:pPr>
              <w:shd w:val="clear" w:color="auto" w:fill="FFFFFF"/>
              <w:spacing w:before="0" w:after="0"/>
              <w:textAlignment w:val="baseline"/>
              <w:rPr>
                <w:rFonts w:asciiTheme="minorHAnsi" w:eastAsia="Times New Roman" w:hAnsiTheme="minorHAnsi" w:cstheme="minorHAnsi"/>
                <w:color w:val="000000"/>
              </w:rPr>
            </w:pPr>
            <w:r w:rsidRPr="00E62120">
              <w:rPr>
                <w:rFonts w:asciiTheme="minorHAnsi" w:eastAsia="Times New Roman" w:hAnsiTheme="minorHAnsi" w:cstheme="minorHAnsi"/>
                <w:color w:val="000000"/>
              </w:rPr>
              <w:t>c)Students who have a diagnosis, that would impact on their ability and the ability of others to be able to complete the exams in the correct environment,  if they were placed in the main hall for exams.</w:t>
            </w:r>
          </w:p>
          <w:p w14:paraId="72EC21EB" w14:textId="77777777" w:rsidR="00E21577" w:rsidRPr="00E62120" w:rsidRDefault="00E21577" w:rsidP="00E21577">
            <w:pPr>
              <w:rPr>
                <w:rFonts w:asciiTheme="minorHAnsi" w:hAnsiTheme="minorHAnsi" w:cstheme="minorHAnsi"/>
                <w:color w:val="404040" w:themeColor="text1" w:themeTint="BF"/>
              </w:rPr>
            </w:pPr>
            <w:r w:rsidRPr="00E62120">
              <w:rPr>
                <w:rFonts w:asciiTheme="minorHAnsi" w:hAnsiTheme="minorHAnsi" w:cstheme="minorHAnsi"/>
                <w:color w:val="404040" w:themeColor="text1" w:themeTint="BF"/>
              </w:rPr>
              <w:t xml:space="preserve">Separate invigilation must reflect the candidate’s normal and current way of working in internal school tests and mock examinations. </w:t>
            </w:r>
          </w:p>
          <w:p w14:paraId="2B1F0CE2" w14:textId="05FC5837" w:rsidR="00844861" w:rsidRPr="00E62120" w:rsidRDefault="00E21577" w:rsidP="00E21577">
            <w:pPr>
              <w:jc w:val="both"/>
              <w:rPr>
                <w:rFonts w:asciiTheme="minorHAnsi" w:hAnsiTheme="minorHAnsi" w:cstheme="minorHAnsi"/>
              </w:rPr>
            </w:pPr>
            <w:r w:rsidRPr="00E62120">
              <w:rPr>
                <w:rFonts w:asciiTheme="minorHAnsi" w:hAnsiTheme="minorHAnsi" w:cstheme="minorHAnsi"/>
                <w:color w:val="404040" w:themeColor="text1" w:themeTint="BF"/>
              </w:rPr>
              <w:t>Nervousness, low level anxiety or being worried about examinations is not sufficient grounds for separate invigilation within the centre. (</w:t>
            </w:r>
            <w:hyperlink r:id="rId29" w:history="1">
              <w:r w:rsidRPr="00E62120">
                <w:rPr>
                  <w:rStyle w:val="Hyperlink"/>
                  <w:rFonts w:asciiTheme="minorHAnsi" w:hAnsiTheme="minorHAnsi" w:cstheme="minorHAnsi"/>
                  <w:color w:val="0070C0"/>
                </w:rPr>
                <w:t>AA</w:t>
              </w:r>
            </w:hyperlink>
            <w:r w:rsidRPr="00E62120">
              <w:rPr>
                <w:rFonts w:asciiTheme="minorHAnsi" w:hAnsiTheme="minorHAnsi" w:cstheme="minorHAnsi"/>
                <w:color w:val="404040" w:themeColor="text1" w:themeTint="BF"/>
              </w:rPr>
              <w:t>, section 5.16)</w:t>
            </w:r>
            <w:r w:rsidR="00A15719" w:rsidRPr="00E62120">
              <w:rPr>
                <w:rFonts w:asciiTheme="minorHAnsi" w:hAnsiTheme="minorHAnsi" w:cstheme="minorHAnsi"/>
              </w:rPr>
              <w:t xml:space="preserve">                   </w:t>
            </w:r>
            <w:r w:rsidR="00A15719" w:rsidRPr="00E62120">
              <w:rPr>
                <w:rFonts w:asciiTheme="minorHAnsi" w:hAnsiTheme="minorHAnsi" w:cstheme="minorHAnsi"/>
                <w:color w:val="595959" w:themeColor="text1" w:themeTint="A6"/>
              </w:rPr>
              <w:t xml:space="preserve">                                                        </w:t>
            </w:r>
          </w:p>
        </w:tc>
      </w:tr>
    </w:tbl>
    <w:p w14:paraId="5AED777A" w14:textId="77777777" w:rsidR="00922CE8" w:rsidRPr="005C2266" w:rsidRDefault="00922CE8" w:rsidP="00844861">
      <w:pPr>
        <w:pStyle w:val="Headinglevel1"/>
        <w:rPr>
          <w:rFonts w:asciiTheme="minorHAnsi" w:hAnsiTheme="minorHAnsi" w:cstheme="minorHAnsi"/>
        </w:rPr>
      </w:pPr>
      <w:bookmarkStart w:id="130" w:name="_Toc523473896"/>
      <w:bookmarkStart w:id="131" w:name="_Toc22304712"/>
      <w:bookmarkStart w:id="132" w:name="_Toc22487040"/>
      <w:bookmarkStart w:id="133" w:name="_Toc22487159"/>
      <w:bookmarkStart w:id="134" w:name="_Toc490083867"/>
      <w:bookmarkEnd w:id="104"/>
    </w:p>
    <w:bookmarkEnd w:id="38"/>
    <w:bookmarkEnd w:id="39"/>
    <w:bookmarkEnd w:id="130"/>
    <w:bookmarkEnd w:id="131"/>
    <w:bookmarkEnd w:id="132"/>
    <w:bookmarkEnd w:id="133"/>
    <w:bookmarkEnd w:id="134"/>
    <w:p w14:paraId="3C7558C2" w14:textId="1F9E2B9B" w:rsidR="008D0EB0" w:rsidRPr="005C2266" w:rsidRDefault="008D0EB0" w:rsidP="00586FF6">
      <w:pPr>
        <w:spacing w:before="0" w:after="200" w:line="276" w:lineRule="auto"/>
        <w:rPr>
          <w:rFonts w:asciiTheme="minorHAnsi" w:eastAsia="Times New Roman" w:hAnsiTheme="minorHAnsi" w:cstheme="minorHAnsi"/>
          <w:b/>
          <w:color w:val="003399"/>
          <w:sz w:val="24"/>
          <w:szCs w:val="28"/>
        </w:rPr>
      </w:pPr>
    </w:p>
    <w:sectPr w:rsidR="008D0EB0" w:rsidRPr="005C2266" w:rsidSect="00F642BC">
      <w:footerReference w:type="default" r:id="rId3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68E5" w14:textId="77777777" w:rsidR="00172E6E" w:rsidRDefault="00172E6E" w:rsidP="00572EAE">
      <w:pPr>
        <w:spacing w:after="0"/>
      </w:pPr>
      <w:r>
        <w:separator/>
      </w:r>
    </w:p>
  </w:endnote>
  <w:endnote w:type="continuationSeparator" w:id="0">
    <w:p w14:paraId="51A57A31" w14:textId="77777777" w:rsidR="00172E6E" w:rsidRDefault="00172E6E"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4B9A" w14:textId="7804D529"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6D486F">
      <w:rPr>
        <w:noProof/>
        <w:sz w:val="18"/>
        <w:szCs w:val="18"/>
      </w:rPr>
      <w:t>9</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9EA4" w14:textId="77777777" w:rsidR="00172E6E" w:rsidRDefault="00172E6E" w:rsidP="00572EAE">
      <w:pPr>
        <w:spacing w:after="0"/>
      </w:pPr>
      <w:r>
        <w:separator/>
      </w:r>
    </w:p>
  </w:footnote>
  <w:footnote w:type="continuationSeparator" w:id="0">
    <w:p w14:paraId="721ADED3" w14:textId="77777777" w:rsidR="00172E6E" w:rsidRDefault="00172E6E"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97AFC"/>
    <w:multiLevelType w:val="hybridMultilevel"/>
    <w:tmpl w:val="C0E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cs="Times New Roman" w:hint="default"/>
      </w:rPr>
    </w:lvl>
    <w:lvl w:ilvl="1">
      <w:start w:val="1"/>
      <w:numFmt w:val="none"/>
      <w:suff w:val="nothing"/>
      <w:lvlText w:val="%2."/>
      <w:lvlJc w:val="left"/>
      <w:pPr>
        <w:ind w:left="567" w:hanging="567"/>
      </w:pPr>
      <w:rPr>
        <w:rFonts w:ascii="Arial" w:hAnsi="Arial" w:cs="Times New Roman" w:hint="default"/>
        <w:sz w:val="22"/>
      </w:rPr>
    </w:lvl>
    <w:lvl w:ilvl="2">
      <w:start w:val="1"/>
      <w:numFmt w:val="none"/>
      <w:lvlRestart w:val="1"/>
      <w:lvlText w:val=""/>
      <w:lvlJc w:val="left"/>
      <w:pPr>
        <w:tabs>
          <w:tab w:val="num" w:pos="851"/>
        </w:tabs>
        <w:ind w:left="851" w:hanging="851"/>
      </w:pPr>
      <w:rPr>
        <w:rFonts w:ascii="Arial" w:hAnsi="Arial" w:cs="Times New Roman" w:hint="default"/>
      </w:rPr>
    </w:lvl>
    <w:lvl w:ilvl="3">
      <w:start w:val="1"/>
      <w:numFmt w:val="none"/>
      <w:lvlRestart w:val="1"/>
      <w:lvlText w:val="%4"/>
      <w:lvlJc w:val="left"/>
      <w:pPr>
        <w:tabs>
          <w:tab w:val="num" w:pos="964"/>
        </w:tabs>
        <w:ind w:left="964" w:hanging="397"/>
      </w:pPr>
      <w:rPr>
        <w:rFonts w:ascii="Arial" w:hAnsi="Arial" w:cs="Times New Roman" w:hint="default"/>
      </w:rPr>
    </w:lvl>
    <w:lvl w:ilvl="4">
      <w:start w:val="1"/>
      <w:numFmt w:val="none"/>
      <w:pStyle w:val="paragraph"/>
      <w:suff w:val="nothing"/>
      <w:lvlText w:val="%1"/>
      <w:lvlJc w:val="left"/>
      <w:pPr>
        <w:ind w:left="0" w:firstLine="0"/>
      </w:pPr>
    </w:lvl>
    <w:lvl w:ilvl="5">
      <w:start w:val="1"/>
      <w:numFmt w:val="lowerLetter"/>
      <w:pStyle w:val="letteredList"/>
      <w:lvlText w:val="%1%6."/>
      <w:lvlJc w:val="left"/>
      <w:pPr>
        <w:tabs>
          <w:tab w:val="num" w:pos="567"/>
        </w:tabs>
        <w:ind w:left="567" w:hanging="567"/>
      </w:pPr>
      <w:rPr>
        <w:rFonts w:ascii="Arial" w:hAnsi="Arial" w:cs="Times New Roman" w:hint="default"/>
        <w:sz w:val="22"/>
      </w:rPr>
    </w:lvl>
    <w:lvl w:ilvl="6">
      <w:start w:val="1"/>
      <w:numFmt w:val="decimal"/>
      <w:lvlText w:val="%1.%2.%3.%4.%5.%6.%7."/>
      <w:lvlJc w:val="left"/>
      <w:pPr>
        <w:tabs>
          <w:tab w:val="num" w:pos="2880"/>
        </w:tabs>
        <w:ind w:left="2520" w:hanging="1080"/>
      </w:pPr>
    </w:lvl>
    <w:lvl w:ilvl="7">
      <w:start w:val="1"/>
      <w:numFmt w:val="decimal"/>
      <w:lvlText w:val="%1.%2.%3.%4.%5.%6.%7.%8."/>
      <w:lvlJc w:val="left"/>
      <w:pPr>
        <w:tabs>
          <w:tab w:val="num" w:pos="3600"/>
        </w:tabs>
        <w:ind w:left="3024" w:hanging="1224"/>
      </w:pPr>
    </w:lvl>
    <w:lvl w:ilvl="8">
      <w:start w:val="1"/>
      <w:numFmt w:val="decimal"/>
      <w:lvlText w:val="%1.%2.%3.%4.%5.%6.%7.%8.%9."/>
      <w:lvlJc w:val="left"/>
      <w:pPr>
        <w:tabs>
          <w:tab w:val="num" w:pos="4320"/>
        </w:tabs>
        <w:ind w:left="3600" w:hanging="1440"/>
      </w:pPr>
    </w:lvl>
  </w:abstractNum>
  <w:abstractNum w:abstractNumId="14"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5980495">
    <w:abstractNumId w:val="2"/>
  </w:num>
  <w:num w:numId="2" w16cid:durableId="758987865">
    <w:abstractNumId w:val="5"/>
  </w:num>
  <w:num w:numId="3" w16cid:durableId="100881403">
    <w:abstractNumId w:val="16"/>
  </w:num>
  <w:num w:numId="4" w16cid:durableId="1163738948">
    <w:abstractNumId w:val="1"/>
  </w:num>
  <w:num w:numId="5" w16cid:durableId="1047148932">
    <w:abstractNumId w:val="8"/>
  </w:num>
  <w:num w:numId="6" w16cid:durableId="1511675160">
    <w:abstractNumId w:val="11"/>
  </w:num>
  <w:num w:numId="7" w16cid:durableId="682128317">
    <w:abstractNumId w:val="0"/>
  </w:num>
  <w:num w:numId="8" w16cid:durableId="1699548973">
    <w:abstractNumId w:val="3"/>
  </w:num>
  <w:num w:numId="9" w16cid:durableId="292099872">
    <w:abstractNumId w:val="4"/>
  </w:num>
  <w:num w:numId="10" w16cid:durableId="587620926">
    <w:abstractNumId w:val="14"/>
  </w:num>
  <w:num w:numId="11" w16cid:durableId="542447145">
    <w:abstractNumId w:val="9"/>
  </w:num>
  <w:num w:numId="12" w16cid:durableId="1940940848">
    <w:abstractNumId w:val="7"/>
  </w:num>
  <w:num w:numId="13" w16cid:durableId="1990207375">
    <w:abstractNumId w:val="18"/>
  </w:num>
  <w:num w:numId="14" w16cid:durableId="506020859">
    <w:abstractNumId w:val="10"/>
  </w:num>
  <w:num w:numId="15" w16cid:durableId="787118147">
    <w:abstractNumId w:val="12"/>
  </w:num>
  <w:num w:numId="16" w16cid:durableId="701636242">
    <w:abstractNumId w:val="17"/>
  </w:num>
  <w:num w:numId="17" w16cid:durableId="2032997260">
    <w:abstractNumId w:val="15"/>
  </w:num>
  <w:num w:numId="18" w16cid:durableId="1638223524">
    <w:abstractNumId w:val="6"/>
  </w:num>
  <w:num w:numId="19" w16cid:durableId="1660040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3F6A"/>
    <w:rsid w:val="00025DAF"/>
    <w:rsid w:val="000265A8"/>
    <w:rsid w:val="0003095E"/>
    <w:rsid w:val="00033626"/>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709D9"/>
    <w:rsid w:val="00072C6F"/>
    <w:rsid w:val="00074A36"/>
    <w:rsid w:val="000750AD"/>
    <w:rsid w:val="000800DE"/>
    <w:rsid w:val="00080423"/>
    <w:rsid w:val="000831C0"/>
    <w:rsid w:val="000853A9"/>
    <w:rsid w:val="00086102"/>
    <w:rsid w:val="000875A7"/>
    <w:rsid w:val="0009252E"/>
    <w:rsid w:val="00097CF9"/>
    <w:rsid w:val="000A1629"/>
    <w:rsid w:val="000A5B8B"/>
    <w:rsid w:val="000A6652"/>
    <w:rsid w:val="000B0453"/>
    <w:rsid w:val="000B29C9"/>
    <w:rsid w:val="000C118C"/>
    <w:rsid w:val="000C2701"/>
    <w:rsid w:val="000D12FC"/>
    <w:rsid w:val="000D1B7A"/>
    <w:rsid w:val="000D1C29"/>
    <w:rsid w:val="000D60C0"/>
    <w:rsid w:val="000E1253"/>
    <w:rsid w:val="000E27A5"/>
    <w:rsid w:val="000F34BD"/>
    <w:rsid w:val="000F5577"/>
    <w:rsid w:val="00100BEF"/>
    <w:rsid w:val="00105BF2"/>
    <w:rsid w:val="00107872"/>
    <w:rsid w:val="00111617"/>
    <w:rsid w:val="001127C7"/>
    <w:rsid w:val="00113BA4"/>
    <w:rsid w:val="001153D3"/>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2E6E"/>
    <w:rsid w:val="0017460C"/>
    <w:rsid w:val="0017477E"/>
    <w:rsid w:val="001767B5"/>
    <w:rsid w:val="00177D3E"/>
    <w:rsid w:val="0018337D"/>
    <w:rsid w:val="00183428"/>
    <w:rsid w:val="0018449D"/>
    <w:rsid w:val="001844B9"/>
    <w:rsid w:val="00185617"/>
    <w:rsid w:val="00192C81"/>
    <w:rsid w:val="00192E8A"/>
    <w:rsid w:val="00195D3B"/>
    <w:rsid w:val="00196924"/>
    <w:rsid w:val="00196B3E"/>
    <w:rsid w:val="00196C60"/>
    <w:rsid w:val="001973EE"/>
    <w:rsid w:val="001A0CA6"/>
    <w:rsid w:val="001A24D6"/>
    <w:rsid w:val="001A3372"/>
    <w:rsid w:val="001A57D2"/>
    <w:rsid w:val="001B0600"/>
    <w:rsid w:val="001B3F57"/>
    <w:rsid w:val="001B42C8"/>
    <w:rsid w:val="001B51BC"/>
    <w:rsid w:val="001B635E"/>
    <w:rsid w:val="001C12A2"/>
    <w:rsid w:val="001D189E"/>
    <w:rsid w:val="001D489A"/>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301A0"/>
    <w:rsid w:val="002322D1"/>
    <w:rsid w:val="00233410"/>
    <w:rsid w:val="0023628E"/>
    <w:rsid w:val="002416DB"/>
    <w:rsid w:val="002417F2"/>
    <w:rsid w:val="00244FC1"/>
    <w:rsid w:val="00247D1F"/>
    <w:rsid w:val="00250816"/>
    <w:rsid w:val="002522E9"/>
    <w:rsid w:val="0025243A"/>
    <w:rsid w:val="00254B9A"/>
    <w:rsid w:val="0025563D"/>
    <w:rsid w:val="0026067D"/>
    <w:rsid w:val="00265862"/>
    <w:rsid w:val="002660C5"/>
    <w:rsid w:val="0026639D"/>
    <w:rsid w:val="00267849"/>
    <w:rsid w:val="002733F6"/>
    <w:rsid w:val="002747EB"/>
    <w:rsid w:val="00283160"/>
    <w:rsid w:val="00283445"/>
    <w:rsid w:val="002837F1"/>
    <w:rsid w:val="002923DF"/>
    <w:rsid w:val="00294309"/>
    <w:rsid w:val="002978B9"/>
    <w:rsid w:val="00297C0F"/>
    <w:rsid w:val="002A1C13"/>
    <w:rsid w:val="002A5BBC"/>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1E80"/>
    <w:rsid w:val="002E233C"/>
    <w:rsid w:val="002E53FB"/>
    <w:rsid w:val="002E61A2"/>
    <w:rsid w:val="002F16B9"/>
    <w:rsid w:val="002F1E6E"/>
    <w:rsid w:val="002F26D1"/>
    <w:rsid w:val="002F329D"/>
    <w:rsid w:val="002F729A"/>
    <w:rsid w:val="00307AC1"/>
    <w:rsid w:val="0031083C"/>
    <w:rsid w:val="00312CBF"/>
    <w:rsid w:val="00313781"/>
    <w:rsid w:val="00315991"/>
    <w:rsid w:val="0032363C"/>
    <w:rsid w:val="003243FE"/>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17DC"/>
    <w:rsid w:val="003667B9"/>
    <w:rsid w:val="00375CE7"/>
    <w:rsid w:val="003760E1"/>
    <w:rsid w:val="00381559"/>
    <w:rsid w:val="00384237"/>
    <w:rsid w:val="00392945"/>
    <w:rsid w:val="00393116"/>
    <w:rsid w:val="003946AA"/>
    <w:rsid w:val="0039606C"/>
    <w:rsid w:val="003A128A"/>
    <w:rsid w:val="003A183A"/>
    <w:rsid w:val="003A1FB3"/>
    <w:rsid w:val="003A413B"/>
    <w:rsid w:val="003A55AC"/>
    <w:rsid w:val="003A62A8"/>
    <w:rsid w:val="003B4F45"/>
    <w:rsid w:val="003C1B1D"/>
    <w:rsid w:val="003C1E94"/>
    <w:rsid w:val="003D4CFA"/>
    <w:rsid w:val="003D6C61"/>
    <w:rsid w:val="003D78DD"/>
    <w:rsid w:val="003E1B12"/>
    <w:rsid w:val="003E2B20"/>
    <w:rsid w:val="003E5898"/>
    <w:rsid w:val="003E5BF3"/>
    <w:rsid w:val="003F0525"/>
    <w:rsid w:val="003F08A6"/>
    <w:rsid w:val="003F54FB"/>
    <w:rsid w:val="003F5E28"/>
    <w:rsid w:val="003F66FE"/>
    <w:rsid w:val="004172F8"/>
    <w:rsid w:val="00420DEB"/>
    <w:rsid w:val="0042123F"/>
    <w:rsid w:val="0042211B"/>
    <w:rsid w:val="004250C5"/>
    <w:rsid w:val="004253DB"/>
    <w:rsid w:val="004314F6"/>
    <w:rsid w:val="00432C92"/>
    <w:rsid w:val="004374FD"/>
    <w:rsid w:val="00437F62"/>
    <w:rsid w:val="0044218B"/>
    <w:rsid w:val="00444C24"/>
    <w:rsid w:val="0045187F"/>
    <w:rsid w:val="00452B7E"/>
    <w:rsid w:val="0045394B"/>
    <w:rsid w:val="00453A8A"/>
    <w:rsid w:val="00454711"/>
    <w:rsid w:val="00456C91"/>
    <w:rsid w:val="00462EFB"/>
    <w:rsid w:val="00466719"/>
    <w:rsid w:val="004738FF"/>
    <w:rsid w:val="00473D52"/>
    <w:rsid w:val="00484DD9"/>
    <w:rsid w:val="00494A0C"/>
    <w:rsid w:val="0049549D"/>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D7F6F"/>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135F"/>
    <w:rsid w:val="00572EAE"/>
    <w:rsid w:val="0057436B"/>
    <w:rsid w:val="00575B68"/>
    <w:rsid w:val="00576B69"/>
    <w:rsid w:val="00576DB7"/>
    <w:rsid w:val="00582D3B"/>
    <w:rsid w:val="0058335C"/>
    <w:rsid w:val="00584370"/>
    <w:rsid w:val="00584552"/>
    <w:rsid w:val="00586FF6"/>
    <w:rsid w:val="00587DFA"/>
    <w:rsid w:val="0059053A"/>
    <w:rsid w:val="00593102"/>
    <w:rsid w:val="00593745"/>
    <w:rsid w:val="005946D0"/>
    <w:rsid w:val="00595C4E"/>
    <w:rsid w:val="005A05DA"/>
    <w:rsid w:val="005A07DC"/>
    <w:rsid w:val="005A1F33"/>
    <w:rsid w:val="005B0758"/>
    <w:rsid w:val="005B411E"/>
    <w:rsid w:val="005C1AA1"/>
    <w:rsid w:val="005C2266"/>
    <w:rsid w:val="005C2C9F"/>
    <w:rsid w:val="005C50FE"/>
    <w:rsid w:val="005D0DCE"/>
    <w:rsid w:val="005D100D"/>
    <w:rsid w:val="005D59B7"/>
    <w:rsid w:val="005D6A4F"/>
    <w:rsid w:val="005E2B3B"/>
    <w:rsid w:val="005E3893"/>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9FD"/>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486F"/>
    <w:rsid w:val="006D562D"/>
    <w:rsid w:val="006D57D5"/>
    <w:rsid w:val="006D78ED"/>
    <w:rsid w:val="006E2F0D"/>
    <w:rsid w:val="006E48DE"/>
    <w:rsid w:val="006E619E"/>
    <w:rsid w:val="006F0F91"/>
    <w:rsid w:val="006F2CCE"/>
    <w:rsid w:val="006F403C"/>
    <w:rsid w:val="006F4870"/>
    <w:rsid w:val="006F6831"/>
    <w:rsid w:val="006F6A41"/>
    <w:rsid w:val="006F791F"/>
    <w:rsid w:val="007009B9"/>
    <w:rsid w:val="00701AFA"/>
    <w:rsid w:val="00701CBE"/>
    <w:rsid w:val="00704378"/>
    <w:rsid w:val="00707BF7"/>
    <w:rsid w:val="007138D5"/>
    <w:rsid w:val="007149C2"/>
    <w:rsid w:val="00721AE5"/>
    <w:rsid w:val="00727EC1"/>
    <w:rsid w:val="00731803"/>
    <w:rsid w:val="0073293D"/>
    <w:rsid w:val="007335E0"/>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36D5"/>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094A"/>
    <w:rsid w:val="00844861"/>
    <w:rsid w:val="008458D8"/>
    <w:rsid w:val="0084623C"/>
    <w:rsid w:val="008478AB"/>
    <w:rsid w:val="00851803"/>
    <w:rsid w:val="00852366"/>
    <w:rsid w:val="0085438F"/>
    <w:rsid w:val="00860AF6"/>
    <w:rsid w:val="008621C8"/>
    <w:rsid w:val="00866226"/>
    <w:rsid w:val="008664BD"/>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9683E"/>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395A"/>
    <w:rsid w:val="008F5767"/>
    <w:rsid w:val="00900505"/>
    <w:rsid w:val="00903444"/>
    <w:rsid w:val="00907224"/>
    <w:rsid w:val="00907D13"/>
    <w:rsid w:val="00912735"/>
    <w:rsid w:val="0091365A"/>
    <w:rsid w:val="00915540"/>
    <w:rsid w:val="00921C06"/>
    <w:rsid w:val="009223EE"/>
    <w:rsid w:val="0092256A"/>
    <w:rsid w:val="00922CE8"/>
    <w:rsid w:val="00930702"/>
    <w:rsid w:val="00930D38"/>
    <w:rsid w:val="009344CA"/>
    <w:rsid w:val="009362F6"/>
    <w:rsid w:val="009372CC"/>
    <w:rsid w:val="00937C37"/>
    <w:rsid w:val="00937C73"/>
    <w:rsid w:val="009405D5"/>
    <w:rsid w:val="00941340"/>
    <w:rsid w:val="00941B6F"/>
    <w:rsid w:val="00954387"/>
    <w:rsid w:val="00954D08"/>
    <w:rsid w:val="00957564"/>
    <w:rsid w:val="009576A1"/>
    <w:rsid w:val="00960671"/>
    <w:rsid w:val="00961EA6"/>
    <w:rsid w:val="009644DF"/>
    <w:rsid w:val="00972530"/>
    <w:rsid w:val="00972787"/>
    <w:rsid w:val="009739C1"/>
    <w:rsid w:val="009747C7"/>
    <w:rsid w:val="00974962"/>
    <w:rsid w:val="009770B5"/>
    <w:rsid w:val="00980A01"/>
    <w:rsid w:val="00981424"/>
    <w:rsid w:val="009832F0"/>
    <w:rsid w:val="009835D2"/>
    <w:rsid w:val="009853DC"/>
    <w:rsid w:val="00986277"/>
    <w:rsid w:val="009924A0"/>
    <w:rsid w:val="00993918"/>
    <w:rsid w:val="009959DE"/>
    <w:rsid w:val="009A1353"/>
    <w:rsid w:val="009A4270"/>
    <w:rsid w:val="009A4FD2"/>
    <w:rsid w:val="009B0929"/>
    <w:rsid w:val="009B5963"/>
    <w:rsid w:val="009B684D"/>
    <w:rsid w:val="009C3112"/>
    <w:rsid w:val="009C4413"/>
    <w:rsid w:val="009C7245"/>
    <w:rsid w:val="009C73CD"/>
    <w:rsid w:val="009C7C8D"/>
    <w:rsid w:val="009D3D37"/>
    <w:rsid w:val="009E050C"/>
    <w:rsid w:val="009E17EB"/>
    <w:rsid w:val="009E5842"/>
    <w:rsid w:val="009E683B"/>
    <w:rsid w:val="009F0C0D"/>
    <w:rsid w:val="009F0FFB"/>
    <w:rsid w:val="009F17AE"/>
    <w:rsid w:val="009F3E7A"/>
    <w:rsid w:val="009F530D"/>
    <w:rsid w:val="009F5781"/>
    <w:rsid w:val="009F605A"/>
    <w:rsid w:val="00A045AE"/>
    <w:rsid w:val="00A05772"/>
    <w:rsid w:val="00A15719"/>
    <w:rsid w:val="00A159A6"/>
    <w:rsid w:val="00A200BD"/>
    <w:rsid w:val="00A23D3B"/>
    <w:rsid w:val="00A25051"/>
    <w:rsid w:val="00A26B89"/>
    <w:rsid w:val="00A27B0E"/>
    <w:rsid w:val="00A35C57"/>
    <w:rsid w:val="00A4455C"/>
    <w:rsid w:val="00A45FED"/>
    <w:rsid w:val="00A4607E"/>
    <w:rsid w:val="00A4728A"/>
    <w:rsid w:val="00A47CAB"/>
    <w:rsid w:val="00A50F70"/>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A2B8C"/>
    <w:rsid w:val="00AB2591"/>
    <w:rsid w:val="00AB25BC"/>
    <w:rsid w:val="00AB3768"/>
    <w:rsid w:val="00AB4558"/>
    <w:rsid w:val="00AB6D82"/>
    <w:rsid w:val="00AC350B"/>
    <w:rsid w:val="00AC5A86"/>
    <w:rsid w:val="00AD18C0"/>
    <w:rsid w:val="00AD6585"/>
    <w:rsid w:val="00AE072B"/>
    <w:rsid w:val="00AE0847"/>
    <w:rsid w:val="00AE4B04"/>
    <w:rsid w:val="00AE563D"/>
    <w:rsid w:val="00AE5CDB"/>
    <w:rsid w:val="00AE6589"/>
    <w:rsid w:val="00AE6C34"/>
    <w:rsid w:val="00AF65D5"/>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5D2"/>
    <w:rsid w:val="00B57CB5"/>
    <w:rsid w:val="00B57F8F"/>
    <w:rsid w:val="00B626C8"/>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3AD3"/>
    <w:rsid w:val="00BC59AD"/>
    <w:rsid w:val="00BC66A3"/>
    <w:rsid w:val="00BC7DFF"/>
    <w:rsid w:val="00BD1550"/>
    <w:rsid w:val="00BD2843"/>
    <w:rsid w:val="00BD2E5E"/>
    <w:rsid w:val="00BD3B0D"/>
    <w:rsid w:val="00BD565A"/>
    <w:rsid w:val="00BD76D4"/>
    <w:rsid w:val="00BE09E2"/>
    <w:rsid w:val="00BE1447"/>
    <w:rsid w:val="00BE156E"/>
    <w:rsid w:val="00BE1AA9"/>
    <w:rsid w:val="00BE2D32"/>
    <w:rsid w:val="00BE3C75"/>
    <w:rsid w:val="00BE3DC7"/>
    <w:rsid w:val="00BE46EC"/>
    <w:rsid w:val="00BE7AFA"/>
    <w:rsid w:val="00BF0EF1"/>
    <w:rsid w:val="00BF1402"/>
    <w:rsid w:val="00BF3CF6"/>
    <w:rsid w:val="00BF770C"/>
    <w:rsid w:val="00C01ACC"/>
    <w:rsid w:val="00C03944"/>
    <w:rsid w:val="00C04C77"/>
    <w:rsid w:val="00C16897"/>
    <w:rsid w:val="00C1748B"/>
    <w:rsid w:val="00C1752A"/>
    <w:rsid w:val="00C17E86"/>
    <w:rsid w:val="00C2050C"/>
    <w:rsid w:val="00C232AA"/>
    <w:rsid w:val="00C25531"/>
    <w:rsid w:val="00C2724F"/>
    <w:rsid w:val="00C31FBE"/>
    <w:rsid w:val="00C33F31"/>
    <w:rsid w:val="00C4018B"/>
    <w:rsid w:val="00C43B88"/>
    <w:rsid w:val="00C45ED1"/>
    <w:rsid w:val="00C47906"/>
    <w:rsid w:val="00C507ED"/>
    <w:rsid w:val="00C5105D"/>
    <w:rsid w:val="00C51785"/>
    <w:rsid w:val="00C62C00"/>
    <w:rsid w:val="00C728F2"/>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17C28"/>
    <w:rsid w:val="00D22695"/>
    <w:rsid w:val="00D23EF7"/>
    <w:rsid w:val="00D241E5"/>
    <w:rsid w:val="00D25080"/>
    <w:rsid w:val="00D2716B"/>
    <w:rsid w:val="00D278AC"/>
    <w:rsid w:val="00D322D7"/>
    <w:rsid w:val="00D32BEF"/>
    <w:rsid w:val="00D35D65"/>
    <w:rsid w:val="00D361ED"/>
    <w:rsid w:val="00D41EB1"/>
    <w:rsid w:val="00D43251"/>
    <w:rsid w:val="00D46078"/>
    <w:rsid w:val="00D46407"/>
    <w:rsid w:val="00D47FDF"/>
    <w:rsid w:val="00D50C6B"/>
    <w:rsid w:val="00D663E0"/>
    <w:rsid w:val="00D73CED"/>
    <w:rsid w:val="00D74EF3"/>
    <w:rsid w:val="00D75A65"/>
    <w:rsid w:val="00D761BB"/>
    <w:rsid w:val="00D77C5A"/>
    <w:rsid w:val="00D804C5"/>
    <w:rsid w:val="00D81682"/>
    <w:rsid w:val="00D8214A"/>
    <w:rsid w:val="00D82187"/>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D4683"/>
    <w:rsid w:val="00DD5196"/>
    <w:rsid w:val="00DD57C6"/>
    <w:rsid w:val="00DE33B1"/>
    <w:rsid w:val="00DE35D5"/>
    <w:rsid w:val="00DE4E3F"/>
    <w:rsid w:val="00DE55A7"/>
    <w:rsid w:val="00DE6F0B"/>
    <w:rsid w:val="00DF295A"/>
    <w:rsid w:val="00DF3D8C"/>
    <w:rsid w:val="00DF4FA2"/>
    <w:rsid w:val="00E00F3C"/>
    <w:rsid w:val="00E01BB3"/>
    <w:rsid w:val="00E03931"/>
    <w:rsid w:val="00E05D89"/>
    <w:rsid w:val="00E10E9D"/>
    <w:rsid w:val="00E13604"/>
    <w:rsid w:val="00E172B8"/>
    <w:rsid w:val="00E1788A"/>
    <w:rsid w:val="00E20F93"/>
    <w:rsid w:val="00E21577"/>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2120"/>
    <w:rsid w:val="00E63330"/>
    <w:rsid w:val="00E65AC7"/>
    <w:rsid w:val="00E66BC4"/>
    <w:rsid w:val="00E705D0"/>
    <w:rsid w:val="00E717F2"/>
    <w:rsid w:val="00E7358D"/>
    <w:rsid w:val="00E73719"/>
    <w:rsid w:val="00E77F5A"/>
    <w:rsid w:val="00E84A00"/>
    <w:rsid w:val="00E863AB"/>
    <w:rsid w:val="00E876AA"/>
    <w:rsid w:val="00E959C9"/>
    <w:rsid w:val="00E96EFC"/>
    <w:rsid w:val="00E97855"/>
    <w:rsid w:val="00E97999"/>
    <w:rsid w:val="00E97BBD"/>
    <w:rsid w:val="00EA1049"/>
    <w:rsid w:val="00EA1824"/>
    <w:rsid w:val="00EA569A"/>
    <w:rsid w:val="00EA71E3"/>
    <w:rsid w:val="00EB012B"/>
    <w:rsid w:val="00EB34FC"/>
    <w:rsid w:val="00EB54FB"/>
    <w:rsid w:val="00EB5E2C"/>
    <w:rsid w:val="00EB778A"/>
    <w:rsid w:val="00EB778B"/>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17516"/>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0E3F"/>
    <w:rsid w:val="00F715C8"/>
    <w:rsid w:val="00F71CF4"/>
    <w:rsid w:val="00F75E16"/>
    <w:rsid w:val="00F77444"/>
    <w:rsid w:val="00F77818"/>
    <w:rsid w:val="00F812A0"/>
    <w:rsid w:val="00F838AA"/>
    <w:rsid w:val="00F83942"/>
    <w:rsid w:val="00F85BC7"/>
    <w:rsid w:val="00F8638C"/>
    <w:rsid w:val="00F907DC"/>
    <w:rsid w:val="00F916A7"/>
    <w:rsid w:val="00F92944"/>
    <w:rsid w:val="00F9597B"/>
    <w:rsid w:val="00F969A4"/>
    <w:rsid w:val="00F96AB9"/>
    <w:rsid w:val="00FA0E2E"/>
    <w:rsid w:val="00FA1695"/>
    <w:rsid w:val="00FA2EDC"/>
    <w:rsid w:val="00FA3757"/>
    <w:rsid w:val="00FA597D"/>
    <w:rsid w:val="00FA6EED"/>
    <w:rsid w:val="00FA7613"/>
    <w:rsid w:val="00FB0338"/>
    <w:rsid w:val="00FB2694"/>
    <w:rsid w:val="00FB37F9"/>
    <w:rsid w:val="00FB450E"/>
    <w:rsid w:val="00FB4F1E"/>
    <w:rsid w:val="00FB5AA5"/>
    <w:rsid w:val="00FC3066"/>
    <w:rsid w:val="00FC3417"/>
    <w:rsid w:val="00FC3E7C"/>
    <w:rsid w:val="00FC43D9"/>
    <w:rsid w:val="00FC4E84"/>
    <w:rsid w:val="00FD2BB4"/>
    <w:rsid w:val="00FD36DF"/>
    <w:rsid w:val="00FD39A4"/>
    <w:rsid w:val="00FD5F6A"/>
    <w:rsid w:val="00FE07AB"/>
    <w:rsid w:val="00FE4B27"/>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icon">
    <w:name w:val="icon"/>
    <w:basedOn w:val="DefaultParagraphFont"/>
    <w:rsid w:val="00D049CA"/>
  </w:style>
  <w:style w:type="paragraph" w:customStyle="1" w:styleId="letteredList">
    <w:name w:val="letteredList"/>
    <w:basedOn w:val="Normal"/>
    <w:uiPriority w:val="99"/>
    <w:rsid w:val="00E21577"/>
    <w:pPr>
      <w:numPr>
        <w:ilvl w:val="5"/>
        <w:numId w:val="19"/>
      </w:numPr>
      <w:spacing w:before="0" w:after="60"/>
    </w:pPr>
    <w:rPr>
      <w:rFonts w:ascii="Arial" w:eastAsia="Times New Roman" w:hAnsi="Arial" w:cs="Times New Roman"/>
      <w:sz w:val="24"/>
      <w:szCs w:val="24"/>
      <w:lang w:eastAsia="en-US"/>
    </w:rPr>
  </w:style>
  <w:style w:type="paragraph" w:customStyle="1" w:styleId="paragraph">
    <w:name w:val="paragraph"/>
    <w:basedOn w:val="Normal"/>
    <w:uiPriority w:val="99"/>
    <w:rsid w:val="00E21577"/>
    <w:pPr>
      <w:numPr>
        <w:ilvl w:val="4"/>
        <w:numId w:val="19"/>
      </w:numPr>
      <w:spacing w:before="0"/>
      <w:outlineLvl w:val="4"/>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4845">
      <w:bodyDiv w:val="1"/>
      <w:marLeft w:val="0"/>
      <w:marRight w:val="0"/>
      <w:marTop w:val="0"/>
      <w:marBottom w:val="0"/>
      <w:divBdr>
        <w:top w:val="none" w:sz="0" w:space="0" w:color="auto"/>
        <w:left w:val="none" w:sz="0" w:space="0" w:color="auto"/>
        <w:bottom w:val="none" w:sz="0" w:space="0" w:color="auto"/>
        <w:right w:val="none" w:sz="0" w:space="0" w:color="auto"/>
      </w:divBdr>
      <w:divsChild>
        <w:div w:id="182789728">
          <w:marLeft w:val="0"/>
          <w:marRight w:val="0"/>
          <w:marTop w:val="0"/>
          <w:marBottom w:val="0"/>
          <w:divBdr>
            <w:top w:val="none" w:sz="0" w:space="0" w:color="auto"/>
            <w:left w:val="none" w:sz="0" w:space="0" w:color="auto"/>
            <w:bottom w:val="none" w:sz="0" w:space="0" w:color="auto"/>
            <w:right w:val="none" w:sz="0" w:space="0" w:color="auto"/>
          </w:divBdr>
        </w:div>
        <w:div w:id="1036352386">
          <w:marLeft w:val="0"/>
          <w:marRight w:val="0"/>
          <w:marTop w:val="0"/>
          <w:marBottom w:val="0"/>
          <w:divBdr>
            <w:top w:val="none" w:sz="0" w:space="0" w:color="auto"/>
            <w:left w:val="none" w:sz="0" w:space="0" w:color="auto"/>
            <w:bottom w:val="none" w:sz="0" w:space="0" w:color="auto"/>
            <w:right w:val="none" w:sz="0" w:space="0" w:color="auto"/>
          </w:divBdr>
        </w:div>
        <w:div w:id="1323311083">
          <w:marLeft w:val="0"/>
          <w:marRight w:val="0"/>
          <w:marTop w:val="0"/>
          <w:marBottom w:val="0"/>
          <w:divBdr>
            <w:top w:val="none" w:sz="0" w:space="0" w:color="auto"/>
            <w:left w:val="none" w:sz="0" w:space="0" w:color="auto"/>
            <w:bottom w:val="none" w:sz="0" w:space="0" w:color="auto"/>
            <w:right w:val="none" w:sz="0" w:space="0" w:color="auto"/>
          </w:divBdr>
        </w:div>
        <w:div w:id="450170786">
          <w:marLeft w:val="0"/>
          <w:marRight w:val="0"/>
          <w:marTop w:val="0"/>
          <w:marBottom w:val="0"/>
          <w:divBdr>
            <w:top w:val="none" w:sz="0" w:space="0" w:color="auto"/>
            <w:left w:val="none" w:sz="0" w:space="0" w:color="auto"/>
            <w:bottom w:val="none" w:sz="0" w:space="0" w:color="auto"/>
            <w:right w:val="none" w:sz="0" w:space="0" w:color="auto"/>
          </w:divBdr>
        </w:div>
        <w:div w:id="903414120">
          <w:marLeft w:val="0"/>
          <w:marRight w:val="0"/>
          <w:marTop w:val="0"/>
          <w:marBottom w:val="0"/>
          <w:divBdr>
            <w:top w:val="none" w:sz="0" w:space="0" w:color="auto"/>
            <w:left w:val="none" w:sz="0" w:space="0" w:color="auto"/>
            <w:bottom w:val="none" w:sz="0" w:space="0" w:color="auto"/>
            <w:right w:val="none" w:sz="0" w:space="0" w:color="auto"/>
          </w:divBdr>
        </w:div>
      </w:divsChild>
    </w:div>
    <w:div w:id="66072711">
      <w:bodyDiv w:val="1"/>
      <w:marLeft w:val="0"/>
      <w:marRight w:val="0"/>
      <w:marTop w:val="0"/>
      <w:marBottom w:val="0"/>
      <w:divBdr>
        <w:top w:val="none" w:sz="0" w:space="0" w:color="auto"/>
        <w:left w:val="none" w:sz="0" w:space="0" w:color="auto"/>
        <w:bottom w:val="none" w:sz="0" w:space="0" w:color="auto"/>
        <w:right w:val="none" w:sz="0" w:space="0" w:color="auto"/>
      </w:divBdr>
      <w:divsChild>
        <w:div w:id="2049183719">
          <w:marLeft w:val="0"/>
          <w:marRight w:val="0"/>
          <w:marTop w:val="0"/>
          <w:marBottom w:val="0"/>
          <w:divBdr>
            <w:top w:val="none" w:sz="0" w:space="0" w:color="auto"/>
            <w:left w:val="none" w:sz="0" w:space="0" w:color="auto"/>
            <w:bottom w:val="none" w:sz="0" w:space="0" w:color="auto"/>
            <w:right w:val="none" w:sz="0" w:space="0" w:color="auto"/>
          </w:divBdr>
        </w:div>
        <w:div w:id="713308586">
          <w:marLeft w:val="0"/>
          <w:marRight w:val="0"/>
          <w:marTop w:val="0"/>
          <w:marBottom w:val="0"/>
          <w:divBdr>
            <w:top w:val="none" w:sz="0" w:space="0" w:color="auto"/>
            <w:left w:val="none" w:sz="0" w:space="0" w:color="auto"/>
            <w:bottom w:val="none" w:sz="0" w:space="0" w:color="auto"/>
            <w:right w:val="none" w:sz="0" w:space="0" w:color="auto"/>
          </w:divBdr>
        </w:div>
        <w:div w:id="1240628871">
          <w:marLeft w:val="0"/>
          <w:marRight w:val="0"/>
          <w:marTop w:val="0"/>
          <w:marBottom w:val="0"/>
          <w:divBdr>
            <w:top w:val="none" w:sz="0" w:space="0" w:color="auto"/>
            <w:left w:val="none" w:sz="0" w:space="0" w:color="auto"/>
            <w:bottom w:val="none" w:sz="0" w:space="0" w:color="auto"/>
            <w:right w:val="none" w:sz="0" w:space="0" w:color="auto"/>
          </w:divBdr>
        </w:div>
        <w:div w:id="476455321">
          <w:marLeft w:val="0"/>
          <w:marRight w:val="0"/>
          <w:marTop w:val="0"/>
          <w:marBottom w:val="0"/>
          <w:divBdr>
            <w:top w:val="none" w:sz="0" w:space="0" w:color="auto"/>
            <w:left w:val="none" w:sz="0" w:space="0" w:color="auto"/>
            <w:bottom w:val="none" w:sz="0" w:space="0" w:color="auto"/>
            <w:right w:val="none" w:sz="0" w:space="0" w:color="auto"/>
          </w:divBdr>
        </w:div>
        <w:div w:id="61342547">
          <w:marLeft w:val="0"/>
          <w:marRight w:val="0"/>
          <w:marTop w:val="0"/>
          <w:marBottom w:val="0"/>
          <w:divBdr>
            <w:top w:val="none" w:sz="0" w:space="0" w:color="auto"/>
            <w:left w:val="none" w:sz="0" w:space="0" w:color="auto"/>
            <w:bottom w:val="none" w:sz="0" w:space="0" w:color="auto"/>
            <w:right w:val="none" w:sz="0" w:space="0" w:color="auto"/>
          </w:divBdr>
        </w:div>
      </w:divsChild>
    </w:div>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8209">
      <w:bodyDiv w:val="1"/>
      <w:marLeft w:val="0"/>
      <w:marRight w:val="0"/>
      <w:marTop w:val="0"/>
      <w:marBottom w:val="0"/>
      <w:divBdr>
        <w:top w:val="none" w:sz="0" w:space="0" w:color="auto"/>
        <w:left w:val="none" w:sz="0" w:space="0" w:color="auto"/>
        <w:bottom w:val="none" w:sz="0" w:space="0" w:color="auto"/>
        <w:right w:val="none" w:sz="0" w:space="0" w:color="auto"/>
      </w:divBdr>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581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3482">
      <w:bodyDiv w:val="1"/>
      <w:marLeft w:val="0"/>
      <w:marRight w:val="0"/>
      <w:marTop w:val="0"/>
      <w:marBottom w:val="0"/>
      <w:divBdr>
        <w:top w:val="none" w:sz="0" w:space="0" w:color="auto"/>
        <w:left w:val="none" w:sz="0" w:space="0" w:color="auto"/>
        <w:bottom w:val="none" w:sz="0" w:space="0" w:color="auto"/>
        <w:right w:val="none" w:sz="0" w:space="0" w:color="auto"/>
      </w:divBdr>
      <w:divsChild>
        <w:div w:id="1873105031">
          <w:marLeft w:val="0"/>
          <w:marRight w:val="0"/>
          <w:marTop w:val="0"/>
          <w:marBottom w:val="0"/>
          <w:divBdr>
            <w:top w:val="none" w:sz="0" w:space="0" w:color="auto"/>
            <w:left w:val="none" w:sz="0" w:space="0" w:color="auto"/>
            <w:bottom w:val="none" w:sz="0" w:space="0" w:color="auto"/>
            <w:right w:val="none" w:sz="0" w:space="0" w:color="auto"/>
          </w:divBdr>
        </w:div>
        <w:div w:id="1613442788">
          <w:marLeft w:val="0"/>
          <w:marRight w:val="0"/>
          <w:marTop w:val="0"/>
          <w:marBottom w:val="0"/>
          <w:divBdr>
            <w:top w:val="none" w:sz="0" w:space="0" w:color="auto"/>
            <w:left w:val="none" w:sz="0" w:space="0" w:color="auto"/>
            <w:bottom w:val="none" w:sz="0" w:space="0" w:color="auto"/>
            <w:right w:val="none" w:sz="0" w:space="0" w:color="auto"/>
          </w:divBdr>
        </w:div>
        <w:div w:id="2058042357">
          <w:marLeft w:val="0"/>
          <w:marRight w:val="0"/>
          <w:marTop w:val="0"/>
          <w:marBottom w:val="0"/>
          <w:divBdr>
            <w:top w:val="none" w:sz="0" w:space="0" w:color="auto"/>
            <w:left w:val="none" w:sz="0" w:space="0" w:color="auto"/>
            <w:bottom w:val="none" w:sz="0" w:space="0" w:color="auto"/>
            <w:right w:val="none" w:sz="0" w:space="0" w:color="auto"/>
          </w:divBdr>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88708229">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www.jcq.org.uk/exams-office/general-regulations"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yperlink" Target="http://www.jcq.org.uk/exams-office/access-arrangements-and-special-consideration/regulations-and-guidan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access-arrangements-and-special-consideration" TargetMode="Externa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4644E-36ED-46D4-82F5-DC89681E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Gary Lambert</cp:lastModifiedBy>
  <cp:revision>2</cp:revision>
  <cp:lastPrinted>2022-10-19T09:08:00Z</cp:lastPrinted>
  <dcterms:created xsi:type="dcterms:W3CDTF">2025-03-28T10:08:00Z</dcterms:created>
  <dcterms:modified xsi:type="dcterms:W3CDTF">2025-03-28T10:08:00Z</dcterms:modified>
</cp:coreProperties>
</file>