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:rsidRPr="00FD296D" w14:paraId="7D806D77" w14:textId="77777777" w:rsidTr="00FD296D">
        <w:trPr>
          <w:trHeight w:val="1266"/>
        </w:trPr>
        <w:tc>
          <w:tcPr>
            <w:tcW w:w="7704" w:type="dxa"/>
          </w:tcPr>
          <w:p w14:paraId="1BF8AE95" w14:textId="77777777" w:rsidR="00EB3B05" w:rsidRPr="00FD296D" w:rsidRDefault="00EB3B05" w:rsidP="00EB3B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t>What we are learning</w:t>
            </w:r>
            <w:r w:rsidRPr="00FD296D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FD296D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t>Key knowledge &amp; skills</w:t>
            </w:r>
            <w:r w:rsidRPr="00FD296D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77777777" w:rsidR="00EB3B05" w:rsidRPr="00FD296D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t>How we assess learning</w:t>
            </w:r>
            <w:r w:rsidRPr="00FD296D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6D2347A5" w14:textId="47B1B4B0" w:rsidR="00EB3B05" w:rsidRPr="00FD296D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t>Key words to know</w:t>
            </w:r>
            <w:r w:rsidRPr="00FD296D">
              <w:rPr>
                <w:sz w:val="20"/>
                <w:szCs w:val="20"/>
              </w:rPr>
              <w:t>: Vocabulary students will learn and use.</w:t>
            </w:r>
          </w:p>
        </w:tc>
      </w:tr>
    </w:tbl>
    <w:p w14:paraId="338DCEE4" w14:textId="4FEB8F37" w:rsidR="00EA7829" w:rsidRPr="00FD296D" w:rsidRDefault="00585BF3" w:rsidP="00EA7829">
      <w:pPr>
        <w:spacing w:after="0" w:line="240" w:lineRule="auto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E1FF48" wp14:editId="2A0D2179">
            <wp:simplePos x="0" y="0"/>
            <wp:positionH relativeFrom="column">
              <wp:posOffset>4527</wp:posOffset>
            </wp:positionH>
            <wp:positionV relativeFrom="paragraph">
              <wp:posOffset>4527</wp:posOffset>
            </wp:positionV>
            <wp:extent cx="996315" cy="693420"/>
            <wp:effectExtent l="0" t="0" r="0" b="0"/>
            <wp:wrapTight wrapText="bothSides">
              <wp:wrapPolygon edited="0">
                <wp:start x="0" y="0"/>
                <wp:lineTo x="0" y="19582"/>
                <wp:lineTo x="21063" y="19582"/>
                <wp:lineTo x="2106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FD296D">
        <w:rPr>
          <w:b/>
          <w:bCs/>
          <w:sz w:val="20"/>
          <w:szCs w:val="20"/>
        </w:rPr>
        <w:t xml:space="preserve">Curriculum Overview: </w:t>
      </w:r>
      <w:r w:rsidR="004461B4" w:rsidRPr="00FD296D">
        <w:rPr>
          <w:b/>
          <w:bCs/>
          <w:sz w:val="20"/>
          <w:szCs w:val="20"/>
        </w:rPr>
        <w:t xml:space="preserve">Music </w:t>
      </w:r>
    </w:p>
    <w:p w14:paraId="13BEF5C6" w14:textId="4AD39FF1" w:rsidR="00EA7829" w:rsidRPr="00FD296D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FD296D">
        <w:rPr>
          <w:b/>
          <w:bCs/>
          <w:sz w:val="20"/>
          <w:szCs w:val="20"/>
        </w:rPr>
        <w:t>Year group</w:t>
      </w:r>
      <w:r w:rsidR="004461B4" w:rsidRPr="00FD296D">
        <w:rPr>
          <w:b/>
          <w:bCs/>
          <w:sz w:val="20"/>
          <w:szCs w:val="20"/>
        </w:rPr>
        <w:t xml:space="preserve">: </w:t>
      </w:r>
      <w:r w:rsidR="00027E5A" w:rsidRPr="00FD296D">
        <w:rPr>
          <w:b/>
          <w:bCs/>
          <w:sz w:val="20"/>
          <w:szCs w:val="20"/>
        </w:rPr>
        <w:t>10</w:t>
      </w:r>
    </w:p>
    <w:p w14:paraId="6246CA08" w14:textId="447E60B5" w:rsidR="00EA7829" w:rsidRPr="00FD296D" w:rsidRDefault="00EA7829" w:rsidP="00EA7829">
      <w:pPr>
        <w:spacing w:after="0" w:line="240" w:lineRule="auto"/>
        <w:rPr>
          <w:sz w:val="20"/>
          <w:szCs w:val="20"/>
        </w:rPr>
      </w:pPr>
      <w:r w:rsidRPr="00FD296D">
        <w:rPr>
          <w:b/>
          <w:bCs/>
          <w:sz w:val="20"/>
          <w:szCs w:val="20"/>
        </w:rPr>
        <w:t>What your child will learn each half term</w:t>
      </w:r>
    </w:p>
    <w:p w14:paraId="6C65399B" w14:textId="0D5016D3" w:rsidR="00EA7829" w:rsidRPr="00FD296D" w:rsidRDefault="00EA7829" w:rsidP="00EA7829">
      <w:pPr>
        <w:spacing w:after="0" w:line="240" w:lineRule="auto"/>
        <w:rPr>
          <w:sz w:val="20"/>
          <w:szCs w:val="20"/>
        </w:rPr>
      </w:pPr>
      <w:r w:rsidRPr="00FD296D">
        <w:rPr>
          <w:sz w:val="20"/>
          <w:szCs w:val="20"/>
        </w:rPr>
        <w:t xml:space="preserve">This overview shows the key topics, skills, and knowledge your child will be learning in </w:t>
      </w:r>
      <w:r w:rsidR="004461B4" w:rsidRPr="00585BF3">
        <w:rPr>
          <w:b/>
          <w:bCs/>
          <w:sz w:val="20"/>
          <w:szCs w:val="20"/>
        </w:rPr>
        <w:t>Music</w:t>
      </w:r>
      <w:r w:rsidR="00C93118" w:rsidRPr="00FD296D">
        <w:rPr>
          <w:sz w:val="20"/>
          <w:szCs w:val="20"/>
        </w:rPr>
        <w:t xml:space="preserve"> </w:t>
      </w:r>
      <w:r w:rsidR="00585BF3">
        <w:rPr>
          <w:sz w:val="20"/>
          <w:szCs w:val="20"/>
        </w:rPr>
        <w:t xml:space="preserve">in </w:t>
      </w:r>
      <w:r w:rsidR="00585BF3" w:rsidRPr="00585BF3">
        <w:rPr>
          <w:b/>
          <w:bCs/>
          <w:sz w:val="20"/>
          <w:szCs w:val="20"/>
        </w:rPr>
        <w:t>Year 10</w:t>
      </w:r>
      <w:r w:rsidRPr="00FD296D">
        <w:rPr>
          <w:sz w:val="20"/>
          <w:szCs w:val="20"/>
        </w:rPr>
        <w:t xml:space="preserve">. It helps </w:t>
      </w:r>
      <w:r w:rsidR="0064353E" w:rsidRPr="00FD296D">
        <w:rPr>
          <w:sz w:val="20"/>
          <w:szCs w:val="20"/>
        </w:rPr>
        <w:t xml:space="preserve">families </w:t>
      </w:r>
      <w:r w:rsidRPr="00FD296D">
        <w:rPr>
          <w:sz w:val="20"/>
          <w:szCs w:val="20"/>
        </w:rPr>
        <w:t>understand what’s being taught, how it builds on previous learning, and how you can support your child at home.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4677"/>
        <w:gridCol w:w="3828"/>
        <w:gridCol w:w="2976"/>
        <w:gridCol w:w="1701"/>
      </w:tblGrid>
      <w:tr w:rsidR="00FD7922" w:rsidRPr="00FD296D" w14:paraId="5583BA28" w14:textId="77777777" w:rsidTr="00C76900">
        <w:trPr>
          <w:trHeight w:val="651"/>
        </w:trPr>
        <w:tc>
          <w:tcPr>
            <w:tcW w:w="704" w:type="dxa"/>
            <w:shd w:val="clear" w:color="auto" w:fill="FFC000"/>
          </w:tcPr>
          <w:p w14:paraId="0EE5DC1B" w14:textId="7838AB14" w:rsidR="00FD7922" w:rsidRPr="00FD296D" w:rsidRDefault="00FD7922" w:rsidP="002D429A">
            <w:pPr>
              <w:jc w:val="center"/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>Half term</w:t>
            </w:r>
          </w:p>
        </w:tc>
        <w:tc>
          <w:tcPr>
            <w:tcW w:w="1418" w:type="dxa"/>
            <w:shd w:val="clear" w:color="auto" w:fill="FFC000"/>
          </w:tcPr>
          <w:p w14:paraId="2339B7E0" w14:textId="7242DC18" w:rsidR="00FD7922" w:rsidRPr="00FD296D" w:rsidRDefault="00FD7922" w:rsidP="002D429A">
            <w:pPr>
              <w:jc w:val="center"/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>What we are learning</w:t>
            </w:r>
          </w:p>
        </w:tc>
        <w:tc>
          <w:tcPr>
            <w:tcW w:w="4677" w:type="dxa"/>
            <w:shd w:val="clear" w:color="auto" w:fill="FFC000"/>
          </w:tcPr>
          <w:p w14:paraId="580EDB00" w14:textId="77777777" w:rsidR="00FD7922" w:rsidRPr="00FD296D" w:rsidRDefault="00FD7922" w:rsidP="002D429A">
            <w:pPr>
              <w:jc w:val="center"/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>Key knowledge</w:t>
            </w:r>
          </w:p>
          <w:p w14:paraId="784FCB76" w14:textId="551EEAE2" w:rsidR="00FD7922" w:rsidRPr="00FD296D" w:rsidRDefault="00FD7922" w:rsidP="002D429A">
            <w:pPr>
              <w:jc w:val="center"/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>and skills</w:t>
            </w:r>
          </w:p>
        </w:tc>
        <w:tc>
          <w:tcPr>
            <w:tcW w:w="3828" w:type="dxa"/>
            <w:shd w:val="clear" w:color="auto" w:fill="FFC000"/>
          </w:tcPr>
          <w:p w14:paraId="283D6BD3" w14:textId="1BAF9A8F" w:rsidR="00FD7922" w:rsidRPr="00FD296D" w:rsidRDefault="00FD7922" w:rsidP="002D429A">
            <w:pPr>
              <w:jc w:val="center"/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>How we will assess learning in this unit</w:t>
            </w:r>
          </w:p>
        </w:tc>
        <w:tc>
          <w:tcPr>
            <w:tcW w:w="2976" w:type="dxa"/>
            <w:shd w:val="clear" w:color="auto" w:fill="FFC000"/>
          </w:tcPr>
          <w:p w14:paraId="10214C8F" w14:textId="51739106" w:rsidR="00FD7922" w:rsidRPr="00FD296D" w:rsidRDefault="00FD7922" w:rsidP="002D429A">
            <w:pPr>
              <w:jc w:val="center"/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>Homework</w:t>
            </w:r>
          </w:p>
        </w:tc>
        <w:tc>
          <w:tcPr>
            <w:tcW w:w="1701" w:type="dxa"/>
            <w:shd w:val="clear" w:color="auto" w:fill="FFC000"/>
          </w:tcPr>
          <w:p w14:paraId="575E3E2A" w14:textId="503A1FEA" w:rsidR="00FD7922" w:rsidRPr="00FD296D" w:rsidRDefault="00FD7922" w:rsidP="002D429A">
            <w:pPr>
              <w:jc w:val="center"/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>Key vocabulary for this unit</w:t>
            </w:r>
          </w:p>
        </w:tc>
      </w:tr>
      <w:tr w:rsidR="00FD7922" w:rsidRPr="00FD296D" w14:paraId="7C58B2FF" w14:textId="77777777" w:rsidTr="00C76900">
        <w:trPr>
          <w:trHeight w:val="1266"/>
        </w:trPr>
        <w:tc>
          <w:tcPr>
            <w:tcW w:w="704" w:type="dxa"/>
          </w:tcPr>
          <w:p w14:paraId="69777C86" w14:textId="0B22B1E2" w:rsidR="00FD7922" w:rsidRPr="00FD296D" w:rsidRDefault="00FD7922" w:rsidP="00EA7829">
            <w:pPr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 xml:space="preserve">HT 1 </w:t>
            </w:r>
          </w:p>
        </w:tc>
        <w:tc>
          <w:tcPr>
            <w:tcW w:w="1418" w:type="dxa"/>
          </w:tcPr>
          <w:p w14:paraId="27F113D9" w14:textId="347D930F" w:rsidR="00FD7922" w:rsidRPr="00FD296D" w:rsidRDefault="003A4D2C" w:rsidP="00EA7829">
            <w:pPr>
              <w:rPr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t>Introduction to the GCSE</w:t>
            </w:r>
          </w:p>
        </w:tc>
        <w:tc>
          <w:tcPr>
            <w:tcW w:w="4677" w:type="dxa"/>
          </w:tcPr>
          <w:p w14:paraId="54EFFDC4" w14:textId="1915CD4C" w:rsidR="00FD7922" w:rsidRPr="00FD296D" w:rsidRDefault="003A4D2C" w:rsidP="00226000">
            <w:pPr>
              <w:rPr>
                <w:b/>
                <w:bCs/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t>Ap</w:t>
            </w:r>
            <w:r w:rsidR="00FF7C40" w:rsidRPr="00FD296D">
              <w:rPr>
                <w:b/>
                <w:bCs/>
                <w:sz w:val="20"/>
                <w:szCs w:val="20"/>
              </w:rPr>
              <w:t xml:space="preserve">praising &amp; </w:t>
            </w:r>
            <w:r w:rsidR="00FD7922" w:rsidRPr="00FD296D">
              <w:rPr>
                <w:b/>
                <w:bCs/>
                <w:sz w:val="20"/>
                <w:szCs w:val="20"/>
              </w:rPr>
              <w:t xml:space="preserve">Listening </w:t>
            </w:r>
            <w:r w:rsidR="00FA3263" w:rsidRPr="00FD296D">
              <w:rPr>
                <w:b/>
                <w:bCs/>
                <w:sz w:val="20"/>
                <w:szCs w:val="20"/>
              </w:rPr>
              <w:t xml:space="preserve">Exam </w:t>
            </w:r>
            <w:r w:rsidR="00FD7922" w:rsidRPr="00FD296D">
              <w:rPr>
                <w:b/>
                <w:bCs/>
                <w:sz w:val="20"/>
                <w:szCs w:val="20"/>
              </w:rPr>
              <w:t xml:space="preserve">Skills </w:t>
            </w:r>
            <w:r w:rsidR="00B86600" w:rsidRPr="00FD296D">
              <w:rPr>
                <w:b/>
                <w:bCs/>
                <w:sz w:val="20"/>
                <w:szCs w:val="20"/>
              </w:rPr>
              <w:t>(40%)</w:t>
            </w:r>
          </w:p>
          <w:p w14:paraId="196C804E" w14:textId="6EB24285" w:rsidR="00FD7922" w:rsidRPr="00FD296D" w:rsidRDefault="00FD296D" w:rsidP="00226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</w:t>
            </w:r>
            <w:r w:rsidR="00A524CE" w:rsidRPr="00FD296D">
              <w:rPr>
                <w:sz w:val="20"/>
                <w:szCs w:val="20"/>
              </w:rPr>
              <w:t xml:space="preserve"> skills needed for the 1hr 45 min exam. </w:t>
            </w:r>
          </w:p>
          <w:p w14:paraId="1975F294" w14:textId="3008E35C" w:rsidR="00346E29" w:rsidRPr="00FD296D" w:rsidRDefault="00FD296D" w:rsidP="00226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Consolidation</w:t>
            </w:r>
            <w:r w:rsidR="00346E29" w:rsidRPr="00FD296D">
              <w:rPr>
                <w:sz w:val="20"/>
                <w:szCs w:val="20"/>
              </w:rPr>
              <w:t xml:space="preserve"> MAD TSHIRT (melody, articulation, dynamics, tempo,</w:t>
            </w:r>
            <w:r w:rsidR="008C74EB" w:rsidRPr="00FD296D">
              <w:rPr>
                <w:sz w:val="20"/>
                <w:szCs w:val="20"/>
              </w:rPr>
              <w:t xml:space="preserve"> structure, harmony, instrumentation, rhythm and texture)</w:t>
            </w:r>
          </w:p>
          <w:p w14:paraId="7F19D1A1" w14:textId="6006FADD" w:rsidR="001A2306" w:rsidRPr="00FD296D" w:rsidRDefault="00247038" w:rsidP="00226000">
            <w:pPr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 xml:space="preserve">Set works covered </w:t>
            </w:r>
            <w:r w:rsidR="00E773FE" w:rsidRPr="00FD296D">
              <w:rPr>
                <w:sz w:val="20"/>
                <w:szCs w:val="20"/>
              </w:rPr>
              <w:t>include</w:t>
            </w:r>
            <w:r w:rsidRPr="00FD296D">
              <w:rPr>
                <w:sz w:val="20"/>
                <w:szCs w:val="20"/>
              </w:rPr>
              <w:t xml:space="preserve"> Afro Celt Sound System, Purcell, Beethoven, </w:t>
            </w:r>
            <w:r w:rsidR="00935BD4" w:rsidRPr="00FD296D">
              <w:rPr>
                <w:sz w:val="20"/>
                <w:szCs w:val="20"/>
              </w:rPr>
              <w:t xml:space="preserve">and </w:t>
            </w:r>
            <w:r w:rsidRPr="00FD296D">
              <w:rPr>
                <w:sz w:val="20"/>
                <w:szCs w:val="20"/>
              </w:rPr>
              <w:t>Schwartz</w:t>
            </w:r>
            <w:r w:rsidR="00935BD4" w:rsidRPr="00FD296D">
              <w:rPr>
                <w:sz w:val="20"/>
                <w:szCs w:val="20"/>
              </w:rPr>
              <w:t>.</w:t>
            </w:r>
          </w:p>
          <w:p w14:paraId="2784ECAF" w14:textId="1238F059" w:rsidR="00FD7922" w:rsidRPr="00FD296D" w:rsidRDefault="00FD7922" w:rsidP="008606E7">
            <w:pPr>
              <w:rPr>
                <w:b/>
                <w:bCs/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t>Composition</w:t>
            </w:r>
            <w:r w:rsidR="00FA3263" w:rsidRPr="00FD296D">
              <w:rPr>
                <w:b/>
                <w:bCs/>
                <w:sz w:val="20"/>
                <w:szCs w:val="20"/>
              </w:rPr>
              <w:t xml:space="preserve"> </w:t>
            </w:r>
            <w:r w:rsidRPr="00FD296D">
              <w:rPr>
                <w:b/>
                <w:bCs/>
                <w:sz w:val="20"/>
                <w:szCs w:val="20"/>
              </w:rPr>
              <w:t xml:space="preserve">Skills </w:t>
            </w:r>
            <w:r w:rsidR="00B86600" w:rsidRPr="00FD296D">
              <w:rPr>
                <w:b/>
                <w:bCs/>
                <w:sz w:val="20"/>
                <w:szCs w:val="20"/>
              </w:rPr>
              <w:t>(30%)</w:t>
            </w:r>
          </w:p>
          <w:p w14:paraId="41D07DB4" w14:textId="76B08ED9" w:rsidR="00FD7922" w:rsidRPr="00FD296D" w:rsidRDefault="00935BD4" w:rsidP="00226000">
            <w:pPr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 xml:space="preserve">Basic reminders of the pitch names and chord options for </w:t>
            </w:r>
            <w:r w:rsidR="00F069C8" w:rsidRPr="00FD296D">
              <w:rPr>
                <w:sz w:val="20"/>
                <w:szCs w:val="20"/>
              </w:rPr>
              <w:t xml:space="preserve">simple compositions. </w:t>
            </w:r>
          </w:p>
          <w:p w14:paraId="04922F41" w14:textId="6D77FB1F" w:rsidR="001A2306" w:rsidRPr="00FD296D" w:rsidRDefault="00F069C8" w:rsidP="00226000">
            <w:pPr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 xml:space="preserve">This will be done through our online program ‘Noteflight’ and will </w:t>
            </w:r>
            <w:r w:rsidR="00BB41C9" w:rsidRPr="00FD296D">
              <w:rPr>
                <w:sz w:val="20"/>
                <w:szCs w:val="20"/>
              </w:rPr>
              <w:t>ensure a good understanding of the skills needed to create and refine compositions.</w:t>
            </w:r>
          </w:p>
          <w:p w14:paraId="3178B903" w14:textId="55D18E65" w:rsidR="00FD7922" w:rsidRPr="00FD296D" w:rsidRDefault="00FD7922" w:rsidP="00FD7922">
            <w:pPr>
              <w:rPr>
                <w:b/>
                <w:bCs/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t>Performance Skills</w:t>
            </w:r>
            <w:r w:rsidR="00B86600" w:rsidRPr="00FD296D">
              <w:rPr>
                <w:b/>
                <w:bCs/>
                <w:sz w:val="20"/>
                <w:szCs w:val="20"/>
              </w:rPr>
              <w:t xml:space="preserve"> (30%)</w:t>
            </w:r>
          </w:p>
          <w:p w14:paraId="66932646" w14:textId="2EE9B346" w:rsidR="00FD7922" w:rsidRPr="00FD296D" w:rsidRDefault="00BB41C9" w:rsidP="00FD7922">
            <w:pPr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>Students are encouraged to have lessons on their instrument or voice</w:t>
            </w:r>
            <w:r w:rsidR="00E96D0F" w:rsidRPr="00FD296D">
              <w:rPr>
                <w:sz w:val="20"/>
                <w:szCs w:val="20"/>
              </w:rPr>
              <w:t xml:space="preserve"> and will prepare during the first half-term a solo performance on their chosen instrument. </w:t>
            </w:r>
          </w:p>
        </w:tc>
        <w:tc>
          <w:tcPr>
            <w:tcW w:w="3828" w:type="dxa"/>
          </w:tcPr>
          <w:p w14:paraId="280F3142" w14:textId="225BE45C" w:rsidR="00FD7922" w:rsidRPr="00FD296D" w:rsidRDefault="00FD7922" w:rsidP="00226000">
            <w:pPr>
              <w:rPr>
                <w:b/>
                <w:bCs/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t>Listening</w:t>
            </w:r>
            <w:r w:rsidR="009E78EF" w:rsidRPr="00FD296D">
              <w:rPr>
                <w:b/>
                <w:bCs/>
                <w:sz w:val="20"/>
                <w:szCs w:val="20"/>
              </w:rPr>
              <w:t xml:space="preserve"> </w:t>
            </w:r>
            <w:r w:rsidRPr="00FD296D">
              <w:rPr>
                <w:b/>
                <w:bCs/>
                <w:sz w:val="20"/>
                <w:szCs w:val="20"/>
              </w:rPr>
              <w:t>skills knowledge check</w:t>
            </w:r>
            <w:r w:rsidR="00531D2A" w:rsidRPr="00FD296D">
              <w:rPr>
                <w:b/>
                <w:bCs/>
                <w:sz w:val="20"/>
                <w:szCs w:val="20"/>
              </w:rPr>
              <w:t>.</w:t>
            </w:r>
          </w:p>
          <w:p w14:paraId="1B21A9DD" w14:textId="5B69AAD7" w:rsidR="008606E7" w:rsidRPr="00FD296D" w:rsidRDefault="00E00E13" w:rsidP="00226000">
            <w:pPr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 xml:space="preserve">Simplified ‘exam style’ questions will be used to </w:t>
            </w:r>
            <w:r w:rsidR="00394EA8" w:rsidRPr="00FD296D">
              <w:rPr>
                <w:sz w:val="20"/>
                <w:szCs w:val="20"/>
              </w:rPr>
              <w:t>ensure a good understanding of the concepts discussed in class and feedback, including peer, self and teacher assessment will ensure students</w:t>
            </w:r>
            <w:r w:rsidR="009E78EF" w:rsidRPr="00FD296D">
              <w:rPr>
                <w:sz w:val="20"/>
                <w:szCs w:val="20"/>
              </w:rPr>
              <w:t xml:space="preserve"> know their areas of strength.</w:t>
            </w:r>
          </w:p>
          <w:p w14:paraId="05585068" w14:textId="663734CF" w:rsidR="008606E7" w:rsidRPr="00FD296D" w:rsidRDefault="008606E7" w:rsidP="00226000">
            <w:pPr>
              <w:rPr>
                <w:b/>
                <w:bCs/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t xml:space="preserve">Composition </w:t>
            </w:r>
            <w:r w:rsidR="003B29F7" w:rsidRPr="00FD296D">
              <w:rPr>
                <w:b/>
                <w:bCs/>
                <w:sz w:val="20"/>
                <w:szCs w:val="20"/>
              </w:rPr>
              <w:t>activities</w:t>
            </w:r>
          </w:p>
          <w:p w14:paraId="3842DC7C" w14:textId="7FCBCF25" w:rsidR="00531D2A" w:rsidRPr="00FD296D" w:rsidRDefault="00531D2A" w:rsidP="00226000">
            <w:pPr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 xml:space="preserve">Weekly feedback will be given via the ‘Score details’ box on </w:t>
            </w:r>
            <w:r w:rsidR="00E773FE" w:rsidRPr="00FD296D">
              <w:rPr>
                <w:sz w:val="20"/>
                <w:szCs w:val="20"/>
              </w:rPr>
              <w:t>N</w:t>
            </w:r>
            <w:r w:rsidRPr="00FD296D">
              <w:rPr>
                <w:sz w:val="20"/>
                <w:szCs w:val="20"/>
              </w:rPr>
              <w:t xml:space="preserve">oteflight. One </w:t>
            </w:r>
            <w:r w:rsidR="003B29F7" w:rsidRPr="00FD296D">
              <w:rPr>
                <w:sz w:val="20"/>
                <w:szCs w:val="20"/>
              </w:rPr>
              <w:t>to</w:t>
            </w:r>
            <w:r w:rsidRPr="00FD296D">
              <w:rPr>
                <w:sz w:val="20"/>
                <w:szCs w:val="20"/>
              </w:rPr>
              <w:t xml:space="preserve"> one </w:t>
            </w:r>
            <w:r w:rsidR="00444D03" w:rsidRPr="00FD296D">
              <w:rPr>
                <w:sz w:val="20"/>
                <w:szCs w:val="20"/>
              </w:rPr>
              <w:t>support will also be included as part of the weekly composition lessons.</w:t>
            </w:r>
          </w:p>
          <w:p w14:paraId="36303F58" w14:textId="3D7757A7" w:rsidR="00FD7922" w:rsidRPr="00FD296D" w:rsidRDefault="00FD7922" w:rsidP="00D8775B">
            <w:pPr>
              <w:rPr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t>Formative Performance advice</w:t>
            </w:r>
            <w:r w:rsidR="009E78EF" w:rsidRPr="00FD296D">
              <w:rPr>
                <w:sz w:val="20"/>
                <w:szCs w:val="20"/>
              </w:rPr>
              <w:t xml:space="preserve"> will be given after each class performance. These take place during the last lesson of each half-term. Advice on the difficulty of the piece and areas of improvement form the nature of the feedback.</w:t>
            </w:r>
          </w:p>
        </w:tc>
        <w:tc>
          <w:tcPr>
            <w:tcW w:w="2976" w:type="dxa"/>
          </w:tcPr>
          <w:p w14:paraId="554FF773" w14:textId="32574F7E" w:rsidR="00B86600" w:rsidRPr="00FD296D" w:rsidRDefault="00E5336B" w:rsidP="00EA7829">
            <w:pPr>
              <w:rPr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t>Listening support</w:t>
            </w:r>
            <w:r w:rsidRPr="00FD296D">
              <w:rPr>
                <w:sz w:val="20"/>
                <w:szCs w:val="20"/>
              </w:rPr>
              <w:t xml:space="preserve"> such as posters and</w:t>
            </w:r>
            <w:r w:rsidR="0072714C" w:rsidRPr="00FD296D">
              <w:rPr>
                <w:sz w:val="20"/>
                <w:szCs w:val="20"/>
              </w:rPr>
              <w:t xml:space="preserve"> booklets are taken home</w:t>
            </w:r>
            <w:r w:rsidR="00DF7A92" w:rsidRPr="00FD296D">
              <w:rPr>
                <w:sz w:val="20"/>
                <w:szCs w:val="20"/>
              </w:rPr>
              <w:t xml:space="preserve"> to prepare for our formative questions</w:t>
            </w:r>
            <w:r w:rsidR="00A45303" w:rsidRPr="00FD296D">
              <w:rPr>
                <w:sz w:val="20"/>
                <w:szCs w:val="20"/>
              </w:rPr>
              <w:t xml:space="preserve">. </w:t>
            </w:r>
          </w:p>
          <w:p w14:paraId="57315230" w14:textId="724B2707" w:rsidR="00B86600" w:rsidRPr="00FD296D" w:rsidRDefault="00B86600" w:rsidP="00EA7829">
            <w:pPr>
              <w:rPr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t>Composition Homework</w:t>
            </w:r>
            <w:r w:rsidRPr="00FD296D">
              <w:rPr>
                <w:sz w:val="20"/>
                <w:szCs w:val="20"/>
              </w:rPr>
              <w:t xml:space="preserve"> is set weekly (30 mins) and will include</w:t>
            </w:r>
            <w:r w:rsidR="00AA429E" w:rsidRPr="00FD296D">
              <w:rPr>
                <w:sz w:val="20"/>
                <w:szCs w:val="20"/>
              </w:rPr>
              <w:t xml:space="preserve"> compositional tasks which will enable students to see the skills needed to use the Noteflight program</w:t>
            </w:r>
            <w:r w:rsidR="00F17980" w:rsidRPr="00FD296D">
              <w:rPr>
                <w:sz w:val="20"/>
                <w:szCs w:val="20"/>
              </w:rPr>
              <w:t xml:space="preserve"> to complete their first ‘Free Choice’ Composition</w:t>
            </w:r>
          </w:p>
          <w:p w14:paraId="2A91E64E" w14:textId="29204CDC" w:rsidR="00FD7922" w:rsidRPr="00FD296D" w:rsidRDefault="00FD7922" w:rsidP="00EA7829">
            <w:pPr>
              <w:rPr>
                <w:b/>
                <w:bCs/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t xml:space="preserve">Practice for performance. </w:t>
            </w:r>
          </w:p>
          <w:p w14:paraId="7D5031BF" w14:textId="6DF2F46F" w:rsidR="00FD7922" w:rsidRPr="00FD296D" w:rsidRDefault="00C22975" w:rsidP="00EA7829">
            <w:pPr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 xml:space="preserve">Weekly practice booklets are given to students to help focus their </w:t>
            </w:r>
            <w:r w:rsidR="004F34AF" w:rsidRPr="00FD296D">
              <w:rPr>
                <w:sz w:val="20"/>
                <w:szCs w:val="20"/>
              </w:rPr>
              <w:t xml:space="preserve">practice routines with advice from their teacher. </w:t>
            </w:r>
          </w:p>
        </w:tc>
        <w:tc>
          <w:tcPr>
            <w:tcW w:w="1701" w:type="dxa"/>
          </w:tcPr>
          <w:p w14:paraId="588672CC" w14:textId="69717FD2" w:rsidR="00FD7922" w:rsidRPr="00FD296D" w:rsidRDefault="00FD7922" w:rsidP="00EA7829">
            <w:pPr>
              <w:rPr>
                <w:b/>
                <w:bCs/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t>Music vocab</w:t>
            </w:r>
            <w:r w:rsidR="00FF7C40" w:rsidRPr="00FD296D">
              <w:rPr>
                <w:b/>
                <w:bCs/>
                <w:sz w:val="20"/>
                <w:szCs w:val="20"/>
              </w:rPr>
              <w:t>ulary</w:t>
            </w:r>
          </w:p>
          <w:p w14:paraId="51FA05FB" w14:textId="5399B195" w:rsidR="0068387A" w:rsidRPr="00FD296D" w:rsidRDefault="008C74EB" w:rsidP="00EA7829">
            <w:pPr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 xml:space="preserve">The basics of </w:t>
            </w:r>
            <w:r w:rsidR="00C14303" w:rsidRPr="00FD296D">
              <w:rPr>
                <w:sz w:val="20"/>
                <w:szCs w:val="20"/>
              </w:rPr>
              <w:t>describing music using MAD TSHIRT (melody, articulation, dynamics, tempo, structure, harmony, instrumentation, rhythm and texture)</w:t>
            </w:r>
          </w:p>
          <w:p w14:paraId="73FAECBB" w14:textId="71B4BB03" w:rsidR="0068387A" w:rsidRPr="00FD296D" w:rsidRDefault="0068387A" w:rsidP="00EA7829">
            <w:pPr>
              <w:rPr>
                <w:sz w:val="20"/>
                <w:szCs w:val="20"/>
              </w:rPr>
            </w:pPr>
          </w:p>
        </w:tc>
      </w:tr>
      <w:tr w:rsidR="00FF600B" w:rsidRPr="00FD296D" w14:paraId="6BCF4BAC" w14:textId="77777777" w:rsidTr="00C76900">
        <w:trPr>
          <w:trHeight w:val="355"/>
        </w:trPr>
        <w:tc>
          <w:tcPr>
            <w:tcW w:w="704" w:type="dxa"/>
          </w:tcPr>
          <w:p w14:paraId="02692364" w14:textId="0BE51EB0" w:rsidR="00FF600B" w:rsidRPr="00FD296D" w:rsidRDefault="00FF600B" w:rsidP="00FF600B">
            <w:pPr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>HT 2</w:t>
            </w:r>
          </w:p>
        </w:tc>
        <w:tc>
          <w:tcPr>
            <w:tcW w:w="1418" w:type="dxa"/>
          </w:tcPr>
          <w:p w14:paraId="167F5F2A" w14:textId="306AC86E" w:rsidR="00FF600B" w:rsidRPr="00FD296D" w:rsidRDefault="00FF600B" w:rsidP="00FF600B">
            <w:pPr>
              <w:rPr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t>Securing the skills needed for the GCSE</w:t>
            </w:r>
          </w:p>
        </w:tc>
        <w:tc>
          <w:tcPr>
            <w:tcW w:w="4677" w:type="dxa"/>
          </w:tcPr>
          <w:p w14:paraId="19EEB2B5" w14:textId="77777777" w:rsidR="00FF600B" w:rsidRPr="00FD296D" w:rsidRDefault="00FF600B" w:rsidP="00FF600B">
            <w:pPr>
              <w:rPr>
                <w:b/>
                <w:bCs/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t>Appraising &amp; Listening Exam Skills (40%)</w:t>
            </w:r>
          </w:p>
          <w:p w14:paraId="754A90DC" w14:textId="36245256" w:rsidR="00FF600B" w:rsidRPr="00FD296D" w:rsidRDefault="00FF600B" w:rsidP="00FF600B">
            <w:pPr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 xml:space="preserve">Student will </w:t>
            </w:r>
            <w:r w:rsidR="00C76900">
              <w:rPr>
                <w:sz w:val="20"/>
                <w:szCs w:val="20"/>
              </w:rPr>
              <w:t xml:space="preserve">continue to </w:t>
            </w:r>
            <w:r w:rsidR="00B81F88" w:rsidRPr="00FD296D">
              <w:rPr>
                <w:sz w:val="20"/>
                <w:szCs w:val="20"/>
              </w:rPr>
              <w:t>develop their responses to questions using increasingly co</w:t>
            </w:r>
            <w:r w:rsidR="00F15CAA" w:rsidRPr="00FD296D">
              <w:rPr>
                <w:sz w:val="20"/>
                <w:szCs w:val="20"/>
              </w:rPr>
              <w:t>m</w:t>
            </w:r>
            <w:r w:rsidR="00B81F88" w:rsidRPr="00FD296D">
              <w:rPr>
                <w:sz w:val="20"/>
                <w:szCs w:val="20"/>
              </w:rPr>
              <w:t>plex vocabulary</w:t>
            </w:r>
            <w:r w:rsidR="00C76900">
              <w:rPr>
                <w:sz w:val="20"/>
                <w:szCs w:val="20"/>
              </w:rPr>
              <w:t>.</w:t>
            </w:r>
          </w:p>
          <w:p w14:paraId="5DDACE8D" w14:textId="79489F3A" w:rsidR="00FF600B" w:rsidRPr="00FD296D" w:rsidRDefault="00FF600B" w:rsidP="00FF600B">
            <w:pPr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 xml:space="preserve">Set works covered during this time </w:t>
            </w:r>
            <w:r w:rsidR="00E773FE" w:rsidRPr="00FD296D">
              <w:rPr>
                <w:sz w:val="20"/>
                <w:szCs w:val="20"/>
              </w:rPr>
              <w:t>include</w:t>
            </w:r>
            <w:r w:rsidRPr="00FD296D">
              <w:rPr>
                <w:sz w:val="20"/>
                <w:szCs w:val="20"/>
              </w:rPr>
              <w:t xml:space="preserve"> </w:t>
            </w:r>
            <w:r w:rsidR="00F1113D" w:rsidRPr="00FD296D">
              <w:rPr>
                <w:sz w:val="20"/>
                <w:szCs w:val="20"/>
              </w:rPr>
              <w:t>Spalding, Queen, Bach and John Williams</w:t>
            </w:r>
            <w:r w:rsidR="003A0361" w:rsidRPr="00FD296D">
              <w:rPr>
                <w:sz w:val="20"/>
                <w:szCs w:val="20"/>
              </w:rPr>
              <w:t xml:space="preserve">. </w:t>
            </w:r>
          </w:p>
          <w:p w14:paraId="2E32DAE1" w14:textId="6913F21D" w:rsidR="00FF600B" w:rsidRPr="00FD296D" w:rsidRDefault="00E056BC" w:rsidP="00FF600B">
            <w:pPr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 xml:space="preserve">Students will </w:t>
            </w:r>
            <w:r w:rsidR="00C76900">
              <w:rPr>
                <w:sz w:val="20"/>
                <w:szCs w:val="20"/>
              </w:rPr>
              <w:t>answer</w:t>
            </w:r>
            <w:r w:rsidRPr="00FD296D">
              <w:rPr>
                <w:sz w:val="20"/>
                <w:szCs w:val="20"/>
              </w:rPr>
              <w:t xml:space="preserve"> </w:t>
            </w:r>
            <w:r w:rsidR="000E5F46" w:rsidRPr="00FD296D">
              <w:rPr>
                <w:sz w:val="20"/>
                <w:szCs w:val="20"/>
              </w:rPr>
              <w:t>full GCSE style questions</w:t>
            </w:r>
            <w:r w:rsidR="00C76900">
              <w:rPr>
                <w:sz w:val="20"/>
                <w:szCs w:val="20"/>
              </w:rPr>
              <w:t xml:space="preserve">. </w:t>
            </w:r>
          </w:p>
          <w:p w14:paraId="7003B38A" w14:textId="77777777" w:rsidR="00FF600B" w:rsidRPr="00FD296D" w:rsidRDefault="00FF600B" w:rsidP="00FF600B">
            <w:pPr>
              <w:rPr>
                <w:b/>
                <w:bCs/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t>Composition Skills (30%)</w:t>
            </w:r>
          </w:p>
          <w:p w14:paraId="590BB21D" w14:textId="77777777" w:rsidR="00FF600B" w:rsidRPr="00FD296D" w:rsidRDefault="00FF600B" w:rsidP="00FF600B">
            <w:pPr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 xml:space="preserve">Basic reminders of the pitch names and chord options for simple compositions. </w:t>
            </w:r>
          </w:p>
          <w:p w14:paraId="583CA219" w14:textId="4C015C85" w:rsidR="00FF600B" w:rsidRPr="00FD296D" w:rsidRDefault="00FF600B" w:rsidP="00FF600B">
            <w:pPr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>This will be done through our online program ‘Noteflight’ and will ensure a good understanding of the skills needed to create, adapt and refine compositions.</w:t>
            </w:r>
          </w:p>
          <w:p w14:paraId="29237D90" w14:textId="77777777" w:rsidR="00FF600B" w:rsidRPr="00FD296D" w:rsidRDefault="00FF600B" w:rsidP="00FF600B">
            <w:pPr>
              <w:rPr>
                <w:b/>
                <w:bCs/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t>Performance Skills (30%)</w:t>
            </w:r>
          </w:p>
          <w:p w14:paraId="2F728BB4" w14:textId="05A91483" w:rsidR="00FF600B" w:rsidRPr="00FD296D" w:rsidRDefault="00FF600B" w:rsidP="00FF600B">
            <w:pPr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lastRenderedPageBreak/>
              <w:t>Students are responsible for choosing their own piece but can get advice from their teacher.</w:t>
            </w:r>
          </w:p>
        </w:tc>
        <w:tc>
          <w:tcPr>
            <w:tcW w:w="3828" w:type="dxa"/>
          </w:tcPr>
          <w:p w14:paraId="727F5700" w14:textId="77777777" w:rsidR="00FF600B" w:rsidRPr="00FD296D" w:rsidRDefault="00FF600B" w:rsidP="00FF600B">
            <w:pPr>
              <w:rPr>
                <w:b/>
                <w:bCs/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lastRenderedPageBreak/>
              <w:t>Listening skills knowledge check.</w:t>
            </w:r>
          </w:p>
          <w:p w14:paraId="2CB3C648" w14:textId="4FA555A7" w:rsidR="00FF600B" w:rsidRPr="00FD296D" w:rsidRDefault="00F15CAA" w:rsidP="00FF600B">
            <w:pPr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>Exam</w:t>
            </w:r>
            <w:r w:rsidR="00FF600B" w:rsidRPr="00FD296D">
              <w:rPr>
                <w:sz w:val="20"/>
                <w:szCs w:val="20"/>
              </w:rPr>
              <w:t xml:space="preserve"> questions will be used to ensure a good understanding of the concepts discussed in class</w:t>
            </w:r>
            <w:r w:rsidR="00C76900">
              <w:rPr>
                <w:sz w:val="20"/>
                <w:szCs w:val="20"/>
              </w:rPr>
              <w:t xml:space="preserve">. </w:t>
            </w:r>
            <w:r w:rsidR="007A6FCC" w:rsidRPr="00FD296D">
              <w:rPr>
                <w:sz w:val="20"/>
                <w:szCs w:val="20"/>
              </w:rPr>
              <w:t>This will include dictation</w:t>
            </w:r>
            <w:r w:rsidR="00C76900">
              <w:rPr>
                <w:sz w:val="20"/>
                <w:szCs w:val="20"/>
              </w:rPr>
              <w:t>, the</w:t>
            </w:r>
            <w:r w:rsidR="007A6FCC" w:rsidRPr="00FD296D">
              <w:rPr>
                <w:sz w:val="20"/>
                <w:szCs w:val="20"/>
              </w:rPr>
              <w:t xml:space="preserve"> ‘unfamiliar’ question and comparison essay </w:t>
            </w:r>
            <w:r w:rsidR="00F04E92" w:rsidRPr="00FD296D">
              <w:rPr>
                <w:sz w:val="20"/>
                <w:szCs w:val="20"/>
              </w:rPr>
              <w:t>question</w:t>
            </w:r>
            <w:r w:rsidR="00C76900">
              <w:rPr>
                <w:sz w:val="20"/>
                <w:szCs w:val="20"/>
              </w:rPr>
              <w:t>. A</w:t>
            </w:r>
            <w:r w:rsidR="00C76900" w:rsidRPr="00FD296D">
              <w:rPr>
                <w:sz w:val="20"/>
                <w:szCs w:val="20"/>
              </w:rPr>
              <w:t>ssessment at the end of the term.</w:t>
            </w:r>
          </w:p>
          <w:p w14:paraId="07CA771A" w14:textId="77777777" w:rsidR="00FF600B" w:rsidRPr="00FD296D" w:rsidRDefault="00FF600B" w:rsidP="00FF600B">
            <w:pPr>
              <w:rPr>
                <w:b/>
                <w:bCs/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t>Composition activities</w:t>
            </w:r>
          </w:p>
          <w:p w14:paraId="452CF257" w14:textId="6D8A6DCC" w:rsidR="00FF600B" w:rsidRPr="00FD296D" w:rsidRDefault="00F04E92" w:rsidP="00FF600B">
            <w:pPr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 xml:space="preserve">By the end of the term students will have the skills to write their own melody and chord pattern. </w:t>
            </w:r>
          </w:p>
          <w:p w14:paraId="6859D4EF" w14:textId="3FAFF2A4" w:rsidR="00FF600B" w:rsidRPr="00FD296D" w:rsidRDefault="00FF600B" w:rsidP="00FF600B">
            <w:pPr>
              <w:rPr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t>Formative Performance advice</w:t>
            </w:r>
            <w:r w:rsidRPr="00FD296D">
              <w:rPr>
                <w:sz w:val="20"/>
                <w:szCs w:val="20"/>
              </w:rPr>
              <w:t xml:space="preserve"> </w:t>
            </w:r>
          </w:p>
          <w:p w14:paraId="586640C5" w14:textId="6370BACD" w:rsidR="00FF600B" w:rsidRPr="00FD296D" w:rsidRDefault="00FF600B" w:rsidP="00FF600B">
            <w:pPr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 xml:space="preserve">Students are asked to reflect in self and peer assessment tasks to focus their </w:t>
            </w:r>
            <w:r w:rsidRPr="00FD296D">
              <w:rPr>
                <w:sz w:val="20"/>
                <w:szCs w:val="20"/>
              </w:rPr>
              <w:lastRenderedPageBreak/>
              <w:t>attention on which areas will enable the most improvement</w:t>
            </w:r>
            <w:r w:rsidR="00C063C7">
              <w:rPr>
                <w:sz w:val="20"/>
                <w:szCs w:val="20"/>
              </w:rPr>
              <w:t xml:space="preserve"> in their performances.</w:t>
            </w:r>
          </w:p>
        </w:tc>
        <w:tc>
          <w:tcPr>
            <w:tcW w:w="2976" w:type="dxa"/>
          </w:tcPr>
          <w:p w14:paraId="216207AB" w14:textId="356F4FCB" w:rsidR="00FF600B" w:rsidRPr="00FD296D" w:rsidRDefault="00FF600B" w:rsidP="00FF600B">
            <w:pPr>
              <w:rPr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lastRenderedPageBreak/>
              <w:t>Listening support</w:t>
            </w:r>
            <w:r w:rsidRPr="00FD296D">
              <w:rPr>
                <w:sz w:val="20"/>
                <w:szCs w:val="20"/>
              </w:rPr>
              <w:t xml:space="preserve"> </w:t>
            </w:r>
            <w:r w:rsidR="00C76900">
              <w:rPr>
                <w:sz w:val="20"/>
                <w:szCs w:val="20"/>
              </w:rPr>
              <w:t xml:space="preserve">as above and </w:t>
            </w:r>
            <w:r w:rsidR="00C76900" w:rsidRPr="00FD296D">
              <w:rPr>
                <w:sz w:val="20"/>
                <w:szCs w:val="20"/>
              </w:rPr>
              <w:t>Podcasts have also been created to guide students outside of lessons.</w:t>
            </w:r>
          </w:p>
          <w:p w14:paraId="7BDCA7B1" w14:textId="1A553EED" w:rsidR="00FF600B" w:rsidRPr="00FD296D" w:rsidRDefault="00FF600B" w:rsidP="00FF600B">
            <w:pPr>
              <w:rPr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t>Composition Homework</w:t>
            </w:r>
            <w:r w:rsidRPr="00FD296D">
              <w:rPr>
                <w:sz w:val="20"/>
                <w:szCs w:val="20"/>
              </w:rPr>
              <w:t xml:space="preserve"> is set weekly (30 mins) and </w:t>
            </w:r>
            <w:r w:rsidR="00C063C7">
              <w:rPr>
                <w:sz w:val="20"/>
                <w:szCs w:val="20"/>
              </w:rPr>
              <w:t xml:space="preserve">continues to </w:t>
            </w:r>
            <w:r w:rsidRPr="00FD296D">
              <w:rPr>
                <w:sz w:val="20"/>
                <w:szCs w:val="20"/>
              </w:rPr>
              <w:t>include compositional tasks which will enable students to see the skills needed to use the Noteflight program to complete their first ‘Free Choice’ Composition</w:t>
            </w:r>
          </w:p>
          <w:p w14:paraId="5B1A2BF5" w14:textId="77777777" w:rsidR="00FF600B" w:rsidRPr="00FD296D" w:rsidRDefault="00FF600B" w:rsidP="00FF600B">
            <w:pPr>
              <w:rPr>
                <w:b/>
                <w:bCs/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t xml:space="preserve">Practice for performance. </w:t>
            </w:r>
          </w:p>
          <w:p w14:paraId="4BE906A8" w14:textId="15F39784" w:rsidR="00FF600B" w:rsidRPr="00FD296D" w:rsidRDefault="00C063C7" w:rsidP="00FF6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Improvements seen in</w:t>
            </w:r>
            <w:r w:rsidR="00FF600B" w:rsidRPr="00FD296D">
              <w:rPr>
                <w:sz w:val="20"/>
                <w:szCs w:val="20"/>
              </w:rPr>
              <w:t xml:space="preserve"> their practice routines with advice from their teacher. </w:t>
            </w:r>
          </w:p>
        </w:tc>
        <w:tc>
          <w:tcPr>
            <w:tcW w:w="1701" w:type="dxa"/>
          </w:tcPr>
          <w:p w14:paraId="47D8EC1F" w14:textId="77777777" w:rsidR="00FF600B" w:rsidRPr="00FD296D" w:rsidRDefault="00FF600B" w:rsidP="00FF600B">
            <w:pPr>
              <w:rPr>
                <w:b/>
                <w:bCs/>
                <w:sz w:val="20"/>
                <w:szCs w:val="20"/>
              </w:rPr>
            </w:pPr>
            <w:r w:rsidRPr="00FD296D">
              <w:rPr>
                <w:b/>
                <w:bCs/>
                <w:sz w:val="20"/>
                <w:szCs w:val="20"/>
              </w:rPr>
              <w:lastRenderedPageBreak/>
              <w:t>Music vocabulary</w:t>
            </w:r>
          </w:p>
          <w:p w14:paraId="67E73601" w14:textId="6D9FFBF4" w:rsidR="00FF600B" w:rsidRPr="00FD296D" w:rsidRDefault="00C76900" w:rsidP="00FF6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above</w:t>
            </w:r>
          </w:p>
          <w:p w14:paraId="2C0FAEEA" w14:textId="77777777" w:rsidR="00FF600B" w:rsidRPr="00FD296D" w:rsidRDefault="00FF600B" w:rsidP="00FF600B">
            <w:pPr>
              <w:rPr>
                <w:sz w:val="20"/>
                <w:szCs w:val="20"/>
              </w:rPr>
            </w:pPr>
          </w:p>
          <w:p w14:paraId="70B605B8" w14:textId="77777777" w:rsidR="00FF600B" w:rsidRPr="00FD296D" w:rsidRDefault="00FF600B" w:rsidP="00FF600B">
            <w:pPr>
              <w:rPr>
                <w:sz w:val="20"/>
                <w:szCs w:val="20"/>
              </w:rPr>
            </w:pPr>
            <w:r w:rsidRPr="00FD296D">
              <w:rPr>
                <w:sz w:val="20"/>
                <w:szCs w:val="20"/>
              </w:rPr>
              <w:t xml:space="preserve">A full list can be found on pages 68 to 79 of the following specification. </w:t>
            </w:r>
          </w:p>
          <w:p w14:paraId="12066553" w14:textId="77777777" w:rsidR="00FF600B" w:rsidRPr="00FD296D" w:rsidRDefault="00FF600B" w:rsidP="00FF600B">
            <w:pPr>
              <w:rPr>
                <w:sz w:val="20"/>
                <w:szCs w:val="20"/>
              </w:rPr>
            </w:pPr>
          </w:p>
          <w:p w14:paraId="6694AFD1" w14:textId="77777777" w:rsidR="00FF600B" w:rsidRPr="00FD296D" w:rsidRDefault="00FF600B" w:rsidP="00FF600B">
            <w:pPr>
              <w:rPr>
                <w:sz w:val="20"/>
                <w:szCs w:val="20"/>
              </w:rPr>
            </w:pPr>
            <w:hyperlink r:id="rId6" w:history="1">
              <w:r w:rsidRPr="00FD296D">
                <w:rPr>
                  <w:rStyle w:val="Hyperlink"/>
                  <w:sz w:val="20"/>
                  <w:szCs w:val="20"/>
                </w:rPr>
                <w:t>GCSE Music Specification</w:t>
              </w:r>
            </w:hyperlink>
          </w:p>
          <w:p w14:paraId="6D95E830" w14:textId="77777777" w:rsidR="00E773FE" w:rsidRPr="00FD296D" w:rsidRDefault="00E773FE" w:rsidP="00FF600B">
            <w:pPr>
              <w:rPr>
                <w:sz w:val="20"/>
                <w:szCs w:val="20"/>
              </w:rPr>
            </w:pPr>
          </w:p>
          <w:p w14:paraId="65CFB13D" w14:textId="1A69CFD6" w:rsidR="00E773FE" w:rsidRPr="00FD296D" w:rsidRDefault="00E773FE" w:rsidP="00FF600B">
            <w:pPr>
              <w:rPr>
                <w:sz w:val="20"/>
                <w:szCs w:val="20"/>
              </w:rPr>
            </w:pPr>
          </w:p>
        </w:tc>
      </w:tr>
    </w:tbl>
    <w:p w14:paraId="54885D2A" w14:textId="77777777" w:rsidR="00585BF3" w:rsidRPr="00FD296D" w:rsidRDefault="00585BF3">
      <w:pPr>
        <w:spacing w:after="0" w:line="240" w:lineRule="auto"/>
        <w:rPr>
          <w:sz w:val="20"/>
          <w:szCs w:val="20"/>
        </w:rPr>
      </w:pPr>
    </w:p>
    <w:sectPr w:rsidR="00585BF3" w:rsidRPr="00FD296D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53F07"/>
    <w:multiLevelType w:val="hybridMultilevel"/>
    <w:tmpl w:val="263E8A72"/>
    <w:lvl w:ilvl="0" w:tplc="26DE6E20">
      <w:start w:val="1"/>
      <w:numFmt w:val="decimal"/>
      <w:lvlText w:val="%1."/>
      <w:lvlJc w:val="left"/>
      <w:pPr>
        <w:ind w:left="473" w:hanging="360"/>
      </w:pPr>
    </w:lvl>
    <w:lvl w:ilvl="1" w:tplc="08090019">
      <w:start w:val="1"/>
      <w:numFmt w:val="lowerLetter"/>
      <w:lvlText w:val="%2."/>
      <w:lvlJc w:val="left"/>
      <w:pPr>
        <w:ind w:left="1193" w:hanging="360"/>
      </w:pPr>
    </w:lvl>
    <w:lvl w:ilvl="2" w:tplc="0809001B">
      <w:start w:val="1"/>
      <w:numFmt w:val="lowerRoman"/>
      <w:lvlText w:val="%3."/>
      <w:lvlJc w:val="right"/>
      <w:pPr>
        <w:ind w:left="1913" w:hanging="180"/>
      </w:pPr>
    </w:lvl>
    <w:lvl w:ilvl="3" w:tplc="0809000F">
      <w:start w:val="1"/>
      <w:numFmt w:val="decimal"/>
      <w:lvlText w:val="%4."/>
      <w:lvlJc w:val="left"/>
      <w:pPr>
        <w:ind w:left="2633" w:hanging="360"/>
      </w:pPr>
    </w:lvl>
    <w:lvl w:ilvl="4" w:tplc="08090019">
      <w:start w:val="1"/>
      <w:numFmt w:val="lowerLetter"/>
      <w:lvlText w:val="%5."/>
      <w:lvlJc w:val="left"/>
      <w:pPr>
        <w:ind w:left="3353" w:hanging="360"/>
      </w:pPr>
    </w:lvl>
    <w:lvl w:ilvl="5" w:tplc="0809001B">
      <w:start w:val="1"/>
      <w:numFmt w:val="lowerRoman"/>
      <w:lvlText w:val="%6."/>
      <w:lvlJc w:val="right"/>
      <w:pPr>
        <w:ind w:left="4073" w:hanging="180"/>
      </w:pPr>
    </w:lvl>
    <w:lvl w:ilvl="6" w:tplc="0809000F">
      <w:start w:val="1"/>
      <w:numFmt w:val="decimal"/>
      <w:lvlText w:val="%7."/>
      <w:lvlJc w:val="left"/>
      <w:pPr>
        <w:ind w:left="4793" w:hanging="360"/>
      </w:pPr>
    </w:lvl>
    <w:lvl w:ilvl="7" w:tplc="08090019">
      <w:start w:val="1"/>
      <w:numFmt w:val="lowerLetter"/>
      <w:lvlText w:val="%8."/>
      <w:lvlJc w:val="left"/>
      <w:pPr>
        <w:ind w:left="5513" w:hanging="360"/>
      </w:pPr>
    </w:lvl>
    <w:lvl w:ilvl="8" w:tplc="0809001B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52856E4A"/>
    <w:multiLevelType w:val="hybridMultilevel"/>
    <w:tmpl w:val="9BF8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E452FC"/>
    <w:multiLevelType w:val="hybridMultilevel"/>
    <w:tmpl w:val="706A0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31B1C"/>
    <w:multiLevelType w:val="hybridMultilevel"/>
    <w:tmpl w:val="CFEC3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8686">
    <w:abstractNumId w:val="0"/>
  </w:num>
  <w:num w:numId="2" w16cid:durableId="1399018314">
    <w:abstractNumId w:val="3"/>
  </w:num>
  <w:num w:numId="3" w16cid:durableId="1431852904">
    <w:abstractNumId w:val="5"/>
  </w:num>
  <w:num w:numId="4" w16cid:durableId="1148016292">
    <w:abstractNumId w:val="4"/>
  </w:num>
  <w:num w:numId="5" w16cid:durableId="18841767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137963">
    <w:abstractNumId w:val="2"/>
  </w:num>
  <w:num w:numId="7" w16cid:durableId="1108541946">
    <w:abstractNumId w:val="2"/>
  </w:num>
  <w:num w:numId="8" w16cid:durableId="937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10495"/>
    <w:rsid w:val="00027834"/>
    <w:rsid w:val="00027E5A"/>
    <w:rsid w:val="00031F0A"/>
    <w:rsid w:val="00072412"/>
    <w:rsid w:val="00080D81"/>
    <w:rsid w:val="000B1C80"/>
    <w:rsid w:val="000B3AAD"/>
    <w:rsid w:val="000D24A2"/>
    <w:rsid w:val="000E5F46"/>
    <w:rsid w:val="00102FF6"/>
    <w:rsid w:val="0016437E"/>
    <w:rsid w:val="00183370"/>
    <w:rsid w:val="00187003"/>
    <w:rsid w:val="001A2306"/>
    <w:rsid w:val="001D2666"/>
    <w:rsid w:val="00220FA3"/>
    <w:rsid w:val="00226000"/>
    <w:rsid w:val="002355C1"/>
    <w:rsid w:val="0024599A"/>
    <w:rsid w:val="00247038"/>
    <w:rsid w:val="00270342"/>
    <w:rsid w:val="00274829"/>
    <w:rsid w:val="002D429A"/>
    <w:rsid w:val="0031027E"/>
    <w:rsid w:val="00346E29"/>
    <w:rsid w:val="00370A51"/>
    <w:rsid w:val="00394EA8"/>
    <w:rsid w:val="003A0361"/>
    <w:rsid w:val="003A43CC"/>
    <w:rsid w:val="003A4D2C"/>
    <w:rsid w:val="003B29F7"/>
    <w:rsid w:val="003B58C6"/>
    <w:rsid w:val="003C1D5E"/>
    <w:rsid w:val="003F4DD5"/>
    <w:rsid w:val="00444D03"/>
    <w:rsid w:val="004461B4"/>
    <w:rsid w:val="00491C90"/>
    <w:rsid w:val="004F34AF"/>
    <w:rsid w:val="00531D2A"/>
    <w:rsid w:val="00585BF3"/>
    <w:rsid w:val="005A61E3"/>
    <w:rsid w:val="005B1386"/>
    <w:rsid w:val="005F121F"/>
    <w:rsid w:val="005F4800"/>
    <w:rsid w:val="0064353E"/>
    <w:rsid w:val="00643FFF"/>
    <w:rsid w:val="006535EF"/>
    <w:rsid w:val="006820A5"/>
    <w:rsid w:val="0068387A"/>
    <w:rsid w:val="006C2868"/>
    <w:rsid w:val="006D6922"/>
    <w:rsid w:val="0072714C"/>
    <w:rsid w:val="007A6FCC"/>
    <w:rsid w:val="007B097B"/>
    <w:rsid w:val="00823148"/>
    <w:rsid w:val="00823728"/>
    <w:rsid w:val="008606E7"/>
    <w:rsid w:val="0087165E"/>
    <w:rsid w:val="008732A8"/>
    <w:rsid w:val="008A33AC"/>
    <w:rsid w:val="008B5280"/>
    <w:rsid w:val="008C74EB"/>
    <w:rsid w:val="008F45F6"/>
    <w:rsid w:val="009018F8"/>
    <w:rsid w:val="00935BD4"/>
    <w:rsid w:val="0094244F"/>
    <w:rsid w:val="009C7B9A"/>
    <w:rsid w:val="009E0315"/>
    <w:rsid w:val="009E78EF"/>
    <w:rsid w:val="00A026B3"/>
    <w:rsid w:val="00A10A4E"/>
    <w:rsid w:val="00A45303"/>
    <w:rsid w:val="00A524CE"/>
    <w:rsid w:val="00A834CE"/>
    <w:rsid w:val="00AA429E"/>
    <w:rsid w:val="00AE1AF8"/>
    <w:rsid w:val="00B05596"/>
    <w:rsid w:val="00B27CB5"/>
    <w:rsid w:val="00B3094D"/>
    <w:rsid w:val="00B3248D"/>
    <w:rsid w:val="00B54DFD"/>
    <w:rsid w:val="00B81F88"/>
    <w:rsid w:val="00B86600"/>
    <w:rsid w:val="00BB41C9"/>
    <w:rsid w:val="00C063C7"/>
    <w:rsid w:val="00C14303"/>
    <w:rsid w:val="00C22975"/>
    <w:rsid w:val="00C76900"/>
    <w:rsid w:val="00C93118"/>
    <w:rsid w:val="00CC46E8"/>
    <w:rsid w:val="00CD14BE"/>
    <w:rsid w:val="00CD3659"/>
    <w:rsid w:val="00D805FA"/>
    <w:rsid w:val="00D83736"/>
    <w:rsid w:val="00D8775B"/>
    <w:rsid w:val="00D96BAE"/>
    <w:rsid w:val="00DA60CF"/>
    <w:rsid w:val="00DB44A7"/>
    <w:rsid w:val="00DF7A92"/>
    <w:rsid w:val="00E00E13"/>
    <w:rsid w:val="00E056BC"/>
    <w:rsid w:val="00E5336B"/>
    <w:rsid w:val="00E773FE"/>
    <w:rsid w:val="00E96D0F"/>
    <w:rsid w:val="00EA7829"/>
    <w:rsid w:val="00EB3B05"/>
    <w:rsid w:val="00EF1952"/>
    <w:rsid w:val="00EF69D0"/>
    <w:rsid w:val="00F04E92"/>
    <w:rsid w:val="00F069C8"/>
    <w:rsid w:val="00F07B3F"/>
    <w:rsid w:val="00F1113D"/>
    <w:rsid w:val="00F15CAA"/>
    <w:rsid w:val="00F17980"/>
    <w:rsid w:val="00F17A8A"/>
    <w:rsid w:val="00F66FC8"/>
    <w:rsid w:val="00FA3263"/>
    <w:rsid w:val="00FD296D"/>
    <w:rsid w:val="00FD7922"/>
    <w:rsid w:val="00FF600B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2F7053C2-C7FF-48DB-AA63-0A6C528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48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800"/>
    <w:rPr>
      <w:color w:val="605E5C"/>
      <w:shd w:val="clear" w:color="auto" w:fill="E1DFDD"/>
    </w:rPr>
  </w:style>
  <w:style w:type="character" w:customStyle="1" w:styleId="mw-headline">
    <w:name w:val="mw-headline"/>
    <w:basedOn w:val="DefaultParagraphFont"/>
    <w:rsid w:val="00370A51"/>
  </w:style>
  <w:style w:type="character" w:styleId="FollowedHyperlink">
    <w:name w:val="FollowedHyperlink"/>
    <w:basedOn w:val="DefaultParagraphFont"/>
    <w:uiPriority w:val="99"/>
    <w:semiHidden/>
    <w:unhideWhenUsed/>
    <w:rsid w:val="0068387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alifications.pearson.com/content/dam/pdf/GCSE/Music/2016/specification/Pearson_Edexcel_GCSE_9_to_1_in_Music_Specification_issue4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Gary Bowell</cp:lastModifiedBy>
  <cp:revision>4</cp:revision>
  <cp:lastPrinted>2025-05-19T10:05:00Z</cp:lastPrinted>
  <dcterms:created xsi:type="dcterms:W3CDTF">2025-09-24T19:35:00Z</dcterms:created>
  <dcterms:modified xsi:type="dcterms:W3CDTF">2025-09-25T15:33:00Z</dcterms:modified>
</cp:coreProperties>
</file>