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6CAF" w14:textId="24A3E217" w:rsidR="00B57263" w:rsidRDefault="00B57263" w:rsidP="00B57263">
      <w:pPr>
        <w:pStyle w:val="Heading1"/>
      </w:pPr>
      <w:r w:rsidRPr="001D4313">
        <w:t>Privacy Notice (How we use workforce information)</w:t>
      </w:r>
    </w:p>
    <w:p w14:paraId="415B106B" w14:textId="77777777" w:rsidR="000711F8" w:rsidRPr="000711F8" w:rsidRDefault="000711F8" w:rsidP="000711F8">
      <w:pPr>
        <w:widowControl w:val="0"/>
        <w:overflowPunct w:val="0"/>
        <w:autoSpaceDE w:val="0"/>
        <w:autoSpaceDN w:val="0"/>
        <w:adjustRightInd w:val="0"/>
        <w:spacing w:after="0" w:line="240" w:lineRule="auto"/>
        <w:textAlignment w:val="baseline"/>
        <w:rPr>
          <w:b/>
          <w:bCs/>
          <w:color w:val="1F497D" w:themeColor="text2"/>
          <w:sz w:val="32"/>
          <w:szCs w:val="32"/>
        </w:rPr>
      </w:pPr>
      <w:r w:rsidRPr="000711F8">
        <w:rPr>
          <w:b/>
          <w:bCs/>
          <w:color w:val="1F497D" w:themeColor="text2"/>
          <w:sz w:val="32"/>
          <w:szCs w:val="32"/>
        </w:rPr>
        <w:t>Lytham St Annes High School is the Data Controller for the use of personal data in this privacy notice.</w:t>
      </w:r>
    </w:p>
    <w:p w14:paraId="5D91BACD" w14:textId="77777777" w:rsidR="000711F8" w:rsidRPr="000711F8" w:rsidRDefault="000711F8" w:rsidP="000711F8">
      <w:pPr>
        <w:widowControl w:val="0"/>
        <w:overflowPunct w:val="0"/>
        <w:autoSpaceDE w:val="0"/>
        <w:autoSpaceDN w:val="0"/>
        <w:adjustRightInd w:val="0"/>
        <w:spacing w:after="0" w:line="240" w:lineRule="auto"/>
        <w:textAlignment w:val="baseline"/>
        <w:rPr>
          <w:sz w:val="24"/>
          <w:szCs w:val="20"/>
        </w:rPr>
      </w:pPr>
    </w:p>
    <w:p w14:paraId="3AB833D3" w14:textId="77777777" w:rsidR="000711F8" w:rsidRPr="000711F8" w:rsidRDefault="000711F8" w:rsidP="000711F8">
      <w:pPr>
        <w:widowControl w:val="0"/>
        <w:overflowPunct w:val="0"/>
        <w:autoSpaceDE w:val="0"/>
        <w:autoSpaceDN w:val="0"/>
        <w:adjustRightInd w:val="0"/>
        <w:spacing w:after="0" w:line="240" w:lineRule="auto"/>
        <w:textAlignment w:val="baseline"/>
        <w:rPr>
          <w:b/>
          <w:bCs/>
          <w:color w:val="1F497D" w:themeColor="text2"/>
          <w:sz w:val="32"/>
          <w:szCs w:val="32"/>
        </w:rPr>
      </w:pPr>
      <w:r w:rsidRPr="000711F8">
        <w:rPr>
          <w:b/>
          <w:bCs/>
          <w:color w:val="1F497D" w:themeColor="text2"/>
          <w:sz w:val="32"/>
          <w:szCs w:val="32"/>
        </w:rPr>
        <w:t>The school workforce: those employed to teach, or otherwise engaged to work, either on a paid, contracted or voluntary basis.</w:t>
      </w:r>
    </w:p>
    <w:p w14:paraId="6FED655A" w14:textId="77777777" w:rsidR="00BA5682" w:rsidRPr="00BA5682" w:rsidRDefault="00BA5682" w:rsidP="00BA5682"/>
    <w:p w14:paraId="340D41D7" w14:textId="4E0EC7C7" w:rsidR="00B57263" w:rsidRPr="00B57263" w:rsidRDefault="00B57263" w:rsidP="00AB7D2A">
      <w:pPr>
        <w:pStyle w:val="Heading2"/>
      </w:pPr>
      <w:r w:rsidRPr="00B57263">
        <w:t>The categories of school information that we</w:t>
      </w:r>
      <w:r w:rsidR="00AB7D2A">
        <w:t xml:space="preserve"> collect,</w:t>
      </w:r>
      <w:r w:rsidRPr="00B57263">
        <w:t xml:space="preserve"> process</w:t>
      </w:r>
      <w:r w:rsidR="00AB7D2A">
        <w:t xml:space="preserve">, hold and share </w:t>
      </w:r>
      <w:proofErr w:type="gramStart"/>
      <w:r w:rsidR="00AB7D2A">
        <w:t>include;</w:t>
      </w:r>
      <w:proofErr w:type="gramEnd"/>
    </w:p>
    <w:p w14:paraId="684E4F8A" w14:textId="54A195A3"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personal information (such as name,</w:t>
      </w:r>
      <w:r w:rsidR="00BA5DA5">
        <w:rPr>
          <w:szCs w:val="22"/>
        </w:rPr>
        <w:t xml:space="preserve"> addresses and contact information,</w:t>
      </w:r>
      <w:r w:rsidRPr="00FA61FA">
        <w:rPr>
          <w:szCs w:val="22"/>
        </w:rPr>
        <w:t xml:space="preserve"> </w:t>
      </w:r>
      <w:r w:rsidR="005E66CB">
        <w:rPr>
          <w:szCs w:val="22"/>
        </w:rPr>
        <w:t xml:space="preserve">date of birth, </w:t>
      </w:r>
      <w:r w:rsidRPr="00FA61FA">
        <w:rPr>
          <w:szCs w:val="22"/>
        </w:rPr>
        <w:t>employee or teacher number, national insurance number)</w:t>
      </w:r>
    </w:p>
    <w:p w14:paraId="1F4E45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 xml:space="preserve">characteristics information </w:t>
      </w:r>
      <w:r>
        <w:rPr>
          <w:szCs w:val="22"/>
        </w:rPr>
        <w:t>(</w:t>
      </w:r>
      <w:r w:rsidRPr="00FA61FA">
        <w:rPr>
          <w:szCs w:val="22"/>
        </w:rPr>
        <w:t>such as gender, age, ethnic group</w:t>
      </w:r>
      <w:r>
        <w:rPr>
          <w:szCs w:val="22"/>
        </w:rPr>
        <w:t>)</w:t>
      </w:r>
    </w:p>
    <w:p w14:paraId="18CE81E6" w14:textId="1CD29F03"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14:paraId="455A01F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work absence information (such as number of absences and reasons)</w:t>
      </w:r>
    </w:p>
    <w:p w14:paraId="290A170E" w14:textId="77777777" w:rsidR="00B57263"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qualifications (and, where relevant, subjects taught)</w:t>
      </w:r>
    </w:p>
    <w:p w14:paraId="4A548549" w14:textId="4D277AF2" w:rsidR="00E84012" w:rsidRDefault="00E84012"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relevant medical information</w:t>
      </w:r>
    </w:p>
    <w:p w14:paraId="05070043" w14:textId="50B0ABF4" w:rsidR="00E84012" w:rsidRPr="00FA61FA" w:rsidRDefault="00E84012"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appraisal information</w:t>
      </w:r>
    </w:p>
    <w:p w14:paraId="03234204" w14:textId="77777777" w:rsidR="00B57263" w:rsidRPr="00F06C27" w:rsidRDefault="00B57263" w:rsidP="00B57263">
      <w:pPr>
        <w:rPr>
          <w:szCs w:val="22"/>
        </w:rPr>
      </w:pPr>
    </w:p>
    <w:p w14:paraId="44B03011" w14:textId="77777777" w:rsidR="00B57263" w:rsidRPr="001D4313" w:rsidRDefault="00B57263" w:rsidP="00B57263">
      <w:pPr>
        <w:pStyle w:val="Heading2"/>
      </w:pPr>
      <w:r w:rsidRPr="001D4313">
        <w:t xml:space="preserve">Why we collect and use </w:t>
      </w:r>
      <w:r>
        <w:t>workforce</w:t>
      </w:r>
      <w:r w:rsidRPr="001D4313">
        <w:t xml:space="preserve"> information</w:t>
      </w:r>
    </w:p>
    <w:p w14:paraId="07A45A4A" w14:textId="77777777" w:rsidR="00B57263" w:rsidRPr="00FA61FA" w:rsidRDefault="00B57263" w:rsidP="00B57263">
      <w:pPr>
        <w:rPr>
          <w:szCs w:val="22"/>
          <w:lang w:val="en-US"/>
        </w:rPr>
      </w:pPr>
      <w:r w:rsidRPr="00FA61FA">
        <w:rPr>
          <w:szCs w:val="22"/>
        </w:rPr>
        <w:t>We use workforce data to:</w:t>
      </w:r>
    </w:p>
    <w:p w14:paraId="74B983CD" w14:textId="77777777" w:rsidR="00B57263" w:rsidRPr="007E24D6" w:rsidRDefault="00B57263" w:rsidP="007E24D6">
      <w:pPr>
        <w:pStyle w:val="ListParagraph"/>
        <w:widowControl w:val="0"/>
        <w:numPr>
          <w:ilvl w:val="0"/>
          <w:numId w:val="28"/>
        </w:numPr>
        <w:overflowPunct w:val="0"/>
        <w:autoSpaceDE w:val="0"/>
        <w:autoSpaceDN w:val="0"/>
        <w:adjustRightInd w:val="0"/>
        <w:spacing w:after="0" w:line="240" w:lineRule="auto"/>
        <w:textAlignment w:val="baseline"/>
        <w:rPr>
          <w:szCs w:val="22"/>
          <w:lang w:val="en-US"/>
        </w:rPr>
      </w:pPr>
      <w:r w:rsidRPr="007E24D6">
        <w:rPr>
          <w:szCs w:val="22"/>
          <w:lang w:val="en-US"/>
        </w:rPr>
        <w:t>enable the development of a comprehensive picture of the workforce and how it is deployed</w:t>
      </w:r>
    </w:p>
    <w:p w14:paraId="0C024962" w14:textId="77777777" w:rsidR="00B57263" w:rsidRPr="007E24D6" w:rsidRDefault="00B57263" w:rsidP="007E24D6">
      <w:pPr>
        <w:pStyle w:val="ListParagraph"/>
        <w:widowControl w:val="0"/>
        <w:numPr>
          <w:ilvl w:val="0"/>
          <w:numId w:val="28"/>
        </w:numPr>
        <w:overflowPunct w:val="0"/>
        <w:autoSpaceDE w:val="0"/>
        <w:autoSpaceDN w:val="0"/>
        <w:adjustRightInd w:val="0"/>
        <w:spacing w:after="0" w:line="240" w:lineRule="auto"/>
        <w:textAlignment w:val="baseline"/>
        <w:rPr>
          <w:szCs w:val="22"/>
          <w:lang w:val="en-US"/>
        </w:rPr>
      </w:pPr>
      <w:r w:rsidRPr="007E24D6">
        <w:rPr>
          <w:szCs w:val="22"/>
          <w:lang w:val="en-US"/>
        </w:rPr>
        <w:t>inform the development of recruitment and retention policies</w:t>
      </w:r>
    </w:p>
    <w:p w14:paraId="2D3650F4" w14:textId="77777777" w:rsidR="0001269C" w:rsidRDefault="007E24D6" w:rsidP="007E24D6">
      <w:pPr>
        <w:widowControl w:val="0"/>
        <w:overflowPunct w:val="0"/>
        <w:autoSpaceDE w:val="0"/>
        <w:autoSpaceDN w:val="0"/>
        <w:adjustRightInd w:val="0"/>
        <w:spacing w:after="0" w:line="240" w:lineRule="auto"/>
        <w:ind w:left="720"/>
        <w:textAlignment w:val="baseline"/>
        <w:rPr>
          <w:szCs w:val="22"/>
          <w:lang w:val="en-US"/>
        </w:rPr>
      </w:pPr>
      <w:r>
        <w:rPr>
          <w:szCs w:val="22"/>
          <w:lang w:val="en-US"/>
        </w:rPr>
        <w:t xml:space="preserve">      </w:t>
      </w:r>
      <w:r w:rsidR="00B57263" w:rsidRPr="00FA61FA">
        <w:rPr>
          <w:szCs w:val="22"/>
          <w:lang w:val="en-US"/>
        </w:rPr>
        <w:t>enable individuals to be paid</w:t>
      </w:r>
    </w:p>
    <w:p w14:paraId="58A5D1AC" w14:textId="77777777" w:rsidR="0001269C" w:rsidRPr="0001269C" w:rsidRDefault="00502291" w:rsidP="0001269C">
      <w:pPr>
        <w:pStyle w:val="ListParagraph"/>
        <w:widowControl w:val="0"/>
        <w:numPr>
          <w:ilvl w:val="0"/>
          <w:numId w:val="30"/>
        </w:numPr>
        <w:overflowPunct w:val="0"/>
        <w:autoSpaceDE w:val="0"/>
        <w:autoSpaceDN w:val="0"/>
        <w:adjustRightInd w:val="0"/>
        <w:spacing w:after="0" w:line="240" w:lineRule="auto"/>
        <w:textAlignment w:val="baseline"/>
        <w:rPr>
          <w:szCs w:val="22"/>
          <w:lang w:val="en-US"/>
        </w:rPr>
      </w:pPr>
      <w:r w:rsidRPr="0001269C">
        <w:rPr>
          <w:rFonts w:cs="Arial"/>
          <w:color w:val="000000"/>
        </w:rPr>
        <w:t>to appraise members of staff to inform CPD, where appropriate</w:t>
      </w:r>
    </w:p>
    <w:p w14:paraId="414AD22D" w14:textId="77777777" w:rsidR="0001269C" w:rsidRPr="0001269C" w:rsidRDefault="00502291" w:rsidP="0001269C">
      <w:pPr>
        <w:pStyle w:val="ListParagraph"/>
        <w:widowControl w:val="0"/>
        <w:numPr>
          <w:ilvl w:val="0"/>
          <w:numId w:val="30"/>
        </w:numPr>
        <w:overflowPunct w:val="0"/>
        <w:autoSpaceDE w:val="0"/>
        <w:autoSpaceDN w:val="0"/>
        <w:adjustRightInd w:val="0"/>
        <w:spacing w:after="0" w:line="240" w:lineRule="auto"/>
        <w:textAlignment w:val="baseline"/>
        <w:rPr>
          <w:szCs w:val="22"/>
          <w:lang w:val="en-US"/>
        </w:rPr>
      </w:pPr>
      <w:r w:rsidRPr="0001269C">
        <w:rPr>
          <w:rFonts w:cs="Arial"/>
          <w:color w:val="000000"/>
        </w:rPr>
        <w:t>to allow better financial modelling and planning</w:t>
      </w:r>
    </w:p>
    <w:p w14:paraId="066C5A5B" w14:textId="387D7DAB" w:rsidR="00502291" w:rsidRPr="0001269C" w:rsidRDefault="00502291" w:rsidP="0001269C">
      <w:pPr>
        <w:pStyle w:val="ListParagraph"/>
        <w:widowControl w:val="0"/>
        <w:numPr>
          <w:ilvl w:val="0"/>
          <w:numId w:val="30"/>
        </w:numPr>
        <w:overflowPunct w:val="0"/>
        <w:autoSpaceDE w:val="0"/>
        <w:autoSpaceDN w:val="0"/>
        <w:adjustRightInd w:val="0"/>
        <w:spacing w:after="0" w:line="240" w:lineRule="auto"/>
        <w:textAlignment w:val="baseline"/>
        <w:rPr>
          <w:szCs w:val="22"/>
          <w:lang w:val="en-US"/>
        </w:rPr>
      </w:pPr>
      <w:r w:rsidRPr="0001269C">
        <w:rPr>
          <w:rFonts w:cs="Arial"/>
          <w:color w:val="000000"/>
        </w:rPr>
        <w:t>to support staff with health and wellbeing services</w:t>
      </w:r>
    </w:p>
    <w:p w14:paraId="34614EEE" w14:textId="77777777" w:rsidR="00502291" w:rsidRDefault="00502291" w:rsidP="00502291">
      <w:pPr>
        <w:widowControl w:val="0"/>
        <w:overflowPunct w:val="0"/>
        <w:autoSpaceDE w:val="0"/>
        <w:autoSpaceDN w:val="0"/>
        <w:adjustRightInd w:val="0"/>
        <w:spacing w:after="0" w:line="240" w:lineRule="auto"/>
        <w:ind w:left="720"/>
        <w:textAlignment w:val="baseline"/>
        <w:rPr>
          <w:szCs w:val="22"/>
          <w:lang w:val="en-US"/>
        </w:rPr>
      </w:pPr>
    </w:p>
    <w:p w14:paraId="0CA54E2D" w14:textId="77777777" w:rsidR="00B57263" w:rsidRDefault="00B57263" w:rsidP="00B57263">
      <w:pPr>
        <w:widowControl w:val="0"/>
        <w:overflowPunct w:val="0"/>
        <w:autoSpaceDE w:val="0"/>
        <w:autoSpaceDN w:val="0"/>
        <w:adjustRightInd w:val="0"/>
        <w:spacing w:after="0" w:line="240" w:lineRule="auto"/>
        <w:textAlignment w:val="baseline"/>
        <w:rPr>
          <w:szCs w:val="22"/>
          <w:lang w:val="en-US"/>
        </w:rPr>
      </w:pPr>
    </w:p>
    <w:p w14:paraId="28C914B0" w14:textId="77777777" w:rsidR="00B57263" w:rsidRPr="00B57263" w:rsidRDefault="00B57263" w:rsidP="00B57263">
      <w:pPr>
        <w:widowControl w:val="0"/>
        <w:overflowPunct w:val="0"/>
        <w:autoSpaceDE w:val="0"/>
        <w:autoSpaceDN w:val="0"/>
        <w:adjustRightInd w:val="0"/>
        <w:spacing w:after="0" w:line="240" w:lineRule="auto"/>
        <w:textAlignment w:val="baseline"/>
        <w:rPr>
          <w:szCs w:val="22"/>
          <w:lang w:val="en-US"/>
        </w:rPr>
      </w:pPr>
    </w:p>
    <w:p w14:paraId="36EB9B25" w14:textId="572AE7EB" w:rsidR="00B57263" w:rsidRDefault="00B57263" w:rsidP="00B57263">
      <w:r w:rsidRPr="00B46A16">
        <w:rPr>
          <w:rFonts w:cs="Arial"/>
        </w:rPr>
        <w:t>Under the</w:t>
      </w:r>
      <w:r w:rsidR="00006828">
        <w:rPr>
          <w:rFonts w:cs="Arial"/>
        </w:rPr>
        <w:t xml:space="preserve"> UK</w:t>
      </w:r>
      <w:r w:rsidRPr="00B46A16">
        <w:rPr>
          <w:rFonts w:cs="Arial"/>
        </w:rPr>
        <w:t xml:space="preserve"> General Data Protection Reg</w:t>
      </w:r>
      <w:r>
        <w:rPr>
          <w:rFonts w:cs="Arial"/>
        </w:rPr>
        <w:t>ulation (</w:t>
      </w:r>
      <w:r w:rsidR="00006828">
        <w:rPr>
          <w:rFonts w:cs="Arial"/>
        </w:rPr>
        <w:t xml:space="preserve">UK </w:t>
      </w:r>
      <w:r>
        <w:rPr>
          <w:rFonts w:cs="Arial"/>
        </w:rPr>
        <w:t>GDPR), the legal basis / bases we rely on for processing personal</w:t>
      </w:r>
      <w:r w:rsidRPr="00B46A16">
        <w:rPr>
          <w:rFonts w:cs="Arial"/>
        </w:rPr>
        <w:t xml:space="preserve"> information for general purposes are:</w:t>
      </w:r>
    </w:p>
    <w:p w14:paraId="010CF49F" w14:textId="77777777" w:rsidR="006B7E8F" w:rsidRPr="006B7E8F" w:rsidRDefault="006B7E8F" w:rsidP="006B7E8F">
      <w:pPr>
        <w:widowControl w:val="0"/>
        <w:overflowPunct w:val="0"/>
        <w:autoSpaceDE w:val="0"/>
        <w:autoSpaceDN w:val="0"/>
        <w:adjustRightInd w:val="0"/>
        <w:spacing w:after="0" w:line="240" w:lineRule="auto"/>
        <w:textAlignment w:val="baseline"/>
        <w:rPr>
          <w:szCs w:val="22"/>
          <w:lang w:val="en" w:eastAsia="en-US"/>
        </w:rPr>
      </w:pPr>
      <w:r w:rsidRPr="006B7E8F">
        <w:rPr>
          <w:szCs w:val="22"/>
          <w:lang w:val="en" w:eastAsia="en-US"/>
        </w:rPr>
        <w:t>Article 6</w:t>
      </w:r>
    </w:p>
    <w:p w14:paraId="69111F3F" w14:textId="77777777" w:rsidR="006B7E8F" w:rsidRPr="006B7E8F" w:rsidRDefault="006B7E8F" w:rsidP="006B7E8F">
      <w:pPr>
        <w:widowControl w:val="0"/>
        <w:numPr>
          <w:ilvl w:val="0"/>
          <w:numId w:val="31"/>
        </w:numPr>
        <w:overflowPunct w:val="0"/>
        <w:autoSpaceDE w:val="0"/>
        <w:autoSpaceDN w:val="0"/>
        <w:adjustRightInd w:val="0"/>
        <w:spacing w:after="0" w:line="259" w:lineRule="auto"/>
        <w:textAlignment w:val="baseline"/>
        <w:rPr>
          <w:szCs w:val="22"/>
          <w:lang w:val="en" w:eastAsia="en-US"/>
        </w:rPr>
      </w:pPr>
      <w:r w:rsidRPr="006B7E8F">
        <w:rPr>
          <w:szCs w:val="22"/>
          <w:lang w:val="en" w:eastAsia="en-US"/>
        </w:rPr>
        <w:t>Processing shall be lawful only if and to the extent that at least one of the following applies:</w:t>
      </w:r>
    </w:p>
    <w:p w14:paraId="50E8A986" w14:textId="77777777" w:rsidR="006B7E8F" w:rsidRPr="006B7E8F" w:rsidRDefault="006B7E8F" w:rsidP="006B7E8F">
      <w:pPr>
        <w:widowControl w:val="0"/>
        <w:overflowPunct w:val="0"/>
        <w:autoSpaceDE w:val="0"/>
        <w:autoSpaceDN w:val="0"/>
        <w:adjustRightInd w:val="0"/>
        <w:spacing w:after="0" w:line="240" w:lineRule="auto"/>
        <w:ind w:left="720" w:hanging="360"/>
        <w:textAlignment w:val="baseline"/>
        <w:rPr>
          <w:szCs w:val="22"/>
          <w:lang w:val="en-US" w:eastAsia="en-US"/>
        </w:rPr>
      </w:pPr>
      <w:r w:rsidRPr="006B7E8F">
        <w:rPr>
          <w:szCs w:val="22"/>
          <w:lang w:val="en-US" w:eastAsia="en-US"/>
        </w:rPr>
        <w:t xml:space="preserve"> (c)</w:t>
      </w:r>
      <w:r w:rsidRPr="006B7E8F">
        <w:rPr>
          <w:szCs w:val="22"/>
          <w:lang w:val="en-US" w:eastAsia="en-US"/>
        </w:rPr>
        <w:tab/>
        <w:t xml:space="preserve">Processing is necessary for compliance with a legal obligation to which the controller is </w:t>
      </w:r>
      <w:proofErr w:type="gramStart"/>
      <w:r w:rsidRPr="006B7E8F">
        <w:rPr>
          <w:szCs w:val="22"/>
          <w:lang w:val="en-US" w:eastAsia="en-US"/>
        </w:rPr>
        <w:t>subject;</w:t>
      </w:r>
      <w:proofErr w:type="gramEnd"/>
    </w:p>
    <w:p w14:paraId="08BC65BB" w14:textId="77777777" w:rsidR="006B7E8F" w:rsidRPr="006B7E8F" w:rsidRDefault="006B7E8F" w:rsidP="006B7E8F">
      <w:pPr>
        <w:widowControl w:val="0"/>
        <w:overflowPunct w:val="0"/>
        <w:autoSpaceDE w:val="0"/>
        <w:autoSpaceDN w:val="0"/>
        <w:adjustRightInd w:val="0"/>
        <w:spacing w:after="0" w:line="240" w:lineRule="auto"/>
        <w:textAlignment w:val="baseline"/>
        <w:rPr>
          <w:szCs w:val="22"/>
          <w:lang w:val="en" w:eastAsia="en-US"/>
        </w:rPr>
      </w:pPr>
      <w:r w:rsidRPr="006B7E8F">
        <w:rPr>
          <w:szCs w:val="22"/>
          <w:lang w:val="en" w:eastAsia="en-US"/>
        </w:rPr>
        <w:t>Article 9</w:t>
      </w:r>
    </w:p>
    <w:p w14:paraId="3E976790" w14:textId="77777777" w:rsidR="006B7E8F" w:rsidRPr="006B7E8F" w:rsidRDefault="006B7E8F" w:rsidP="006B7E8F">
      <w:pPr>
        <w:widowControl w:val="0"/>
        <w:numPr>
          <w:ilvl w:val="0"/>
          <w:numId w:val="33"/>
        </w:numPr>
        <w:overflowPunct w:val="0"/>
        <w:autoSpaceDE w:val="0"/>
        <w:autoSpaceDN w:val="0"/>
        <w:adjustRightInd w:val="0"/>
        <w:spacing w:after="0" w:line="259" w:lineRule="auto"/>
        <w:contextualSpacing/>
        <w:textAlignment w:val="baseline"/>
        <w:rPr>
          <w:szCs w:val="22"/>
          <w:lang w:val="en" w:eastAsia="en-US"/>
        </w:rPr>
      </w:pPr>
      <w:r w:rsidRPr="006B7E8F">
        <w:rPr>
          <w:szCs w:val="22"/>
          <w:lang w:val="en" w:eastAsia="en-US"/>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516CD4BB" w14:textId="77777777" w:rsidR="006B7E8F" w:rsidRPr="006B7E8F" w:rsidRDefault="006B7E8F" w:rsidP="006B7E8F">
      <w:pPr>
        <w:widowControl w:val="0"/>
        <w:numPr>
          <w:ilvl w:val="0"/>
          <w:numId w:val="32"/>
        </w:numPr>
        <w:overflowPunct w:val="0"/>
        <w:autoSpaceDE w:val="0"/>
        <w:autoSpaceDN w:val="0"/>
        <w:adjustRightInd w:val="0"/>
        <w:spacing w:after="0" w:line="259" w:lineRule="auto"/>
        <w:textAlignment w:val="baseline"/>
        <w:rPr>
          <w:szCs w:val="22"/>
          <w:lang w:val="en" w:eastAsia="en-US"/>
        </w:rPr>
      </w:pPr>
      <w:r w:rsidRPr="006B7E8F">
        <w:rPr>
          <w:szCs w:val="22"/>
          <w:lang w:val="en" w:eastAsia="en-US"/>
        </w:rPr>
        <w:t>Paragraph 1 shall not apply if one of the following applies:</w:t>
      </w:r>
    </w:p>
    <w:p w14:paraId="5729E678" w14:textId="77777777" w:rsidR="006B7E8F" w:rsidRPr="006B7E8F" w:rsidRDefault="006B7E8F" w:rsidP="006B7E8F">
      <w:pPr>
        <w:widowControl w:val="0"/>
        <w:overflowPunct w:val="0"/>
        <w:autoSpaceDE w:val="0"/>
        <w:autoSpaceDN w:val="0"/>
        <w:adjustRightInd w:val="0"/>
        <w:spacing w:after="0" w:line="240" w:lineRule="auto"/>
        <w:ind w:left="720" w:hanging="294"/>
        <w:jc w:val="both"/>
        <w:textAlignment w:val="baseline"/>
        <w:rPr>
          <w:szCs w:val="22"/>
          <w:lang w:val="en" w:eastAsia="en-US"/>
        </w:rPr>
      </w:pPr>
      <w:r w:rsidRPr="006B7E8F">
        <w:rPr>
          <w:szCs w:val="22"/>
          <w:lang w:val="en" w:eastAsia="en-US"/>
        </w:rPr>
        <w:t xml:space="preserve"> (j)  Processing is necessary for archiving purposes in the public interest, scientific or historical </w:t>
      </w:r>
      <w:r w:rsidRPr="006B7E8F">
        <w:rPr>
          <w:szCs w:val="22"/>
          <w:lang w:val="en" w:eastAsia="en-US"/>
        </w:rPr>
        <w:lastRenderedPageBreak/>
        <w:t>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7D7B6FF1" w14:textId="77777777" w:rsidR="006B7E8F" w:rsidRPr="006B7E8F" w:rsidRDefault="006B7E8F" w:rsidP="006B7E8F">
      <w:pPr>
        <w:widowControl w:val="0"/>
        <w:overflowPunct w:val="0"/>
        <w:autoSpaceDE w:val="0"/>
        <w:autoSpaceDN w:val="0"/>
        <w:adjustRightInd w:val="0"/>
        <w:spacing w:after="0" w:line="240" w:lineRule="auto"/>
        <w:textAlignment w:val="baseline"/>
        <w:rPr>
          <w:szCs w:val="22"/>
          <w:lang w:eastAsia="en-US"/>
        </w:rPr>
      </w:pPr>
    </w:p>
    <w:p w14:paraId="03827567" w14:textId="470072D5" w:rsidR="006B7E8F" w:rsidRPr="006B7E8F" w:rsidRDefault="006B7E8F" w:rsidP="006B7E8F">
      <w:pPr>
        <w:widowControl w:val="0"/>
        <w:overflowPunct w:val="0"/>
        <w:autoSpaceDE w:val="0"/>
        <w:autoSpaceDN w:val="0"/>
        <w:adjustRightInd w:val="0"/>
        <w:spacing w:after="0" w:line="240" w:lineRule="auto"/>
        <w:textAlignment w:val="baseline"/>
        <w:rPr>
          <w:szCs w:val="22"/>
          <w:lang w:eastAsia="en-US"/>
        </w:rPr>
      </w:pPr>
      <w:r w:rsidRPr="006B7E8F">
        <w:rPr>
          <w:szCs w:val="22"/>
          <w:lang w:eastAsia="en-US"/>
        </w:rPr>
        <w:t>Education Act 2005 sections 113 and 114 - is a statutory requirement on schools and local authorities for the submission of the school workforce census return, including a set of individual staff records</w:t>
      </w:r>
      <w:r>
        <w:rPr>
          <w:szCs w:val="22"/>
          <w:lang w:eastAsia="en-US"/>
        </w:rPr>
        <w:t>.</w:t>
      </w:r>
    </w:p>
    <w:p w14:paraId="07ABA766" w14:textId="77777777" w:rsidR="00B57263" w:rsidRPr="001D4313" w:rsidRDefault="00B57263" w:rsidP="00B57263">
      <w:pPr>
        <w:spacing w:line="259" w:lineRule="auto"/>
        <w:contextualSpacing/>
        <w:rPr>
          <w:rFonts w:cs="Arial"/>
        </w:rPr>
      </w:pPr>
    </w:p>
    <w:p w14:paraId="47D3285F" w14:textId="41D2F084" w:rsidR="00B57263" w:rsidRPr="001D4313" w:rsidRDefault="00B57263" w:rsidP="00B57263">
      <w:pPr>
        <w:pStyle w:val="Heading2"/>
      </w:pPr>
      <w:r w:rsidRPr="001D4313">
        <w:t xml:space="preserve">Collecting </w:t>
      </w:r>
      <w:r>
        <w:t>workforce</w:t>
      </w:r>
      <w:r w:rsidRPr="001D4313">
        <w:t xml:space="preserve"> information</w:t>
      </w:r>
    </w:p>
    <w:p w14:paraId="1D5C13C8" w14:textId="4ECA8708" w:rsidR="00B57263" w:rsidRDefault="00B57263" w:rsidP="00B57263">
      <w:r w:rsidRPr="001D4313">
        <w:t xml:space="preserve">We collect personal information via </w:t>
      </w:r>
      <w:r w:rsidR="0003138C">
        <w:t>staff data collection sheets.</w:t>
      </w:r>
    </w:p>
    <w:p w14:paraId="02F39676" w14:textId="1317E321" w:rsidR="00B57263" w:rsidRPr="00B57263" w:rsidRDefault="00B57263" w:rsidP="00B57263">
      <w:pPr>
        <w:suppressAutoHyphens/>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14:paraId="55DFCD29" w14:textId="77777777" w:rsidR="00B57263" w:rsidRPr="001D4313" w:rsidRDefault="00B57263" w:rsidP="00B57263">
      <w:pPr>
        <w:pStyle w:val="Heading2"/>
      </w:pPr>
      <w:r>
        <w:t>Storing workforce</w:t>
      </w:r>
      <w:r w:rsidRPr="001D4313">
        <w:t xml:space="preserve"> information</w:t>
      </w:r>
    </w:p>
    <w:p w14:paraId="05CE82C1" w14:textId="7D086B78" w:rsidR="00B57263" w:rsidRDefault="00B57263" w:rsidP="00B57263">
      <w:pPr>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w:t>
      </w:r>
      <w:r w:rsidR="00F16EEB">
        <w:rPr>
          <w:rFonts w:cs="Arial"/>
        </w:rPr>
        <w:t xml:space="preserve">; throughout the period </w:t>
      </w:r>
      <w:r w:rsidR="001353B9">
        <w:rPr>
          <w:rFonts w:cs="Arial"/>
        </w:rPr>
        <w:t xml:space="preserve">of your employment and for 6 years after the cessation of your </w:t>
      </w:r>
      <w:r w:rsidR="00BA7568">
        <w:rPr>
          <w:rFonts w:cs="Arial"/>
        </w:rPr>
        <w:t>employment. This is for both paper and electronic records.</w:t>
      </w:r>
      <w:r w:rsidR="00646C3B">
        <w:rPr>
          <w:rFonts w:cs="Arial"/>
        </w:rPr>
        <w:t xml:space="preserve"> Data is stored securely and only accessible </w:t>
      </w:r>
      <w:r w:rsidR="00CF6044">
        <w:rPr>
          <w:rFonts w:cs="Arial"/>
        </w:rPr>
        <w:t xml:space="preserve">by authorised data processors. </w:t>
      </w:r>
      <w:r>
        <w:rPr>
          <w:rFonts w:cs="Arial"/>
        </w:rPr>
        <w:t xml:space="preserve"> For more information on</w:t>
      </w:r>
      <w:r w:rsidRPr="00EE4B7B">
        <w:rPr>
          <w:rFonts w:cs="Arial"/>
        </w:rPr>
        <w:t xml:space="preserve"> our data retention schedule and how we keep your data safe, please </w:t>
      </w:r>
      <w:r w:rsidR="00CD6FAE">
        <w:rPr>
          <w:rFonts w:cs="Arial"/>
        </w:rPr>
        <w:t>contact Katherine Brindle, Business Manager.</w:t>
      </w:r>
    </w:p>
    <w:p w14:paraId="5E7ADCF6" w14:textId="77777777" w:rsidR="00B57263" w:rsidRPr="00EE4B7B" w:rsidRDefault="00B57263" w:rsidP="00B57263">
      <w:pPr>
        <w:rPr>
          <w:rFonts w:cs="Arial"/>
        </w:rPr>
      </w:pPr>
    </w:p>
    <w:p w14:paraId="28708CAD" w14:textId="77777777" w:rsidR="00B57263" w:rsidRPr="001D4313" w:rsidRDefault="00B57263" w:rsidP="00B57263">
      <w:pPr>
        <w:pStyle w:val="Heading2"/>
      </w:pPr>
      <w:r w:rsidRPr="001D4313">
        <w:t>Who we share workforce information with</w:t>
      </w:r>
    </w:p>
    <w:p w14:paraId="027E0C97" w14:textId="79103FE3" w:rsidR="00B57263" w:rsidRPr="00FA61FA" w:rsidRDefault="00B57263" w:rsidP="00B57263">
      <w:pPr>
        <w:rPr>
          <w:szCs w:val="22"/>
        </w:rPr>
      </w:pPr>
      <w:r w:rsidRPr="00FA61FA">
        <w:rPr>
          <w:szCs w:val="22"/>
        </w:rPr>
        <w:t>We routinely share this information with:</w:t>
      </w:r>
    </w:p>
    <w:p w14:paraId="38B5BEF2"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14:paraId="2F6B10D5" w14:textId="0F23D2F6" w:rsidR="00B57263"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the Department for Education (DfE)</w:t>
      </w:r>
    </w:p>
    <w:p w14:paraId="0F3ED9B3" w14:textId="0820A57F" w:rsidR="00CF6044" w:rsidRPr="00FA61FA" w:rsidRDefault="00CF6044" w:rsidP="00B57263">
      <w:pPr>
        <w:pStyle w:val="ListParagraph"/>
        <w:numPr>
          <w:ilvl w:val="0"/>
          <w:numId w:val="20"/>
        </w:numPr>
        <w:overflowPunct w:val="0"/>
        <w:autoSpaceDE w:val="0"/>
        <w:autoSpaceDN w:val="0"/>
        <w:spacing w:after="0" w:line="240" w:lineRule="auto"/>
        <w:textAlignment w:val="baseline"/>
        <w:rPr>
          <w:szCs w:val="22"/>
        </w:rPr>
      </w:pPr>
      <w:r>
        <w:rPr>
          <w:szCs w:val="22"/>
        </w:rPr>
        <w:t>Optima Health (Occupational Health Provider)</w:t>
      </w:r>
    </w:p>
    <w:p w14:paraId="39718E7A" w14:textId="77777777" w:rsidR="00B57263" w:rsidRPr="0084380C" w:rsidRDefault="00B57263" w:rsidP="00B57263">
      <w:pPr>
        <w:rPr>
          <w:szCs w:val="22"/>
        </w:rPr>
      </w:pPr>
    </w:p>
    <w:p w14:paraId="678CF25B" w14:textId="77777777" w:rsidR="00B57263" w:rsidRPr="001D4313" w:rsidRDefault="00B57263" w:rsidP="00B57263">
      <w:pPr>
        <w:pStyle w:val="Heading2"/>
      </w:pPr>
      <w:r w:rsidRPr="001D4313">
        <w:t>Why we share school workforce information</w:t>
      </w:r>
    </w:p>
    <w:p w14:paraId="253A7403" w14:textId="77777777" w:rsidR="00B57263" w:rsidRDefault="00B57263" w:rsidP="00B57263">
      <w:r w:rsidRPr="00F901CD">
        <w:t>We do not sha</w:t>
      </w:r>
      <w:r>
        <w:t xml:space="preserve">re information about our workforce members </w:t>
      </w:r>
      <w:r w:rsidRPr="00F901CD">
        <w:t>with anyone without consent unless the law and our policies allow us to do so.</w:t>
      </w:r>
    </w:p>
    <w:p w14:paraId="4E816098" w14:textId="77777777" w:rsidR="00B57263" w:rsidRDefault="00B57263" w:rsidP="00B57263">
      <w:pPr>
        <w:rPr>
          <w:b/>
          <w:color w:val="8A2529"/>
        </w:rPr>
      </w:pPr>
    </w:p>
    <w:p w14:paraId="6C1C140B" w14:textId="12688563" w:rsidR="00B57263" w:rsidRDefault="00B57263" w:rsidP="00B57263">
      <w:pPr>
        <w:rPr>
          <w:b/>
          <w:color w:val="8A2529"/>
        </w:rPr>
      </w:pPr>
      <w:r w:rsidRPr="00B57263">
        <w:rPr>
          <w:rStyle w:val="Heading2Char"/>
        </w:rPr>
        <w:t>Local authority</w:t>
      </w:r>
      <w:r w:rsidRPr="00D17482">
        <w:rPr>
          <w:b/>
          <w:color w:val="1F497D" w:themeColor="text2"/>
        </w:rPr>
        <w:t xml:space="preserve"> </w:t>
      </w:r>
    </w:p>
    <w:p w14:paraId="22CF4FD0" w14:textId="0076F42A" w:rsidR="00B57263" w:rsidRPr="00FA61FA" w:rsidRDefault="00B57263" w:rsidP="00B57263">
      <w:r w:rsidRPr="00FA61FA">
        <w:t>We are required to share information about our workforce members with our local authority (LA) under section 5 of the Education (Supply of Information about the School Workforce) (England) Regulations 2007 and amendments.</w:t>
      </w:r>
    </w:p>
    <w:p w14:paraId="0635ADB1" w14:textId="305F60F8" w:rsidR="00B57263" w:rsidRDefault="00B57263" w:rsidP="00B57263">
      <w:pPr>
        <w:pStyle w:val="Heading2"/>
      </w:pPr>
      <w:r>
        <w:lastRenderedPageBreak/>
        <w:t>Department for Education</w:t>
      </w:r>
      <w:r w:rsidR="00D67988">
        <w:t xml:space="preserve"> (DfE)</w:t>
      </w:r>
    </w:p>
    <w:p w14:paraId="5DAA3A61" w14:textId="18AB1C8E" w:rsidR="00B57263" w:rsidRDefault="00B57263" w:rsidP="00B57263">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3CBC4EFC" w14:textId="6C60EC4D" w:rsidR="00B57263" w:rsidRPr="00FA61FA" w:rsidRDefault="00B57263" w:rsidP="00B57263">
      <w:pPr>
        <w:rPr>
          <w:rFonts w:cs="Arial"/>
        </w:rPr>
      </w:pPr>
      <w:r w:rsidRPr="00FA61FA">
        <w:t>We are required to share information about our school employees with the Department for Education (DfE) under section 5 of the Education (Supply of Information about the School Workforce) (England) Regulations 2007 and amendments.</w:t>
      </w:r>
    </w:p>
    <w:p w14:paraId="20F82989" w14:textId="2B0ABC23" w:rsidR="00B57263" w:rsidRPr="00B57263" w:rsidRDefault="00B57263" w:rsidP="00B57263">
      <w:pPr>
        <w:rPr>
          <w:rFonts w:cs="Arial"/>
          <w:iCs/>
        </w:rPr>
      </w:pPr>
      <w:r w:rsidRPr="002D7C45">
        <w:rPr>
          <w:rFonts w:cs="Arial"/>
          <w:color w:val="000000"/>
        </w:rPr>
        <w:t xml:space="preserve">All data is transferred securely and held by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2D7C45">
        <w:rPr>
          <w:rFonts w:cs="Arial"/>
          <w:color w:val="000000"/>
        </w:rPr>
        <w:t xml:space="preserv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2" w:history="1">
        <w:r w:rsidRPr="002D7C45">
          <w:rPr>
            <w:rStyle w:val="Hyperlink"/>
            <w:rFonts w:cs="Arial"/>
            <w:iCs/>
          </w:rPr>
          <w:t>government security policy framework</w:t>
        </w:r>
      </w:hyperlink>
      <w:r w:rsidRPr="002D7C45">
        <w:rPr>
          <w:rFonts w:cs="Arial"/>
          <w:iCs/>
        </w:rPr>
        <w:t xml:space="preserve">. </w:t>
      </w:r>
    </w:p>
    <w:p w14:paraId="15A31B94" w14:textId="39D662FD" w:rsidR="00B57263" w:rsidRPr="00B57263" w:rsidRDefault="00B57263" w:rsidP="00B57263">
      <w:pPr>
        <w:rPr>
          <w:rFonts w:cs="Arial"/>
        </w:rPr>
      </w:pPr>
      <w:r w:rsidRPr="00F727B8">
        <w:rPr>
          <w:rFonts w:cs="Arial"/>
        </w:rPr>
        <w:t>For more information, please see ‘How Government uses your data’ section.</w:t>
      </w:r>
    </w:p>
    <w:p w14:paraId="2D65B770" w14:textId="77777777" w:rsidR="00B57263" w:rsidRPr="00A738CB" w:rsidRDefault="00B57263" w:rsidP="00B57263">
      <w:pPr>
        <w:pStyle w:val="Heading2"/>
      </w:pPr>
      <w:r w:rsidRPr="00A738CB">
        <w:t>Requesting access to your personal data</w:t>
      </w:r>
    </w:p>
    <w:p w14:paraId="323AFFC8" w14:textId="38CB9DD9" w:rsidR="00B57263" w:rsidRPr="007145EC" w:rsidRDefault="00B57263" w:rsidP="00B57263">
      <w:pPr>
        <w:rPr>
          <w:bCs/>
        </w:rPr>
      </w:pPr>
      <w:r w:rsidRPr="00FA61FA">
        <w:t xml:space="preserve">Under data protection legislation, you have the right to request access to information about you that we hold. To make a request for your personal information, contact </w:t>
      </w:r>
      <w:r w:rsidR="007145EC" w:rsidRPr="007145EC">
        <w:rPr>
          <w:bCs/>
        </w:rPr>
        <w:t>Katherine Brindle, Assistant Business Manager</w:t>
      </w:r>
      <w:r w:rsidR="007145EC">
        <w:rPr>
          <w:bCs/>
        </w:rPr>
        <w:t>.</w:t>
      </w:r>
    </w:p>
    <w:p w14:paraId="0D52E6BE" w14:textId="3F179F8B" w:rsidR="00B57263" w:rsidRPr="00FA61FA" w:rsidRDefault="00B57263" w:rsidP="00B57263">
      <w:pPr>
        <w:rPr>
          <w:rFonts w:cs="Arial"/>
        </w:rPr>
      </w:pPr>
      <w:r w:rsidRPr="00FA61FA">
        <w:rPr>
          <w:rFonts w:cs="Arial"/>
        </w:rPr>
        <w:t>You also have the right to:</w:t>
      </w:r>
    </w:p>
    <w:p w14:paraId="406ABD6C" w14:textId="77777777" w:rsidR="00B57263" w:rsidRPr="001168CC" w:rsidRDefault="00B57263" w:rsidP="00B57263">
      <w:pPr>
        <w:pStyle w:val="ListParagraph"/>
        <w:numPr>
          <w:ilvl w:val="0"/>
          <w:numId w:val="19"/>
        </w:numPr>
        <w:spacing w:after="160" w:line="259" w:lineRule="auto"/>
      </w:pPr>
      <w:r w:rsidRPr="001168CC">
        <w:t xml:space="preserve">to ask us for access to information about you that we hold </w:t>
      </w:r>
    </w:p>
    <w:p w14:paraId="59F1AD20" w14:textId="77777777" w:rsidR="00B57263" w:rsidRPr="001168CC" w:rsidRDefault="00B57263" w:rsidP="00B57263">
      <w:pPr>
        <w:pStyle w:val="ListParagraph"/>
        <w:numPr>
          <w:ilvl w:val="0"/>
          <w:numId w:val="19"/>
        </w:numPr>
        <w:spacing w:after="160" w:line="259" w:lineRule="auto"/>
      </w:pPr>
      <w:r w:rsidRPr="001168CC">
        <w:t>to have your personal data rectified, if it is inaccurate or incomplete</w:t>
      </w:r>
    </w:p>
    <w:p w14:paraId="278B9D1D" w14:textId="77777777" w:rsidR="00B57263" w:rsidRPr="001168CC" w:rsidRDefault="00B57263" w:rsidP="00B57263">
      <w:pPr>
        <w:pStyle w:val="ListParagraph"/>
        <w:numPr>
          <w:ilvl w:val="0"/>
          <w:numId w:val="19"/>
        </w:numPr>
        <w:spacing w:after="160" w:line="259" w:lineRule="auto"/>
      </w:pPr>
      <w:r w:rsidRPr="001168CC">
        <w:t>to request the deletion or removal of personal data where there is no compelling reason for its continued processing</w:t>
      </w:r>
    </w:p>
    <w:p w14:paraId="32171802" w14:textId="77777777" w:rsidR="00B57263" w:rsidRPr="001168CC" w:rsidRDefault="00B57263" w:rsidP="00B57263">
      <w:pPr>
        <w:pStyle w:val="ListParagraph"/>
        <w:numPr>
          <w:ilvl w:val="0"/>
          <w:numId w:val="19"/>
        </w:numPr>
        <w:spacing w:after="160" w:line="259" w:lineRule="auto"/>
      </w:pPr>
      <w:r w:rsidRPr="001168CC">
        <w:t>to restrict our processing of your personal data (i.e. permitting its storage but no further processing)</w:t>
      </w:r>
    </w:p>
    <w:p w14:paraId="3B00E097" w14:textId="77777777" w:rsidR="00B57263" w:rsidRPr="001168CC" w:rsidRDefault="00B57263" w:rsidP="00B57263">
      <w:pPr>
        <w:pStyle w:val="ListParagraph"/>
        <w:numPr>
          <w:ilvl w:val="0"/>
          <w:numId w:val="19"/>
        </w:numPr>
        <w:spacing w:after="160" w:line="259" w:lineRule="auto"/>
      </w:pPr>
      <w:r w:rsidRPr="001168CC">
        <w:t>to object to direct marketing (including profiling) and processing for the purposes of scientific/historical research and statistics</w:t>
      </w:r>
    </w:p>
    <w:p w14:paraId="2BB4CEDB" w14:textId="77777777" w:rsidR="00B57263" w:rsidRPr="001168CC" w:rsidRDefault="00B57263" w:rsidP="00B57263">
      <w:pPr>
        <w:pStyle w:val="ListParagraph"/>
        <w:numPr>
          <w:ilvl w:val="0"/>
          <w:numId w:val="19"/>
        </w:numPr>
        <w:spacing w:after="160" w:line="259" w:lineRule="auto"/>
      </w:pPr>
      <w:r w:rsidRPr="001168CC">
        <w:t>not to be subject to decisions based purely on automated processing where it produces a legal or similarly significant effect on you</w:t>
      </w:r>
    </w:p>
    <w:p w14:paraId="0B2D110B" w14:textId="05E8D55F" w:rsidR="00B57263" w:rsidRDefault="00B57263" w:rsidP="00B57263">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r:id="rId13" w:history="1">
        <w:r w:rsidRPr="00FA61FA">
          <w:rPr>
            <w:color w:val="0000FF"/>
            <w:u w:val="single"/>
          </w:rPr>
          <w:t>https://ico.org.uk/concerns/</w:t>
        </w:r>
      </w:hyperlink>
    </w:p>
    <w:p w14:paraId="504E5A34" w14:textId="5D6931FE" w:rsidR="00F3257B" w:rsidRPr="00B57263" w:rsidRDefault="00F3257B" w:rsidP="00B57263">
      <w:r>
        <w:t>For further information on how to request access to personal information held centrally by</w:t>
      </w:r>
      <w:r w:rsidR="00D67988" w:rsidRPr="00D67988">
        <w:t xml:space="preserve">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t xml:space="preserve">, </w:t>
      </w:r>
      <w:r w:rsidRPr="009A6875">
        <w:t>please see</w:t>
      </w:r>
      <w:r>
        <w:t xml:space="preserve"> the</w:t>
      </w:r>
      <w:r w:rsidRPr="009A6875">
        <w:t xml:space="preserve"> ‘How Government uses your data’ section</w:t>
      </w:r>
      <w:r>
        <w:t xml:space="preserve"> of this notice.</w:t>
      </w:r>
    </w:p>
    <w:p w14:paraId="5B6704DF" w14:textId="77777777" w:rsidR="00B57263" w:rsidRPr="00390A43" w:rsidRDefault="00B57263" w:rsidP="00B57263">
      <w:pPr>
        <w:pStyle w:val="Heading2"/>
      </w:pPr>
      <w:r w:rsidRPr="00390A43">
        <w:t>Last updated</w:t>
      </w:r>
    </w:p>
    <w:p w14:paraId="2B20445F" w14:textId="0D7BBA15" w:rsidR="00B57263" w:rsidRPr="00D1558A" w:rsidRDefault="00B57263" w:rsidP="00B57263">
      <w:pPr>
        <w:rPr>
          <w:rFonts w:cs="Arial"/>
          <w:bCs/>
          <w:color w:val="FF0000"/>
        </w:rPr>
      </w:pPr>
      <w:r>
        <w:rPr>
          <w:rFonts w:cs="Arial"/>
        </w:rPr>
        <w:t xml:space="preserve">We may need to update this privacy notice periodically so we recommend that you revisit this information from time to time. This version was last updated on </w:t>
      </w:r>
      <w:r w:rsidR="00D1558A" w:rsidRPr="00D1558A">
        <w:rPr>
          <w:bCs/>
        </w:rPr>
        <w:t xml:space="preserve">the </w:t>
      </w:r>
      <w:proofErr w:type="gramStart"/>
      <w:r w:rsidR="00D1558A" w:rsidRPr="00D1558A">
        <w:rPr>
          <w:bCs/>
        </w:rPr>
        <w:t>25</w:t>
      </w:r>
      <w:r w:rsidR="00D1558A" w:rsidRPr="00D1558A">
        <w:rPr>
          <w:bCs/>
          <w:vertAlign w:val="superscript"/>
        </w:rPr>
        <w:t>th</w:t>
      </w:r>
      <w:proofErr w:type="gramEnd"/>
      <w:r w:rsidR="00D1558A" w:rsidRPr="00D1558A">
        <w:rPr>
          <w:bCs/>
        </w:rPr>
        <w:t xml:space="preserve"> October 2023.</w:t>
      </w:r>
    </w:p>
    <w:p w14:paraId="0FEBBF0A" w14:textId="77777777" w:rsidR="00B57263" w:rsidRPr="001D4313" w:rsidRDefault="00B57263" w:rsidP="00B57263">
      <w:pPr>
        <w:pStyle w:val="Heading2"/>
      </w:pPr>
      <w:r w:rsidRPr="001D4313">
        <w:t>Contact</w:t>
      </w:r>
    </w:p>
    <w:p w14:paraId="4E91191D" w14:textId="77777777" w:rsidR="0003780A" w:rsidRDefault="00B57263" w:rsidP="00B57263">
      <w:r w:rsidRPr="00FA61FA">
        <w:t>If you would like to discuss anything in this privacy notice, please</w:t>
      </w:r>
      <w:r w:rsidRPr="00FA61FA">
        <w:rPr>
          <w:color w:val="FF0000"/>
        </w:rPr>
        <w:t xml:space="preserve"> </w:t>
      </w:r>
      <w:r w:rsidRPr="00FA61FA">
        <w:t>contact:</w:t>
      </w:r>
      <w:r>
        <w:t xml:space="preserve"> </w:t>
      </w:r>
    </w:p>
    <w:p w14:paraId="620CA3E5" w14:textId="73CA0ADB" w:rsidR="00B57263" w:rsidRPr="001D4313" w:rsidRDefault="0003780A" w:rsidP="00B57263">
      <w:pPr>
        <w:rPr>
          <w:szCs w:val="22"/>
        </w:rPr>
      </w:pPr>
      <w:r w:rsidRPr="003676A5">
        <w:t xml:space="preserve">Ray Baker, Headteacher, or Katherine </w:t>
      </w:r>
      <w:proofErr w:type="gramStart"/>
      <w:r w:rsidRPr="003676A5">
        <w:t>Brindle,  Business</w:t>
      </w:r>
      <w:proofErr w:type="gramEnd"/>
      <w:r w:rsidRPr="003676A5">
        <w:t xml:space="preserve"> Manage</w:t>
      </w:r>
      <w:r>
        <w:t>r.</w:t>
      </w:r>
      <w:r w:rsidR="00B57263">
        <w:br w:type="page"/>
      </w:r>
    </w:p>
    <w:p w14:paraId="19F86A0D" w14:textId="77777777" w:rsidR="00B57263" w:rsidRPr="00B57263" w:rsidRDefault="00B57263" w:rsidP="00B57263">
      <w:pPr>
        <w:pStyle w:val="Heading1"/>
      </w:pPr>
      <w:r w:rsidRPr="00B57263">
        <w:lastRenderedPageBreak/>
        <w:t>How Government uses your data</w:t>
      </w:r>
    </w:p>
    <w:p w14:paraId="7D9FAF74" w14:textId="5FA3408B" w:rsidR="00B57263" w:rsidRPr="00F901CD" w:rsidRDefault="00B57263" w:rsidP="00B57263">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14:paraId="721AEB73" w14:textId="2BC37A73" w:rsidR="00B57263" w:rsidRPr="006D687F" w:rsidRDefault="00B57263" w:rsidP="00B57263">
      <w:pPr>
        <w:pStyle w:val="ListParagraph"/>
        <w:numPr>
          <w:ilvl w:val="0"/>
          <w:numId w:val="21"/>
        </w:numPr>
        <w:spacing w:after="160" w:line="259" w:lineRule="auto"/>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14:paraId="0DC793CA" w14:textId="77777777" w:rsidR="00B57263" w:rsidRDefault="00B57263" w:rsidP="00B57263">
      <w:pPr>
        <w:pStyle w:val="ListParagraph"/>
        <w:numPr>
          <w:ilvl w:val="0"/>
          <w:numId w:val="21"/>
        </w:numPr>
        <w:spacing w:after="160" w:line="259" w:lineRule="auto"/>
      </w:pPr>
      <w:r>
        <w:t xml:space="preserve">links to </w:t>
      </w:r>
      <w:r w:rsidRPr="00F901CD">
        <w:t>school funding</w:t>
      </w:r>
      <w:r>
        <w:t xml:space="preserve"> and expenditure</w:t>
      </w:r>
    </w:p>
    <w:p w14:paraId="32D8B551" w14:textId="7207B076" w:rsidR="00B57263" w:rsidRPr="00FA61FA" w:rsidRDefault="00B57263" w:rsidP="00B57263">
      <w:pPr>
        <w:pStyle w:val="ListParagraph"/>
        <w:numPr>
          <w:ilvl w:val="0"/>
          <w:numId w:val="21"/>
        </w:numPr>
        <w:spacing w:after="160" w:line="259" w:lineRule="auto"/>
      </w:pPr>
      <w:r w:rsidRPr="00E278FA">
        <w:t>supports ‘longer term’ research and monitoring of educational policy</w:t>
      </w:r>
    </w:p>
    <w:p w14:paraId="3EB0B0EE" w14:textId="77777777" w:rsidR="00B57263" w:rsidRPr="00A738CB" w:rsidRDefault="00B57263" w:rsidP="00B57263">
      <w:pPr>
        <w:pStyle w:val="Heading2"/>
      </w:pPr>
      <w:r w:rsidRPr="00A738CB">
        <w:t>Data collection requirements</w:t>
      </w:r>
    </w:p>
    <w:p w14:paraId="5B424ED6" w14:textId="720FE508" w:rsidR="00B57263" w:rsidRPr="00F32EFD" w:rsidRDefault="00B57263" w:rsidP="00B57263">
      <w:pPr>
        <w:pStyle w:val="CommentText"/>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4" w:history="1">
        <w:r w:rsidRPr="00F32EFD">
          <w:rPr>
            <w:rStyle w:val="Hyperlink"/>
            <w:sz w:val="22"/>
            <w:szCs w:val="22"/>
          </w:rPr>
          <w:t>https://www.gov.uk/education/data-collection-and-censuses-for-schools</w:t>
        </w:r>
      </w:hyperlink>
      <w:r w:rsidRPr="00F32EFD">
        <w:rPr>
          <w:sz w:val="22"/>
          <w:szCs w:val="22"/>
        </w:rPr>
        <w:t>.</w:t>
      </w:r>
    </w:p>
    <w:p w14:paraId="19D74089" w14:textId="2828F560" w:rsidR="00B57263" w:rsidRPr="000738E2" w:rsidRDefault="00B57263" w:rsidP="00B57263">
      <w:pPr>
        <w:pStyle w:val="Heading2"/>
      </w:pPr>
      <w:r w:rsidRPr="000738E2">
        <w:t>Sharing</w:t>
      </w:r>
      <w:r>
        <w:t xml:space="preserve"> by the Department</w:t>
      </w:r>
      <w:r w:rsidR="005C3F6F">
        <w:t xml:space="preserve"> for Education (DfE)</w:t>
      </w:r>
    </w:p>
    <w:p w14:paraId="5A934164" w14:textId="7245A747" w:rsidR="00B57263" w:rsidRPr="00FA61FA" w:rsidRDefault="00B57263" w:rsidP="00B57263">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conducting research or analysis</w:t>
      </w:r>
    </w:p>
    <w:p w14:paraId="6CCAE50B"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producing statistics</w:t>
      </w:r>
    </w:p>
    <w:p w14:paraId="3EC1D926"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providing information, advice or guidance</w:t>
      </w:r>
    </w:p>
    <w:p w14:paraId="2DB44DEA" w14:textId="77777777" w:rsidR="00B57263" w:rsidRPr="00FA61FA" w:rsidRDefault="00B57263" w:rsidP="00B57263"/>
    <w:p w14:paraId="0725D6C3" w14:textId="430420A4" w:rsidR="00B57263" w:rsidRPr="00FA61FA" w:rsidRDefault="00B57263" w:rsidP="00B57263">
      <w:r>
        <w:t>The D</w:t>
      </w:r>
      <w:r w:rsidRPr="00FA61FA">
        <w:t xml:space="preserve">epartment </w:t>
      </w:r>
      <w:r w:rsidR="005C3F6F">
        <w:t xml:space="preserve">for Education (DfE)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p>
    <w:p w14:paraId="51ACB435"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who is requesting the data</w:t>
      </w:r>
    </w:p>
    <w:p w14:paraId="698A2606"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the purpose for which it is required</w:t>
      </w:r>
    </w:p>
    <w:p w14:paraId="73E1AD09"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level and sensitivity of data requested; and </w:t>
      </w:r>
    </w:p>
    <w:p w14:paraId="33B831F3"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arrangements in place to securely store and handle the data </w:t>
      </w:r>
    </w:p>
    <w:p w14:paraId="3C60FE89" w14:textId="77777777" w:rsidR="00B57263" w:rsidRPr="00FA61FA" w:rsidRDefault="00B57263" w:rsidP="00B57263">
      <w:pPr>
        <w:rPr>
          <w:highlight w:val="yellow"/>
        </w:rPr>
      </w:pPr>
    </w:p>
    <w:p w14:paraId="6ED98E8B" w14:textId="66B917C4" w:rsidR="00B57263" w:rsidRDefault="00B57263" w:rsidP="00B57263">
      <w:r w:rsidRPr="00FA61FA">
        <w:t>To be granted access to school workforce information, organisations must comply with its strict terms and conditions covering the confidentiality and handling of the data, security arrangements and retention and use of the data.</w:t>
      </w:r>
    </w:p>
    <w:p w14:paraId="22621C5D" w14:textId="44972809" w:rsidR="00F3257B" w:rsidRPr="00933F27" w:rsidRDefault="00F3257B" w:rsidP="00F3257B">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14:paraId="28E6E332" w14:textId="1419BF13" w:rsidR="00F3257B" w:rsidRPr="00933F27" w:rsidRDefault="00F3257B" w:rsidP="00F3257B">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005C3F6F">
        <w:rPr>
          <w:sz w:val="22"/>
          <w:szCs w:val="24"/>
        </w:rPr>
        <w:t xml:space="preserve"> for Education (DfE)</w:t>
      </w:r>
      <w:r w:rsidRPr="00933F27">
        <w:rPr>
          <w:sz w:val="22"/>
          <w:szCs w:val="24"/>
        </w:rPr>
        <w:t>:</w:t>
      </w:r>
    </w:p>
    <w:p w14:paraId="3CA6AC9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if they are processing your personal data</w:t>
      </w:r>
    </w:p>
    <w:p w14:paraId="6138C665"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 xml:space="preserve">for a description of the </w:t>
      </w:r>
      <w:proofErr w:type="gramStart"/>
      <w:r w:rsidRPr="00933F27">
        <w:rPr>
          <w:rFonts w:cs="Arial"/>
          <w:lang w:val="en"/>
        </w:rPr>
        <w:t>data</w:t>
      </w:r>
      <w:proofErr w:type="gramEnd"/>
      <w:r w:rsidRPr="00933F27">
        <w:rPr>
          <w:rFonts w:cs="Arial"/>
          <w:lang w:val="en"/>
        </w:rPr>
        <w:t xml:space="preserve"> they hold about you</w:t>
      </w:r>
    </w:p>
    <w:p w14:paraId="5A1FF5D8"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1727418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580A8F25" w14:textId="1F8A20F0" w:rsidR="00F3257B" w:rsidRPr="00892B77" w:rsidRDefault="00F3257B" w:rsidP="00F3257B">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5C3F6F">
        <w:rPr>
          <w:sz w:val="22"/>
          <w:szCs w:val="22"/>
          <w:lang w:val="en"/>
        </w:rPr>
        <w:t xml:space="preserve"> for Education (DfE)</w:t>
      </w:r>
      <w:r w:rsidRPr="00933F27">
        <w:rPr>
          <w:sz w:val="22"/>
          <w:szCs w:val="22"/>
          <w:lang w:val="en"/>
        </w:rPr>
        <w:t xml:space="preserve">, you </w:t>
      </w:r>
      <w:r w:rsidRPr="00933F27">
        <w:rPr>
          <w:sz w:val="22"/>
          <w:szCs w:val="22"/>
          <w:lang w:val="en"/>
        </w:rPr>
        <w:lastRenderedPageBreak/>
        <w:t>should make a ‘subject access request’.</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14:paraId="28225EE0" w14:textId="77777777" w:rsidR="00F3257B" w:rsidRPr="00892B77" w:rsidRDefault="00F3257B" w:rsidP="00F3257B">
      <w:pPr>
        <w:rPr>
          <w:color w:val="0000FF"/>
          <w:szCs w:val="22"/>
          <w:u w:val="single"/>
        </w:rPr>
      </w:pPr>
      <w:hyperlink r:id="rId15" w:history="1">
        <w:r w:rsidRPr="00892B77">
          <w:rPr>
            <w:rStyle w:val="Hyperlink"/>
            <w:sz w:val="22"/>
            <w:szCs w:val="22"/>
          </w:rPr>
          <w:t>https://www.gov.uk/government/organisations/department-for-education/about/personal-information-charter</w:t>
        </w:r>
      </w:hyperlink>
    </w:p>
    <w:p w14:paraId="2B3E4EFA" w14:textId="6C9DEE37" w:rsidR="00B57263" w:rsidRPr="00FA61FA" w:rsidRDefault="00B57263" w:rsidP="00B57263">
      <w:pPr>
        <w:pStyle w:val="ListParagraph"/>
        <w:numPr>
          <w:ilvl w:val="0"/>
          <w:numId w:val="0"/>
        </w:numPr>
        <w:rPr>
          <w:rStyle w:val="Hyperlink"/>
        </w:rPr>
      </w:pPr>
      <w:r w:rsidRPr="00FA61FA">
        <w:t xml:space="preserve">To contact the </w:t>
      </w:r>
      <w:r w:rsidR="005C3F6F">
        <w:t>D</w:t>
      </w:r>
      <w:r w:rsidRPr="00FA61FA">
        <w:t>epartment</w:t>
      </w:r>
      <w:r w:rsidR="005C3F6F">
        <w:t xml:space="preserve"> for Education (DfE)</w:t>
      </w:r>
      <w:r w:rsidRPr="00FA61FA">
        <w:t xml:space="preserve">: </w:t>
      </w:r>
      <w:hyperlink r:id="rId16" w:history="1">
        <w:r w:rsidRPr="00FA61FA">
          <w:rPr>
            <w:rStyle w:val="Hyperlink"/>
          </w:rPr>
          <w:t>https://www.gov.uk/contact-dfe</w:t>
        </w:r>
      </w:hyperlink>
    </w:p>
    <w:p w14:paraId="5944612C" w14:textId="502DE6B8" w:rsidR="005D3B59" w:rsidRPr="00B57263" w:rsidRDefault="005D3B59" w:rsidP="00EF5256"/>
    <w:sectPr w:rsidR="005D3B59" w:rsidRPr="00B57263"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81DE" w14:textId="77777777" w:rsidR="001D2B71" w:rsidRDefault="001D2B71" w:rsidP="002B6D93">
      <w:r>
        <w:separator/>
      </w:r>
    </w:p>
    <w:p w14:paraId="754305F9" w14:textId="77777777" w:rsidR="001D2B71" w:rsidRDefault="001D2B71"/>
  </w:endnote>
  <w:endnote w:type="continuationSeparator" w:id="0">
    <w:p w14:paraId="3CDF13A8" w14:textId="77777777" w:rsidR="001D2B71" w:rsidRDefault="001D2B71" w:rsidP="002B6D93">
      <w:r>
        <w:continuationSeparator/>
      </w:r>
    </w:p>
    <w:p w14:paraId="5501F330" w14:textId="77777777" w:rsidR="001D2B71" w:rsidRDefault="001D2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0434D" w14:textId="77777777" w:rsidR="001D2B71" w:rsidRDefault="001D2B71" w:rsidP="002B6D93">
      <w:r>
        <w:separator/>
      </w:r>
    </w:p>
    <w:p w14:paraId="7DD2C2E7" w14:textId="77777777" w:rsidR="001D2B71" w:rsidRDefault="001D2B71"/>
  </w:footnote>
  <w:footnote w:type="continuationSeparator" w:id="0">
    <w:p w14:paraId="2B197688" w14:textId="77777777" w:rsidR="001D2B71" w:rsidRDefault="001D2B71" w:rsidP="002B6D93">
      <w:r>
        <w:continuationSeparator/>
      </w:r>
    </w:p>
    <w:p w14:paraId="0AE4F74E" w14:textId="77777777" w:rsidR="001D2B71" w:rsidRDefault="001D2B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6658CC"/>
    <w:multiLevelType w:val="hybridMultilevel"/>
    <w:tmpl w:val="B8D67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F0EF2"/>
    <w:multiLevelType w:val="hybridMultilevel"/>
    <w:tmpl w:val="52829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FB4CAA"/>
    <w:multiLevelType w:val="hybridMultilevel"/>
    <w:tmpl w:val="C1D24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6B7B7F"/>
    <w:multiLevelType w:val="hybridMultilevel"/>
    <w:tmpl w:val="2F202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9106295">
    <w:abstractNumId w:val="4"/>
  </w:num>
  <w:num w:numId="2" w16cid:durableId="925652790">
    <w:abstractNumId w:val="24"/>
  </w:num>
  <w:num w:numId="3" w16cid:durableId="1902520356">
    <w:abstractNumId w:val="23"/>
  </w:num>
  <w:num w:numId="4" w16cid:durableId="200941826">
    <w:abstractNumId w:val="11"/>
  </w:num>
  <w:num w:numId="5" w16cid:durableId="1089346560">
    <w:abstractNumId w:val="8"/>
  </w:num>
  <w:num w:numId="6" w16cid:durableId="1383138761">
    <w:abstractNumId w:val="17"/>
  </w:num>
  <w:num w:numId="7" w16cid:durableId="1129326015">
    <w:abstractNumId w:val="3"/>
  </w:num>
  <w:num w:numId="8" w16cid:durableId="1209951985">
    <w:abstractNumId w:val="1"/>
  </w:num>
  <w:num w:numId="9" w16cid:durableId="808323267">
    <w:abstractNumId w:val="0"/>
  </w:num>
  <w:num w:numId="10" w16cid:durableId="1501697054">
    <w:abstractNumId w:val="19"/>
  </w:num>
  <w:num w:numId="11" w16cid:durableId="967204467">
    <w:abstractNumId w:val="17"/>
  </w:num>
  <w:num w:numId="12" w16cid:durableId="851332831">
    <w:abstractNumId w:val="28"/>
  </w:num>
  <w:num w:numId="13" w16cid:durableId="1824543909">
    <w:abstractNumId w:val="6"/>
  </w:num>
  <w:num w:numId="14" w16cid:durableId="964894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603879">
    <w:abstractNumId w:val="2"/>
  </w:num>
  <w:num w:numId="16" w16cid:durableId="459111763">
    <w:abstractNumId w:val="12"/>
  </w:num>
  <w:num w:numId="17" w16cid:durableId="344597431">
    <w:abstractNumId w:val="10"/>
  </w:num>
  <w:num w:numId="18" w16cid:durableId="1069157258">
    <w:abstractNumId w:val="9"/>
  </w:num>
  <w:num w:numId="19" w16cid:durableId="39285506">
    <w:abstractNumId w:val="25"/>
  </w:num>
  <w:num w:numId="20" w16cid:durableId="345795087">
    <w:abstractNumId w:val="15"/>
  </w:num>
  <w:num w:numId="21" w16cid:durableId="223488018">
    <w:abstractNumId w:val="20"/>
  </w:num>
  <w:num w:numId="22" w16cid:durableId="1781605050">
    <w:abstractNumId w:val="16"/>
  </w:num>
  <w:num w:numId="23" w16cid:durableId="744960706">
    <w:abstractNumId w:val="22"/>
  </w:num>
  <w:num w:numId="24" w16cid:durableId="128547901">
    <w:abstractNumId w:val="29"/>
  </w:num>
  <w:num w:numId="25" w16cid:durableId="5789028">
    <w:abstractNumId w:val="18"/>
  </w:num>
  <w:num w:numId="26" w16cid:durableId="1706759615">
    <w:abstractNumId w:val="26"/>
  </w:num>
  <w:num w:numId="27" w16cid:durableId="95098534">
    <w:abstractNumId w:val="7"/>
  </w:num>
  <w:num w:numId="28" w16cid:durableId="2093744550">
    <w:abstractNumId w:val="21"/>
  </w:num>
  <w:num w:numId="29" w16cid:durableId="923731207">
    <w:abstractNumId w:val="30"/>
  </w:num>
  <w:num w:numId="30" w16cid:durableId="359203332">
    <w:abstractNumId w:val="27"/>
  </w:num>
  <w:num w:numId="31" w16cid:durableId="1367171241">
    <w:abstractNumId w:val="13"/>
  </w:num>
  <w:num w:numId="32" w16cid:durableId="212742080">
    <w:abstractNumId w:val="5"/>
  </w:num>
  <w:num w:numId="33" w16cid:durableId="16628077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269C"/>
    <w:rsid w:val="00013A6E"/>
    <w:rsid w:val="0002203B"/>
    <w:rsid w:val="0003138C"/>
    <w:rsid w:val="00031F36"/>
    <w:rsid w:val="0003780A"/>
    <w:rsid w:val="000442BD"/>
    <w:rsid w:val="00057100"/>
    <w:rsid w:val="00065E86"/>
    <w:rsid w:val="00066B1C"/>
    <w:rsid w:val="000711F8"/>
    <w:rsid w:val="00083A73"/>
    <w:rsid w:val="000A10F4"/>
    <w:rsid w:val="000B343F"/>
    <w:rsid w:val="000B3DE0"/>
    <w:rsid w:val="000D1D30"/>
    <w:rsid w:val="000D4433"/>
    <w:rsid w:val="000D726B"/>
    <w:rsid w:val="000E3350"/>
    <w:rsid w:val="000F73F3"/>
    <w:rsid w:val="00103E77"/>
    <w:rsid w:val="0011494F"/>
    <w:rsid w:val="00121C6C"/>
    <w:rsid w:val="001264D9"/>
    <w:rsid w:val="001272A9"/>
    <w:rsid w:val="00133075"/>
    <w:rsid w:val="001353B9"/>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2B71"/>
    <w:rsid w:val="001D5770"/>
    <w:rsid w:val="001E3EE7"/>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015D3"/>
    <w:rsid w:val="00306313"/>
    <w:rsid w:val="003317B3"/>
    <w:rsid w:val="00342F8B"/>
    <w:rsid w:val="00361752"/>
    <w:rsid w:val="00374981"/>
    <w:rsid w:val="003810D8"/>
    <w:rsid w:val="003853A4"/>
    <w:rsid w:val="0039725F"/>
    <w:rsid w:val="003A1CC2"/>
    <w:rsid w:val="003C60B5"/>
    <w:rsid w:val="003D1EFE"/>
    <w:rsid w:val="003E1329"/>
    <w:rsid w:val="00400E1D"/>
    <w:rsid w:val="00403D1C"/>
    <w:rsid w:val="00416472"/>
    <w:rsid w:val="004216FF"/>
    <w:rsid w:val="004242C5"/>
    <w:rsid w:val="004339FB"/>
    <w:rsid w:val="004509BE"/>
    <w:rsid w:val="00456560"/>
    <w:rsid w:val="00470223"/>
    <w:rsid w:val="004866AD"/>
    <w:rsid w:val="00486DDD"/>
    <w:rsid w:val="00492401"/>
    <w:rsid w:val="00493E14"/>
    <w:rsid w:val="004A3626"/>
    <w:rsid w:val="004A3E98"/>
    <w:rsid w:val="004B08AC"/>
    <w:rsid w:val="004C5600"/>
    <w:rsid w:val="004D13A3"/>
    <w:rsid w:val="004D73C6"/>
    <w:rsid w:val="004E3FCA"/>
    <w:rsid w:val="004E5405"/>
    <w:rsid w:val="004E6CD9"/>
    <w:rsid w:val="004F20E3"/>
    <w:rsid w:val="004F211A"/>
    <w:rsid w:val="004F3159"/>
    <w:rsid w:val="004F4AEF"/>
    <w:rsid w:val="00502291"/>
    <w:rsid w:val="005247AD"/>
    <w:rsid w:val="005360B7"/>
    <w:rsid w:val="00536E0B"/>
    <w:rsid w:val="005535E5"/>
    <w:rsid w:val="00560451"/>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B59"/>
    <w:rsid w:val="005E3024"/>
    <w:rsid w:val="005E375D"/>
    <w:rsid w:val="005E66CB"/>
    <w:rsid w:val="005F107C"/>
    <w:rsid w:val="0060702F"/>
    <w:rsid w:val="006108B3"/>
    <w:rsid w:val="00622501"/>
    <w:rsid w:val="006237FB"/>
    <w:rsid w:val="0062451E"/>
    <w:rsid w:val="00635D57"/>
    <w:rsid w:val="00640032"/>
    <w:rsid w:val="006418B2"/>
    <w:rsid w:val="00642404"/>
    <w:rsid w:val="00646C3B"/>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A27AA"/>
    <w:rsid w:val="006A3602"/>
    <w:rsid w:val="006B1F9F"/>
    <w:rsid w:val="006B7E8F"/>
    <w:rsid w:val="006C382D"/>
    <w:rsid w:val="006D1162"/>
    <w:rsid w:val="006E6ADB"/>
    <w:rsid w:val="006E7F39"/>
    <w:rsid w:val="006F1F96"/>
    <w:rsid w:val="00700B01"/>
    <w:rsid w:val="00702EBF"/>
    <w:rsid w:val="00713414"/>
    <w:rsid w:val="007145EC"/>
    <w:rsid w:val="00727EC4"/>
    <w:rsid w:val="00730350"/>
    <w:rsid w:val="0073516C"/>
    <w:rsid w:val="007403F5"/>
    <w:rsid w:val="007426B3"/>
    <w:rsid w:val="00743353"/>
    <w:rsid w:val="0075096B"/>
    <w:rsid w:val="00751648"/>
    <w:rsid w:val="00754145"/>
    <w:rsid w:val="00760615"/>
    <w:rsid w:val="007619F2"/>
    <w:rsid w:val="0076231A"/>
    <w:rsid w:val="00764D03"/>
    <w:rsid w:val="00766597"/>
    <w:rsid w:val="00774F55"/>
    <w:rsid w:val="00775D8A"/>
    <w:rsid w:val="0077659E"/>
    <w:rsid w:val="00777AD4"/>
    <w:rsid w:val="00780950"/>
    <w:rsid w:val="007809EF"/>
    <w:rsid w:val="00783D2C"/>
    <w:rsid w:val="00794F29"/>
    <w:rsid w:val="007A2250"/>
    <w:rsid w:val="007A5759"/>
    <w:rsid w:val="007B2C91"/>
    <w:rsid w:val="007B3CFE"/>
    <w:rsid w:val="007C19E4"/>
    <w:rsid w:val="007C41A5"/>
    <w:rsid w:val="007C58BE"/>
    <w:rsid w:val="007D080B"/>
    <w:rsid w:val="007E16B4"/>
    <w:rsid w:val="007E1EEB"/>
    <w:rsid w:val="007E24D6"/>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1FFB"/>
    <w:rsid w:val="00AA3484"/>
    <w:rsid w:val="00AA7E7B"/>
    <w:rsid w:val="00AB6D0F"/>
    <w:rsid w:val="00AB7858"/>
    <w:rsid w:val="00AB7D2A"/>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031"/>
    <w:rsid w:val="00B7558C"/>
    <w:rsid w:val="00B9194F"/>
    <w:rsid w:val="00BA003B"/>
    <w:rsid w:val="00BA5682"/>
    <w:rsid w:val="00BA5DA5"/>
    <w:rsid w:val="00BA7568"/>
    <w:rsid w:val="00BB05E2"/>
    <w:rsid w:val="00BB46F9"/>
    <w:rsid w:val="00BC0168"/>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96834"/>
    <w:rsid w:val="00CA1009"/>
    <w:rsid w:val="00CA30B4"/>
    <w:rsid w:val="00CA610B"/>
    <w:rsid w:val="00CA72FC"/>
    <w:rsid w:val="00CB56F5"/>
    <w:rsid w:val="00CB6E04"/>
    <w:rsid w:val="00CC2512"/>
    <w:rsid w:val="00CC547F"/>
    <w:rsid w:val="00CD5D21"/>
    <w:rsid w:val="00CD6FAE"/>
    <w:rsid w:val="00CE2652"/>
    <w:rsid w:val="00CE7906"/>
    <w:rsid w:val="00CF0E19"/>
    <w:rsid w:val="00CF6044"/>
    <w:rsid w:val="00D04C80"/>
    <w:rsid w:val="00D1558A"/>
    <w:rsid w:val="00D27D9B"/>
    <w:rsid w:val="00D376DB"/>
    <w:rsid w:val="00D408A5"/>
    <w:rsid w:val="00D40DE9"/>
    <w:rsid w:val="00D41212"/>
    <w:rsid w:val="00D42B45"/>
    <w:rsid w:val="00D660A1"/>
    <w:rsid w:val="00D67988"/>
    <w:rsid w:val="00D75416"/>
    <w:rsid w:val="00D92274"/>
    <w:rsid w:val="00D93C40"/>
    <w:rsid w:val="00D94339"/>
    <w:rsid w:val="00D9707F"/>
    <w:rsid w:val="00D97DD2"/>
    <w:rsid w:val="00DA0AD5"/>
    <w:rsid w:val="00DA1B01"/>
    <w:rsid w:val="00DA1F8E"/>
    <w:rsid w:val="00DA57A4"/>
    <w:rsid w:val="00DB0D07"/>
    <w:rsid w:val="00DB56EB"/>
    <w:rsid w:val="00DC39E8"/>
    <w:rsid w:val="00DC4922"/>
    <w:rsid w:val="00DD3A4E"/>
    <w:rsid w:val="00DD4091"/>
    <w:rsid w:val="00DD51B7"/>
    <w:rsid w:val="00DD788A"/>
    <w:rsid w:val="00DE2205"/>
    <w:rsid w:val="00DE6998"/>
    <w:rsid w:val="00DF0054"/>
    <w:rsid w:val="00DF0635"/>
    <w:rsid w:val="00DF3309"/>
    <w:rsid w:val="00DF5124"/>
    <w:rsid w:val="00DF7F39"/>
    <w:rsid w:val="00E13CAD"/>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4012"/>
    <w:rsid w:val="00E87A6A"/>
    <w:rsid w:val="00E9232A"/>
    <w:rsid w:val="00EA4D1B"/>
    <w:rsid w:val="00EB1D11"/>
    <w:rsid w:val="00EC3DC1"/>
    <w:rsid w:val="00ED2F1C"/>
    <w:rsid w:val="00ED3D05"/>
    <w:rsid w:val="00EE64AE"/>
    <w:rsid w:val="00EF5256"/>
    <w:rsid w:val="00F06445"/>
    <w:rsid w:val="00F07114"/>
    <w:rsid w:val="00F16EEB"/>
    <w:rsid w:val="00F206A7"/>
    <w:rsid w:val="00F3105E"/>
    <w:rsid w:val="00F3257B"/>
    <w:rsid w:val="00F32EFD"/>
    <w:rsid w:val="00F36ED4"/>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security-polic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ducation/about/personal-information-chart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1ce8a7c-cb3d-441f-8aba-ef7fa6f0ae84">
      <Terms xmlns="http://schemas.microsoft.com/office/infopath/2007/PartnerControls"/>
    </lcf76f155ced4ddcb4097134ff3c332f>
    <TaxCatchAll xmlns="3b194f4e-cc00-473b-88af-2b866fc94176" xsi:nil="true"/>
  </documentManagement>
</p:properties>
</file>

<file path=customXml/itemProps1.xml><?xml version="1.0" encoding="utf-8"?>
<ds:datastoreItem xmlns:ds="http://schemas.openxmlformats.org/officeDocument/2006/customXml" ds:itemID="{7F438DF7-0248-43B3-932E-BE6011301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587B03A5-36AB-47C2-8C33-0218C2178AE3}">
  <ds:schemaRefs>
    <ds:schemaRef ds:uri="http://schemas.openxmlformats.org/officeDocument/2006/bibliography"/>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f1ce8a7c-cb3d-441f-8aba-ef7fa6f0ae84"/>
    <ds:schemaRef ds:uri="3b194f4e-cc00-473b-88af-2b866fc94176"/>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9873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Katherine Brindle</cp:lastModifiedBy>
  <cp:revision>33</cp:revision>
  <cp:lastPrinted>2013-07-11T10:35:00Z</cp:lastPrinted>
  <dcterms:created xsi:type="dcterms:W3CDTF">2023-10-25T10:33:00Z</dcterms:created>
  <dcterms:modified xsi:type="dcterms:W3CDTF">2025-01-07T16:28:00Z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0x010100AC0484217AAAAE4786228907670DACB1</vt:lpwstr>
  </property>
  <property fmtid="{D5CDD505-2E9C-101B-9397-08002B2CF9AE}" pid="4" name="_dlc_DocIdItemGuid">
    <vt:lpwstr>f932cb30-a47a-488d-898c-fd408f879a72</vt:lpwstr>
  </property>
</Properties>
</file>