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95BE" w14:textId="4A347C1B" w:rsidR="008A3C28" w:rsidRDefault="00DB39FD" w:rsidP="00797B6A">
      <w:pPr>
        <w:pStyle w:val="Heading1"/>
      </w:pPr>
      <w:r w:rsidRPr="008A3C28">
        <w:t xml:space="preserve">Risk assessment </w:t>
      </w:r>
      <w:r w:rsidR="003E6F18">
        <w:t>(lone working)</w:t>
      </w:r>
    </w:p>
    <w:p w14:paraId="4D9872F6" w14:textId="3DB67D68" w:rsidR="00797B6A" w:rsidRDefault="00797B6A" w:rsidP="00797B6A">
      <w:pPr>
        <w:pStyle w:val="Heading2"/>
      </w:pPr>
      <w:r>
        <w:t xml:space="preserve">Company name: </w:t>
      </w:r>
      <w:r w:rsidR="00960E43">
        <w:t>Footprints Animal Sanctuary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60E43">
        <w:t>Cara Stephenson</w:t>
      </w:r>
    </w:p>
    <w:p w14:paraId="6C7F3882" w14:textId="3E99B7BD" w:rsidR="00797B6A" w:rsidRPr="00B200FE" w:rsidRDefault="00797B6A" w:rsidP="00797B6A">
      <w:pPr>
        <w:pStyle w:val="Heading2"/>
      </w:pPr>
      <w:r>
        <w:t xml:space="preserve">Date of next review: </w:t>
      </w:r>
      <w:r w:rsidR="00960E43">
        <w:t>01/06/2022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960E43">
        <w:t>01/12/2021</w:t>
      </w:r>
    </w:p>
    <w:p w14:paraId="67A7B7B4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5"/>
        <w:gridCol w:w="2048"/>
        <w:gridCol w:w="2251"/>
        <w:gridCol w:w="2932"/>
        <w:gridCol w:w="1931"/>
        <w:gridCol w:w="2064"/>
        <w:gridCol w:w="1131"/>
      </w:tblGrid>
      <w:tr w:rsidR="00D803CE" w14:paraId="21051855" w14:textId="77777777" w:rsidTr="00D803CE">
        <w:trPr>
          <w:tblHeader/>
        </w:trPr>
        <w:tc>
          <w:tcPr>
            <w:tcW w:w="2245" w:type="dxa"/>
            <w:shd w:val="clear" w:color="auto" w:fill="8F002B"/>
          </w:tcPr>
          <w:p w14:paraId="283F648F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8" w:type="dxa"/>
            <w:shd w:val="clear" w:color="auto" w:fill="8F002B"/>
          </w:tcPr>
          <w:p w14:paraId="23019892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51" w:type="dxa"/>
            <w:shd w:val="clear" w:color="auto" w:fill="8F002B"/>
          </w:tcPr>
          <w:p w14:paraId="0F46CB9E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32" w:type="dxa"/>
            <w:shd w:val="clear" w:color="auto" w:fill="8F002B"/>
          </w:tcPr>
          <w:p w14:paraId="29FE372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31" w:type="dxa"/>
            <w:shd w:val="clear" w:color="auto" w:fill="8F002B"/>
          </w:tcPr>
          <w:p w14:paraId="18979DD4" w14:textId="0B6852E3" w:rsidR="00797B6A" w:rsidRDefault="000767A3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2064" w:type="dxa"/>
            <w:shd w:val="clear" w:color="auto" w:fill="8F002B"/>
          </w:tcPr>
          <w:p w14:paraId="0B8E97C0" w14:textId="09021655" w:rsidR="00797B6A" w:rsidRDefault="000842CB" w:rsidP="009874A9">
            <w:pPr>
              <w:pStyle w:val="Heading3"/>
            </w:pPr>
            <w:r>
              <w:t>Severity of risk (low, medium, high)</w:t>
            </w:r>
          </w:p>
        </w:tc>
        <w:tc>
          <w:tcPr>
            <w:tcW w:w="1131" w:type="dxa"/>
            <w:shd w:val="clear" w:color="auto" w:fill="8F002B"/>
          </w:tcPr>
          <w:p w14:paraId="78604A08" w14:textId="447F77C5" w:rsidR="00797B6A" w:rsidRDefault="000842CB" w:rsidP="009874A9">
            <w:pPr>
              <w:pStyle w:val="Heading3"/>
            </w:pPr>
            <w:r>
              <w:t xml:space="preserve">Overall risk </w:t>
            </w:r>
          </w:p>
        </w:tc>
      </w:tr>
      <w:tr w:rsidR="00872C64" w14:paraId="64829E2F" w14:textId="77777777" w:rsidTr="00D803CE">
        <w:tc>
          <w:tcPr>
            <w:tcW w:w="2245" w:type="dxa"/>
          </w:tcPr>
          <w:p w14:paraId="5B833F6E" w14:textId="0EDF97A8" w:rsidR="00797B6A" w:rsidRPr="00FB1671" w:rsidRDefault="00A1447C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Slips, trips and falls</w:t>
            </w:r>
          </w:p>
        </w:tc>
        <w:tc>
          <w:tcPr>
            <w:tcW w:w="2048" w:type="dxa"/>
          </w:tcPr>
          <w:p w14:paraId="552554E6" w14:textId="102B3C24" w:rsidR="00797B6A" w:rsidRPr="009874A9" w:rsidRDefault="004E2EA5" w:rsidP="00257A62">
            <w:pPr>
              <w:pStyle w:val="NoSpacing"/>
            </w:pPr>
            <w:r>
              <w:t xml:space="preserve">Volunteers. May fall and cause serious injury, be unable to </w:t>
            </w:r>
            <w:r w:rsidR="00AE5EB3">
              <w:t>get help.</w:t>
            </w:r>
          </w:p>
        </w:tc>
        <w:tc>
          <w:tcPr>
            <w:tcW w:w="2251" w:type="dxa"/>
          </w:tcPr>
          <w:p w14:paraId="47956536" w14:textId="79F19107" w:rsidR="00797B6A" w:rsidRDefault="00AE5EB3" w:rsidP="00257A62">
            <w:pPr>
              <w:pStyle w:val="NoSpacing"/>
            </w:pPr>
            <w:r>
              <w:t>Volunteer rota</w:t>
            </w:r>
            <w:r w:rsidR="004F7D1F">
              <w:t xml:space="preserve"> in place</w:t>
            </w:r>
            <w:r>
              <w:t xml:space="preserve"> so all trustees and others know who is at the sanctuary</w:t>
            </w:r>
            <w:r w:rsidR="00D80890">
              <w:t xml:space="preserve"> at any time.</w:t>
            </w:r>
            <w:r w:rsidR="004F7D1F">
              <w:t xml:space="preserve"> No one to go to the sanctuary without letting trustees know.</w:t>
            </w:r>
            <w:r w:rsidR="00D80890">
              <w:t xml:space="preserve"> Volunteers encouraged to</w:t>
            </w:r>
            <w:r w:rsidR="009D299D">
              <w:t xml:space="preserve"> keep a phone with them at all times and to</w:t>
            </w:r>
            <w:r w:rsidR="00D80890">
              <w:t xml:space="preserve"> utilise the group whatsapp to be able </w:t>
            </w:r>
            <w:r w:rsidR="00D80890">
              <w:lastRenderedPageBreak/>
              <w:t xml:space="preserve">to </w:t>
            </w:r>
            <w:r w:rsidR="009D299D">
              <w:t xml:space="preserve">contact someone if needed. </w:t>
            </w:r>
          </w:p>
          <w:p w14:paraId="033807AC" w14:textId="06AB1BF3" w:rsidR="009D299D" w:rsidRDefault="00144DE5" w:rsidP="00257A62">
            <w:pPr>
              <w:pStyle w:val="NoSpacing"/>
            </w:pPr>
            <w:r>
              <w:t xml:space="preserve">All volunteers to have all </w:t>
            </w:r>
            <w:r w:rsidR="009D299D">
              <w:t>Trustee</w:t>
            </w:r>
            <w:r>
              <w:t xml:space="preserve"> contact numbers</w:t>
            </w:r>
            <w:r w:rsidR="003203A4">
              <w:t xml:space="preserve"> and to be made aware of the location of the first aid kit and accident book.</w:t>
            </w:r>
            <w:r w:rsidR="0083163D">
              <w:t xml:space="preserve"> Any volunteer who doesn’t feel comfortable working alone to be able to ‘buddy-up’ with another volunteer or trustee. </w:t>
            </w:r>
            <w:r w:rsidR="00B57CF2">
              <w:t>Questionnaire</w:t>
            </w:r>
            <w:r w:rsidR="00872C64">
              <w:t xml:space="preserve"> and induction process </w:t>
            </w:r>
            <w:r w:rsidR="00915C40">
              <w:t xml:space="preserve">to ensure all volunteers are supported with any physical </w:t>
            </w:r>
            <w:r w:rsidR="00832F1E">
              <w:t xml:space="preserve">limitations they may have. </w:t>
            </w:r>
          </w:p>
          <w:p w14:paraId="4462AF9F" w14:textId="77777777" w:rsidR="0083163D" w:rsidRDefault="0083163D" w:rsidP="00257A62">
            <w:pPr>
              <w:pStyle w:val="NoSpacing"/>
            </w:pPr>
            <w:r>
              <w:lastRenderedPageBreak/>
              <w:t>Volunteers aware of need for sensible clothing and footwear</w:t>
            </w:r>
            <w:r w:rsidR="00B57CF2">
              <w:t xml:space="preserve"> to minimise risks.</w:t>
            </w:r>
          </w:p>
          <w:p w14:paraId="1436D1A6" w14:textId="0A32B12C" w:rsidR="00EB6AE2" w:rsidRPr="009874A9" w:rsidRDefault="00FD3BAD" w:rsidP="00257A62">
            <w:pPr>
              <w:pStyle w:val="NoSpacing"/>
            </w:pPr>
            <w:r>
              <w:t>Lone working is discouraged</w:t>
            </w:r>
            <w:r w:rsidR="00297A87">
              <w:t xml:space="preserve">, however it is sometimes unavoidable. No new volunteers are ever left alone until both themselves </w:t>
            </w:r>
            <w:r w:rsidR="00585529">
              <w:t>and</w:t>
            </w:r>
            <w:r w:rsidR="00297A87">
              <w:t xml:space="preserve"> trustees </w:t>
            </w:r>
            <w:r w:rsidR="00585529">
              <w:t xml:space="preserve">are confident they can manage </w:t>
            </w:r>
            <w:r w:rsidR="00C50401">
              <w:t xml:space="preserve">and minimise </w:t>
            </w:r>
            <w:r w:rsidR="00585529">
              <w:t xml:space="preserve">any potential risks. </w:t>
            </w:r>
          </w:p>
        </w:tc>
        <w:tc>
          <w:tcPr>
            <w:tcW w:w="2932" w:type="dxa"/>
          </w:tcPr>
          <w:p w14:paraId="16159BD5" w14:textId="76D6B9FA" w:rsidR="00797B6A" w:rsidRPr="009874A9" w:rsidRDefault="000767A3" w:rsidP="00257A62">
            <w:pPr>
              <w:pStyle w:val="NoSpacing"/>
            </w:pPr>
            <w:r>
              <w:lastRenderedPageBreak/>
              <w:t>Continue with current control measures</w:t>
            </w:r>
          </w:p>
        </w:tc>
        <w:tc>
          <w:tcPr>
            <w:tcW w:w="1931" w:type="dxa"/>
          </w:tcPr>
          <w:p w14:paraId="5607FBA4" w14:textId="03109546" w:rsidR="00797B6A" w:rsidRPr="009874A9" w:rsidRDefault="000842CB" w:rsidP="00257A62">
            <w:pPr>
              <w:pStyle w:val="NoSpacing"/>
            </w:pPr>
            <w:r>
              <w:t>Medium</w:t>
            </w:r>
          </w:p>
        </w:tc>
        <w:tc>
          <w:tcPr>
            <w:tcW w:w="2064" w:type="dxa"/>
          </w:tcPr>
          <w:p w14:paraId="0B4DA470" w14:textId="0FA890E8" w:rsidR="00797B6A" w:rsidRPr="009874A9" w:rsidRDefault="000842CB" w:rsidP="00257A62">
            <w:pPr>
              <w:pStyle w:val="NoSpacing"/>
            </w:pPr>
            <w:r>
              <w:t>High</w:t>
            </w:r>
          </w:p>
        </w:tc>
        <w:tc>
          <w:tcPr>
            <w:tcW w:w="1131" w:type="dxa"/>
          </w:tcPr>
          <w:p w14:paraId="3CAA18B5" w14:textId="38AD849B" w:rsidR="00797B6A" w:rsidRPr="009874A9" w:rsidRDefault="000842CB" w:rsidP="00257A62">
            <w:pPr>
              <w:pStyle w:val="NoSpacing"/>
            </w:pPr>
            <w:r>
              <w:t>Medium</w:t>
            </w:r>
          </w:p>
        </w:tc>
      </w:tr>
      <w:tr w:rsidR="00872C64" w14:paraId="5CD55D88" w14:textId="77777777" w:rsidTr="00D803CE">
        <w:tc>
          <w:tcPr>
            <w:tcW w:w="2245" w:type="dxa"/>
          </w:tcPr>
          <w:p w14:paraId="01FB6764" w14:textId="100EA3ED" w:rsidR="00797B6A" w:rsidRPr="00FB1671" w:rsidRDefault="00A1447C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Animal </w:t>
            </w:r>
            <w:r w:rsidR="00481917">
              <w:rPr>
                <w:b/>
              </w:rPr>
              <w:t>related injuries</w:t>
            </w:r>
          </w:p>
        </w:tc>
        <w:tc>
          <w:tcPr>
            <w:tcW w:w="2048" w:type="dxa"/>
          </w:tcPr>
          <w:p w14:paraId="24BA138A" w14:textId="58054ACB" w:rsidR="00797B6A" w:rsidRPr="009874A9" w:rsidRDefault="0084689C" w:rsidP="00257A62">
            <w:pPr>
              <w:pStyle w:val="NoSpacing"/>
            </w:pPr>
            <w:r>
              <w:t>Volunteers. May be bitten, trampled or gored.</w:t>
            </w:r>
          </w:p>
        </w:tc>
        <w:tc>
          <w:tcPr>
            <w:tcW w:w="2251" w:type="dxa"/>
          </w:tcPr>
          <w:p w14:paraId="118C4F0F" w14:textId="7FEED715" w:rsidR="00797B6A" w:rsidRPr="009874A9" w:rsidRDefault="0084689C" w:rsidP="00257A62">
            <w:pPr>
              <w:pStyle w:val="NoSpacing"/>
            </w:pPr>
            <w:r>
              <w:t xml:space="preserve">As above. Volunteers all </w:t>
            </w:r>
            <w:r w:rsidR="0087233B">
              <w:t>given training on each animal. All animals can be fed withou</w:t>
            </w:r>
            <w:r w:rsidR="00FD3BAD">
              <w:t xml:space="preserve">t </w:t>
            </w:r>
            <w:r w:rsidR="00FD3BAD">
              <w:lastRenderedPageBreak/>
              <w:t>the need for volunteers to enter their enclosures.</w:t>
            </w:r>
            <w:r w:rsidR="0087233B">
              <w:t xml:space="preserve"> If a volunteer is unsure around a certain animal they do not have to enter the</w:t>
            </w:r>
            <w:r w:rsidR="00FD3BAD">
              <w:t xml:space="preserve"> enclosure at all. </w:t>
            </w:r>
          </w:p>
        </w:tc>
        <w:tc>
          <w:tcPr>
            <w:tcW w:w="2932" w:type="dxa"/>
          </w:tcPr>
          <w:p w14:paraId="4EC1A639" w14:textId="037E9F8D" w:rsidR="00797B6A" w:rsidRPr="009874A9" w:rsidRDefault="00D803CE" w:rsidP="00257A62">
            <w:pPr>
              <w:pStyle w:val="NoSpacing"/>
            </w:pPr>
            <w:r>
              <w:lastRenderedPageBreak/>
              <w:t>Continue with current control measures</w:t>
            </w:r>
          </w:p>
        </w:tc>
        <w:tc>
          <w:tcPr>
            <w:tcW w:w="1931" w:type="dxa"/>
          </w:tcPr>
          <w:p w14:paraId="7612C640" w14:textId="5E59A325" w:rsidR="00797B6A" w:rsidRPr="009874A9" w:rsidRDefault="00D803CE" w:rsidP="00257A62">
            <w:pPr>
              <w:pStyle w:val="NoSpacing"/>
            </w:pPr>
            <w:r>
              <w:t>Medium</w:t>
            </w:r>
          </w:p>
        </w:tc>
        <w:tc>
          <w:tcPr>
            <w:tcW w:w="2064" w:type="dxa"/>
          </w:tcPr>
          <w:p w14:paraId="494C7485" w14:textId="66F2695F" w:rsidR="00797B6A" w:rsidRPr="009874A9" w:rsidRDefault="003C241D" w:rsidP="00257A62">
            <w:pPr>
              <w:pStyle w:val="NoSpacing"/>
            </w:pPr>
            <w:r>
              <w:t>High</w:t>
            </w:r>
          </w:p>
        </w:tc>
        <w:tc>
          <w:tcPr>
            <w:tcW w:w="1131" w:type="dxa"/>
          </w:tcPr>
          <w:p w14:paraId="151EE21E" w14:textId="1BAE8E08" w:rsidR="00797B6A" w:rsidRPr="009874A9" w:rsidRDefault="003C241D" w:rsidP="00257A62">
            <w:pPr>
              <w:pStyle w:val="NoSpacing"/>
            </w:pPr>
            <w:r>
              <w:t>Medium</w:t>
            </w:r>
          </w:p>
        </w:tc>
      </w:tr>
    </w:tbl>
    <w:p w14:paraId="0206EE54" w14:textId="217C6A73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2DC7" w14:textId="77777777" w:rsidR="007D10C2" w:rsidRDefault="007D10C2" w:rsidP="00DB39FD">
      <w:r>
        <w:separator/>
      </w:r>
    </w:p>
  </w:endnote>
  <w:endnote w:type="continuationSeparator" w:id="0">
    <w:p w14:paraId="65CAC8A9" w14:textId="77777777" w:rsidR="007D10C2" w:rsidRDefault="007D10C2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BEDA" w14:textId="77777777" w:rsidR="007D10C2" w:rsidRDefault="007D10C2" w:rsidP="00DB39FD">
      <w:r>
        <w:separator/>
      </w:r>
    </w:p>
  </w:footnote>
  <w:footnote w:type="continuationSeparator" w:id="0">
    <w:p w14:paraId="41799C6F" w14:textId="77777777" w:rsidR="007D10C2" w:rsidRDefault="007D10C2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A1D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E8C9F" wp14:editId="24B5747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11495"/>
    <w:rsid w:val="000767A3"/>
    <w:rsid w:val="000842CB"/>
    <w:rsid w:val="000A44E2"/>
    <w:rsid w:val="00144DE5"/>
    <w:rsid w:val="001B348B"/>
    <w:rsid w:val="001F387D"/>
    <w:rsid w:val="00257A62"/>
    <w:rsid w:val="00297A87"/>
    <w:rsid w:val="003203A4"/>
    <w:rsid w:val="003C241D"/>
    <w:rsid w:val="003E6F18"/>
    <w:rsid w:val="00481917"/>
    <w:rsid w:val="004E2EA5"/>
    <w:rsid w:val="004F7D1F"/>
    <w:rsid w:val="00585529"/>
    <w:rsid w:val="00595C44"/>
    <w:rsid w:val="005C69AF"/>
    <w:rsid w:val="00606E0A"/>
    <w:rsid w:val="00694EDC"/>
    <w:rsid w:val="00797B6A"/>
    <w:rsid w:val="007D10C2"/>
    <w:rsid w:val="0083163D"/>
    <w:rsid w:val="00832F1E"/>
    <w:rsid w:val="0084689C"/>
    <w:rsid w:val="0087233B"/>
    <w:rsid w:val="00872C64"/>
    <w:rsid w:val="008A3C28"/>
    <w:rsid w:val="00915C40"/>
    <w:rsid w:val="00960E43"/>
    <w:rsid w:val="00986D6E"/>
    <w:rsid w:val="009874A9"/>
    <w:rsid w:val="009D299D"/>
    <w:rsid w:val="00A1447C"/>
    <w:rsid w:val="00AE5EB3"/>
    <w:rsid w:val="00B200FE"/>
    <w:rsid w:val="00B57CF2"/>
    <w:rsid w:val="00C50401"/>
    <w:rsid w:val="00D1648B"/>
    <w:rsid w:val="00D803CE"/>
    <w:rsid w:val="00D80890"/>
    <w:rsid w:val="00DB39FD"/>
    <w:rsid w:val="00E97B85"/>
    <w:rsid w:val="00EB6AE2"/>
    <w:rsid w:val="00F3424E"/>
    <w:rsid w:val="00FB1671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9A39F"/>
  <w14:defaultImageDpi w14:val="300"/>
  <w15:docId w15:val="{397AA215-5FCB-40CF-855A-CDFCCAE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29</cp:revision>
  <dcterms:created xsi:type="dcterms:W3CDTF">2022-01-27T19:21:00Z</dcterms:created>
  <dcterms:modified xsi:type="dcterms:W3CDTF">2022-02-08T19:56:00Z</dcterms:modified>
</cp:coreProperties>
</file>