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088"/>
        <w:gridCol w:w="6662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EC2662" w:rsidRPr="002177A8" w:rsidRDefault="002C5443" w:rsidP="0025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proofErr w:type="gramStart"/>
            <w:r>
              <w:rPr>
                <w:sz w:val="20"/>
                <w:szCs w:val="20"/>
              </w:rPr>
              <w:t>this</w:t>
            </w:r>
            <w:proofErr w:type="gramEnd"/>
            <w:r>
              <w:rPr>
                <w:sz w:val="20"/>
                <w:szCs w:val="20"/>
              </w:rPr>
              <w:t xml:space="preserve"> unit children learn about friendships, managing behaviours and bullying. They learn about what bullying is and </w:t>
            </w:r>
            <w:proofErr w:type="spellStart"/>
            <w:r>
              <w:rPr>
                <w:sz w:val="20"/>
                <w:szCs w:val="20"/>
              </w:rPr>
              <w:t>hat</w:t>
            </w:r>
            <w:proofErr w:type="spellEnd"/>
            <w:r>
              <w:rPr>
                <w:sz w:val="20"/>
                <w:szCs w:val="20"/>
              </w:rPr>
              <w:t xml:space="preserve"> to do about it. Children learn about information they need to keep private from strangers and how they can make it clear whether they are saying yes or no.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4079DE" w:rsidP="00BF1808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B07B73" w:rsidRPr="002177A8" w:rsidTr="007A2E91">
        <w:trPr>
          <w:trHeight w:val="2903"/>
        </w:trPr>
        <w:tc>
          <w:tcPr>
            <w:tcW w:w="2269" w:type="dxa"/>
          </w:tcPr>
          <w:p w:rsidR="00B07B73" w:rsidRDefault="00B07B73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bullying?</w:t>
            </w: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Who</w:t>
            </w:r>
            <w:proofErr w:type="gramEnd"/>
            <w:r>
              <w:rPr>
                <w:b/>
                <w:sz w:val="20"/>
                <w:szCs w:val="20"/>
              </w:rPr>
              <w:t xml:space="preserve"> can you tell if you are worried about anything?</w:t>
            </w: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do you say to an adult or child if you do not want to do something?</w:t>
            </w:r>
            <w:bookmarkStart w:id="0" w:name="_GoBack"/>
            <w:bookmarkEnd w:id="0"/>
          </w:p>
          <w:p w:rsidR="00F741F9" w:rsidRDefault="00F741F9" w:rsidP="009970EC">
            <w:pPr>
              <w:rPr>
                <w:b/>
                <w:sz w:val="20"/>
                <w:szCs w:val="20"/>
              </w:rPr>
            </w:pPr>
          </w:p>
          <w:p w:rsidR="002500D5" w:rsidRDefault="002500D5" w:rsidP="009970EC">
            <w:pPr>
              <w:rPr>
                <w:b/>
                <w:sz w:val="20"/>
                <w:szCs w:val="20"/>
              </w:rPr>
            </w:pPr>
          </w:p>
          <w:p w:rsidR="002500D5" w:rsidRDefault="002500D5" w:rsidP="009970EC">
            <w:pPr>
              <w:rPr>
                <w:b/>
                <w:sz w:val="20"/>
                <w:szCs w:val="20"/>
              </w:rPr>
            </w:pPr>
          </w:p>
          <w:p w:rsidR="002500D5" w:rsidRDefault="002500D5" w:rsidP="009970EC">
            <w:pPr>
              <w:rPr>
                <w:b/>
                <w:sz w:val="20"/>
                <w:szCs w:val="20"/>
              </w:rPr>
            </w:pPr>
          </w:p>
          <w:p w:rsidR="00B07B73" w:rsidRPr="002177A8" w:rsidRDefault="00B07B73" w:rsidP="00584CF2">
            <w:pPr>
              <w:rPr>
                <w:b/>
                <w:sz w:val="20"/>
                <w:szCs w:val="20"/>
              </w:rPr>
            </w:pPr>
          </w:p>
        </w:tc>
        <w:tc>
          <w:tcPr>
            <w:tcW w:w="13750" w:type="dxa"/>
            <w:gridSpan w:val="2"/>
          </w:tcPr>
          <w:p w:rsidR="002500D5" w:rsidRDefault="002C5443" w:rsidP="0079647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know that bullying is being unkind many times over. They can describe this in simple terms.</w:t>
            </w:r>
          </w:p>
          <w:p w:rsidR="002C5443" w:rsidRDefault="002C5443" w:rsidP="0079647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bullying sometimes occurs because peop</w:t>
            </w:r>
            <w:r w:rsidR="00796478">
              <w:rPr>
                <w:sz w:val="20"/>
                <w:szCs w:val="20"/>
              </w:rPr>
              <w:t>le do not think in the same way or have the same opinions and this is ok.</w:t>
            </w:r>
          </w:p>
          <w:p w:rsidR="002C5443" w:rsidRDefault="002C5443" w:rsidP="0079647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know who to tell if they think they </w:t>
            </w:r>
            <w:proofErr w:type="gramStart"/>
            <w:r>
              <w:rPr>
                <w:sz w:val="20"/>
                <w:szCs w:val="20"/>
              </w:rPr>
              <w:t>are being bullied</w:t>
            </w:r>
            <w:proofErr w:type="gramEnd"/>
            <w:r>
              <w:rPr>
                <w:sz w:val="20"/>
                <w:szCs w:val="20"/>
              </w:rPr>
              <w:t xml:space="preserve"> or if someone else is being bullied.</w:t>
            </w:r>
          </w:p>
          <w:p w:rsidR="00796478" w:rsidRPr="00796478" w:rsidRDefault="00796478" w:rsidP="0079647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96478">
              <w:rPr>
                <w:sz w:val="20"/>
                <w:szCs w:val="20"/>
              </w:rPr>
              <w:t xml:space="preserve">Pupils understand the concept of privacy, including the right to keep things private and the right another person has to privacy. </w:t>
            </w:r>
            <w:r>
              <w:rPr>
                <w:sz w:val="20"/>
                <w:szCs w:val="20"/>
              </w:rPr>
              <w:t>They can name things that they would want to keep private from strangers.</w:t>
            </w:r>
          </w:p>
          <w:p w:rsidR="00796478" w:rsidRPr="00796478" w:rsidRDefault="00796478" w:rsidP="0079647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96478">
              <w:rPr>
                <w:sz w:val="20"/>
                <w:szCs w:val="20"/>
              </w:rPr>
              <w:t>Know how to say yes and no</w:t>
            </w:r>
          </w:p>
          <w:p w:rsidR="00796478" w:rsidRPr="002C5443" w:rsidRDefault="00796478" w:rsidP="0079647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96478">
              <w:rPr>
                <w:sz w:val="20"/>
                <w:szCs w:val="20"/>
              </w:rPr>
              <w:t>Pupils to understand the concept of rules (e.g. rules in class and school) and how rules can help us.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2177A8">
        <w:tc>
          <w:tcPr>
            <w:tcW w:w="2269" w:type="dxa"/>
          </w:tcPr>
          <w:p w:rsidR="00376547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Bullying</w:t>
            </w: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Unkind</w:t>
            </w: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Private</w:t>
            </w: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</w:t>
            </w: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Rules</w:t>
            </w: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opinions</w:t>
            </w:r>
          </w:p>
          <w:p w:rsidR="00796478" w:rsidRDefault="00796478" w:rsidP="009970EC">
            <w:pPr>
              <w:rPr>
                <w:b/>
                <w:sz w:val="20"/>
                <w:szCs w:val="20"/>
              </w:rPr>
            </w:pPr>
          </w:p>
          <w:p w:rsidR="00453A20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453A20" w:rsidRPr="002177A8" w:rsidRDefault="00453A20" w:rsidP="009970EC">
            <w:pPr>
              <w:rPr>
                <w:b/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4079DE" w:rsidRDefault="004079DE" w:rsidP="009970EC">
            <w:pPr>
              <w:rPr>
                <w:sz w:val="20"/>
                <w:szCs w:val="20"/>
              </w:rPr>
            </w:pPr>
          </w:p>
          <w:p w:rsidR="00703DE4" w:rsidRDefault="00703DE4" w:rsidP="009970EC">
            <w:pPr>
              <w:rPr>
                <w:sz w:val="20"/>
                <w:szCs w:val="20"/>
              </w:rPr>
            </w:pPr>
          </w:p>
          <w:p w:rsidR="007A2E91" w:rsidRDefault="007A2E91" w:rsidP="009970EC"/>
          <w:p w:rsidR="002500D5" w:rsidRDefault="002500D5" w:rsidP="009970EC"/>
          <w:p w:rsidR="007A2E91" w:rsidRDefault="007A2E91" w:rsidP="009970EC"/>
          <w:p w:rsidR="00800D05" w:rsidRDefault="00800D05" w:rsidP="009970EC"/>
          <w:p w:rsidR="009C6DDC" w:rsidRDefault="007A2E91" w:rsidP="009970EC">
            <w:r>
              <w:t>Use zones to begin learning about emotions</w:t>
            </w:r>
          </w:p>
          <w:p w:rsidR="00703DE4" w:rsidRPr="002177A8" w:rsidRDefault="00703DE4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8077B0" w:rsidRPr="002177A8" w:rsidRDefault="008077B0" w:rsidP="009970EC">
            <w:pPr>
              <w:rPr>
                <w:sz w:val="20"/>
                <w:szCs w:val="20"/>
              </w:rPr>
            </w:pPr>
          </w:p>
        </w:tc>
      </w:tr>
    </w:tbl>
    <w:p w:rsidR="00BD39AA" w:rsidRPr="002177A8" w:rsidRDefault="0011671E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="00952234">
      <w:rPr>
        <w:sz w:val="28"/>
        <w:szCs w:val="28"/>
      </w:rPr>
      <w:t xml:space="preserve"> </w:t>
    </w:r>
    <w:r w:rsidRPr="004079DE">
      <w:rPr>
        <w:sz w:val="28"/>
        <w:szCs w:val="28"/>
      </w:rPr>
      <w:t xml:space="preserve"> Unit Planner</w:t>
    </w:r>
    <w:r>
      <w:rPr>
        <w:sz w:val="28"/>
        <w:szCs w:val="28"/>
      </w:rPr>
      <w:t xml:space="preserve"> </w:t>
    </w:r>
    <w:proofErr w:type="gramStart"/>
    <w:r w:rsidR="00547537">
      <w:rPr>
        <w:sz w:val="28"/>
        <w:szCs w:val="28"/>
      </w:rPr>
      <w:t>PSHE</w:t>
    </w:r>
    <w:r w:rsidR="003163E9">
      <w:rPr>
        <w:sz w:val="28"/>
        <w:szCs w:val="28"/>
      </w:rPr>
      <w:t xml:space="preserve">  </w:t>
    </w:r>
    <w:r w:rsidR="00EA30CB">
      <w:rPr>
        <w:sz w:val="28"/>
        <w:szCs w:val="28"/>
      </w:rPr>
      <w:t>Year</w:t>
    </w:r>
    <w:proofErr w:type="gramEnd"/>
    <w:r w:rsidR="00EA30CB">
      <w:rPr>
        <w:sz w:val="28"/>
        <w:szCs w:val="28"/>
      </w:rPr>
      <w:t xml:space="preserve">:  </w:t>
    </w:r>
    <w:r w:rsidR="00143B87">
      <w:rPr>
        <w:sz w:val="28"/>
        <w:szCs w:val="28"/>
      </w:rPr>
      <w:t>EY</w:t>
    </w:r>
    <w:r w:rsidR="00EA30CB">
      <w:rPr>
        <w:sz w:val="28"/>
        <w:szCs w:val="28"/>
      </w:rPr>
      <w:t xml:space="preserve">        </w:t>
    </w:r>
    <w:r w:rsidR="002C5443">
      <w:rPr>
        <w:sz w:val="28"/>
        <w:szCs w:val="28"/>
      </w:rPr>
      <w:t>Title: Relationships B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1EDA"/>
    <w:multiLevelType w:val="hybridMultilevel"/>
    <w:tmpl w:val="8AD6CEC2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7C76"/>
    <w:multiLevelType w:val="hybridMultilevel"/>
    <w:tmpl w:val="7578D800"/>
    <w:lvl w:ilvl="0" w:tplc="767E41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7A1D"/>
    <w:multiLevelType w:val="hybridMultilevel"/>
    <w:tmpl w:val="098225E8"/>
    <w:lvl w:ilvl="0" w:tplc="A968AD4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12379E"/>
    <w:multiLevelType w:val="hybridMultilevel"/>
    <w:tmpl w:val="3FD8C24E"/>
    <w:lvl w:ilvl="0" w:tplc="47BC5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856E8"/>
    <w:multiLevelType w:val="hybridMultilevel"/>
    <w:tmpl w:val="5B6CC44E"/>
    <w:lvl w:ilvl="0" w:tplc="CF78EB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2138B"/>
    <w:multiLevelType w:val="hybridMultilevel"/>
    <w:tmpl w:val="D828F268"/>
    <w:lvl w:ilvl="0" w:tplc="CE7022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63E5"/>
    <w:rsid w:val="0005430C"/>
    <w:rsid w:val="00090512"/>
    <w:rsid w:val="000A6C31"/>
    <w:rsid w:val="000D7779"/>
    <w:rsid w:val="00143B87"/>
    <w:rsid w:val="00163B84"/>
    <w:rsid w:val="001A4AD8"/>
    <w:rsid w:val="001C3801"/>
    <w:rsid w:val="002147CC"/>
    <w:rsid w:val="002177A8"/>
    <w:rsid w:val="002500D5"/>
    <w:rsid w:val="002C5443"/>
    <w:rsid w:val="002E1F42"/>
    <w:rsid w:val="002F4FC7"/>
    <w:rsid w:val="003163E9"/>
    <w:rsid w:val="003211CB"/>
    <w:rsid w:val="00376547"/>
    <w:rsid w:val="003B26C5"/>
    <w:rsid w:val="004079DE"/>
    <w:rsid w:val="00413CF2"/>
    <w:rsid w:val="00433364"/>
    <w:rsid w:val="00437926"/>
    <w:rsid w:val="00453A20"/>
    <w:rsid w:val="00547537"/>
    <w:rsid w:val="00584CF2"/>
    <w:rsid w:val="005F6007"/>
    <w:rsid w:val="0066103A"/>
    <w:rsid w:val="00703DE4"/>
    <w:rsid w:val="0071553D"/>
    <w:rsid w:val="00794CA6"/>
    <w:rsid w:val="00796478"/>
    <w:rsid w:val="007A2E91"/>
    <w:rsid w:val="007D1E4E"/>
    <w:rsid w:val="00800D05"/>
    <w:rsid w:val="008077B0"/>
    <w:rsid w:val="00862F55"/>
    <w:rsid w:val="00952234"/>
    <w:rsid w:val="009B1B40"/>
    <w:rsid w:val="009C6DDC"/>
    <w:rsid w:val="009E37CA"/>
    <w:rsid w:val="00A2285B"/>
    <w:rsid w:val="00A441B0"/>
    <w:rsid w:val="00A56F58"/>
    <w:rsid w:val="00AD5CC7"/>
    <w:rsid w:val="00B07B73"/>
    <w:rsid w:val="00B466E0"/>
    <w:rsid w:val="00B555ED"/>
    <w:rsid w:val="00B62ABF"/>
    <w:rsid w:val="00BE0539"/>
    <w:rsid w:val="00BF1808"/>
    <w:rsid w:val="00C05C3F"/>
    <w:rsid w:val="00C71037"/>
    <w:rsid w:val="00C755E2"/>
    <w:rsid w:val="00CC3E89"/>
    <w:rsid w:val="00CF23D4"/>
    <w:rsid w:val="00D95FCA"/>
    <w:rsid w:val="00E16ADB"/>
    <w:rsid w:val="00EA30CB"/>
    <w:rsid w:val="00EB782A"/>
    <w:rsid w:val="00EC2662"/>
    <w:rsid w:val="00EE29B4"/>
    <w:rsid w:val="00F46409"/>
    <w:rsid w:val="00F741F9"/>
    <w:rsid w:val="00F83F09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9E0A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5E7E05D0-4EAF-409E-B21B-78865AD8A963}"/>
</file>

<file path=customXml/itemProps2.xml><?xml version="1.0" encoding="utf-8"?>
<ds:datastoreItem xmlns:ds="http://schemas.openxmlformats.org/officeDocument/2006/customXml" ds:itemID="{8148B9EF-2DE7-4DFA-9221-ECCBB5694052}"/>
</file>

<file path=customXml/itemProps3.xml><?xml version="1.0" encoding="utf-8"?>
<ds:datastoreItem xmlns:ds="http://schemas.openxmlformats.org/officeDocument/2006/customXml" ds:itemID="{950D9598-F614-45D5-80F7-6593EB79B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Taylor, Joanne</cp:lastModifiedBy>
  <cp:revision>2</cp:revision>
  <dcterms:created xsi:type="dcterms:W3CDTF">2022-12-12T14:35:00Z</dcterms:created>
  <dcterms:modified xsi:type="dcterms:W3CDTF">2022-12-12T14:35:00Z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13638200</vt:r8>
  </property>
</Properties>
</file>