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B656DC" w:rsidTr="00454390">
        <w:tc>
          <w:tcPr>
            <w:tcW w:w="10343" w:type="dxa"/>
            <w:gridSpan w:val="2"/>
            <w:shd w:val="clear" w:color="auto" w:fill="33CC33"/>
          </w:tcPr>
          <w:p w:rsidR="00B656DC" w:rsidRPr="00B656DC" w:rsidRDefault="00306676" w:rsidP="00BA1A5D">
            <w:pPr>
              <w:rPr>
                <w:b/>
              </w:rPr>
            </w:pPr>
            <w:r>
              <w:rPr>
                <w:b/>
              </w:rPr>
              <w:t>Attendance Rewards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>Children have 100% attendance</w:t>
            </w:r>
          </w:p>
        </w:tc>
        <w:tc>
          <w:tcPr>
            <w:tcW w:w="7654" w:type="dxa"/>
          </w:tcPr>
          <w:p w:rsidR="00586958" w:rsidRDefault="00586958" w:rsidP="00BA1A5D">
            <w:proofErr w:type="gramStart"/>
            <w:r>
              <w:t>Half termly</w:t>
            </w:r>
            <w:proofErr w:type="gramEnd"/>
            <w:r>
              <w:t xml:space="preserve"> and yearly certificates. Children who have 100% attendance at the end of the year go out on a trip.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>Children have attendance above 97%</w:t>
            </w:r>
          </w:p>
        </w:tc>
        <w:tc>
          <w:tcPr>
            <w:tcW w:w="7654" w:type="dxa"/>
          </w:tcPr>
          <w:p w:rsidR="00586958" w:rsidRDefault="00586958" w:rsidP="00BA1A5D">
            <w:r>
              <w:t>Children contribute to the weekly attendance award for their class – which leads to special events and rewards.</w:t>
            </w:r>
          </w:p>
        </w:tc>
      </w:tr>
      <w:tr w:rsidR="00B656DC" w:rsidTr="00454390">
        <w:tc>
          <w:tcPr>
            <w:tcW w:w="10343" w:type="dxa"/>
            <w:gridSpan w:val="2"/>
            <w:shd w:val="clear" w:color="auto" w:fill="FFC000"/>
          </w:tcPr>
          <w:p w:rsidR="00B656DC" w:rsidRPr="00B76896" w:rsidRDefault="00306676" w:rsidP="00BA1A5D">
            <w:pPr>
              <w:rPr>
                <w:b/>
              </w:rPr>
            </w:pPr>
            <w:r>
              <w:rPr>
                <w:b/>
              </w:rPr>
              <w:t>Attendance below 96% in the last academic year</w:t>
            </w:r>
          </w:p>
        </w:tc>
      </w:tr>
      <w:tr w:rsidR="00586958" w:rsidTr="00454390">
        <w:tc>
          <w:tcPr>
            <w:tcW w:w="2689" w:type="dxa"/>
          </w:tcPr>
          <w:p w:rsidR="00586958" w:rsidRPr="00F869A6" w:rsidRDefault="00586958" w:rsidP="00BA1A5D">
            <w:r w:rsidRPr="00F869A6">
              <w:t>Letter to inform of low attendance in the last school year</w:t>
            </w:r>
          </w:p>
        </w:tc>
        <w:tc>
          <w:tcPr>
            <w:tcW w:w="7654" w:type="dxa"/>
          </w:tcPr>
          <w:p w:rsidR="00586958" w:rsidRPr="00F869A6" w:rsidRDefault="00586958" w:rsidP="00BA1A5D">
            <w:r w:rsidRPr="00F869A6">
              <w:t xml:space="preserve">Letter to inform you of your child’s attendance percentage in the last school year (Sept – July).  This letter makes it clear that any absences will be marked as unauthorised unless medical evidence </w:t>
            </w:r>
            <w:proofErr w:type="gramStart"/>
            <w:r w:rsidRPr="00F869A6">
              <w:t>is provided</w:t>
            </w:r>
            <w:proofErr w:type="gramEnd"/>
            <w:r w:rsidRPr="00F869A6">
              <w:t>. This could be prescribed medicine packaging, an appointment card or a print out from your GP appointment.</w:t>
            </w:r>
          </w:p>
        </w:tc>
      </w:tr>
      <w:tr w:rsidR="00B656DC" w:rsidTr="00454390">
        <w:tc>
          <w:tcPr>
            <w:tcW w:w="10343" w:type="dxa"/>
            <w:gridSpan w:val="2"/>
          </w:tcPr>
          <w:p w:rsidR="00B656DC" w:rsidRPr="00F869A6" w:rsidRDefault="00306676" w:rsidP="00BA1A5D">
            <w:pPr>
              <w:rPr>
                <w:b/>
              </w:rPr>
            </w:pPr>
            <w:r w:rsidRPr="00F869A6">
              <w:rPr>
                <w:b/>
              </w:rPr>
              <w:t>Unauthorised holidays taken during term time</w:t>
            </w:r>
          </w:p>
        </w:tc>
      </w:tr>
      <w:tr w:rsidR="00586958" w:rsidTr="00454390">
        <w:tc>
          <w:tcPr>
            <w:tcW w:w="2689" w:type="dxa"/>
          </w:tcPr>
          <w:p w:rsidR="00586958" w:rsidRPr="00F869A6" w:rsidRDefault="00586958" w:rsidP="00BA1A5D">
            <w:r w:rsidRPr="00F869A6">
              <w:t>Following a holiday request where there are no exceptional circumstances</w:t>
            </w:r>
          </w:p>
          <w:p w:rsidR="00586958" w:rsidRPr="00F869A6" w:rsidRDefault="00586958" w:rsidP="00BA1A5D">
            <w:r w:rsidRPr="00F869A6">
              <w:t xml:space="preserve">‘Holiday Denied’ letter sent </w:t>
            </w:r>
          </w:p>
        </w:tc>
        <w:tc>
          <w:tcPr>
            <w:tcW w:w="7654" w:type="dxa"/>
          </w:tcPr>
          <w:p w:rsidR="00586958" w:rsidRPr="00F869A6" w:rsidRDefault="00586958" w:rsidP="00BA1A5D">
            <w:r w:rsidRPr="00F869A6">
              <w:t xml:space="preserve">Letter explains that the holiday request </w:t>
            </w:r>
            <w:proofErr w:type="gramStart"/>
            <w:r w:rsidRPr="00F869A6">
              <w:t>has been denied</w:t>
            </w:r>
            <w:proofErr w:type="gramEnd"/>
            <w:r w:rsidRPr="00F869A6">
              <w:t xml:space="preserve"> and a penalty notice will be issued.</w:t>
            </w:r>
          </w:p>
          <w:p w:rsidR="00586958" w:rsidRPr="00F869A6" w:rsidRDefault="00586958" w:rsidP="00BA1A5D">
            <w:r w:rsidRPr="00F869A6">
              <w:t xml:space="preserve">Where a holiday request </w:t>
            </w:r>
            <w:proofErr w:type="gramStart"/>
            <w:r w:rsidRPr="00F869A6">
              <w:t>has not been made</w:t>
            </w:r>
            <w:proofErr w:type="gramEnd"/>
            <w:r w:rsidRPr="00F869A6">
              <w:t xml:space="preserve"> and school has reason to believe your child is on holiday, a home visit may be carried out and a letter will be sent.</w:t>
            </w:r>
          </w:p>
        </w:tc>
      </w:tr>
      <w:tr w:rsidR="00586958" w:rsidTr="00454390">
        <w:tc>
          <w:tcPr>
            <w:tcW w:w="2689" w:type="dxa"/>
          </w:tcPr>
          <w:p w:rsidR="00586958" w:rsidRPr="00F869A6" w:rsidRDefault="00586958" w:rsidP="009A133F">
            <w:r w:rsidRPr="00F869A6">
              <w:t>Where repeated holidays in term time have been taken ‘Multiple Holidays’ letter will be sent</w:t>
            </w:r>
          </w:p>
        </w:tc>
        <w:tc>
          <w:tcPr>
            <w:tcW w:w="7654" w:type="dxa"/>
          </w:tcPr>
          <w:p w:rsidR="00586958" w:rsidRPr="00F869A6" w:rsidRDefault="00586958" w:rsidP="00BA1A5D">
            <w:r w:rsidRPr="00F869A6">
              <w:t xml:space="preserve">Where parents take their children out of school for a holiday on two or more occasions, this letter explains that a penalty notice may not be used and a referral to Magistrates Court may be preferred. </w:t>
            </w:r>
          </w:p>
        </w:tc>
      </w:tr>
      <w:tr w:rsidR="005C43B2" w:rsidTr="00454390">
        <w:tc>
          <w:tcPr>
            <w:tcW w:w="10343" w:type="dxa"/>
            <w:gridSpan w:val="2"/>
            <w:shd w:val="clear" w:color="auto" w:fill="FFC000"/>
          </w:tcPr>
          <w:p w:rsidR="005C43B2" w:rsidRDefault="005C43B2" w:rsidP="00BA1A5D">
            <w:pPr>
              <w:rPr>
                <w:b/>
              </w:rPr>
            </w:pPr>
            <w:r>
              <w:rPr>
                <w:b/>
              </w:rPr>
              <w:t>ATTENDANCE FALLS BELOW 96%</w:t>
            </w:r>
          </w:p>
        </w:tc>
      </w:tr>
      <w:tr w:rsidR="00586958" w:rsidTr="00454390">
        <w:tc>
          <w:tcPr>
            <w:tcW w:w="2689" w:type="dxa"/>
          </w:tcPr>
          <w:p w:rsidR="00586958" w:rsidRPr="005C43B2" w:rsidRDefault="00586958" w:rsidP="00BA1A5D">
            <w:r w:rsidRPr="005C43B2">
              <w:t>Medical Evidence Letter sent</w:t>
            </w:r>
          </w:p>
        </w:tc>
        <w:tc>
          <w:tcPr>
            <w:tcW w:w="7654" w:type="dxa"/>
          </w:tcPr>
          <w:p w:rsidR="00586958" w:rsidRDefault="00586958" w:rsidP="00906210">
            <w:r w:rsidRPr="00906210">
              <w:t>96% attendance is equivalent to 7 days off in a school year</w:t>
            </w:r>
            <w:r>
              <w:t>,</w:t>
            </w:r>
            <w:r w:rsidRPr="00906210">
              <w:t xml:space="preserve"> which in most cases allows for unexpected illnesses and </w:t>
            </w:r>
            <w:r>
              <w:t xml:space="preserve">other </w:t>
            </w:r>
            <w:r w:rsidRPr="00906210">
              <w:t xml:space="preserve">emergencies. Where irregular patterns of attendance </w:t>
            </w:r>
            <w:proofErr w:type="gramStart"/>
            <w:r w:rsidRPr="00906210">
              <w:t>are noted</w:t>
            </w:r>
            <w:proofErr w:type="gramEnd"/>
            <w:r w:rsidRPr="00906210">
              <w:t xml:space="preserve"> </w:t>
            </w:r>
            <w:r>
              <w:t xml:space="preserve">medical evidence will be requested in order to authorise further absences. </w:t>
            </w:r>
          </w:p>
          <w:p w:rsidR="00586958" w:rsidRDefault="00586958" w:rsidP="00906210"/>
          <w:p w:rsidR="00586958" w:rsidRPr="00906210" w:rsidRDefault="00586958" w:rsidP="00906210">
            <w:r>
              <w:t xml:space="preserve">Evidence can be medical appointment card, prescribed medication, print out of consultation with doctor </w:t>
            </w:r>
            <w:proofErr w:type="spellStart"/>
            <w:r>
              <w:t>etc</w:t>
            </w:r>
            <w:proofErr w:type="spellEnd"/>
          </w:p>
        </w:tc>
        <w:bookmarkStart w:id="0" w:name="_GoBack"/>
        <w:bookmarkEnd w:id="0"/>
      </w:tr>
      <w:tr w:rsidR="00B656DC" w:rsidTr="00454390">
        <w:tc>
          <w:tcPr>
            <w:tcW w:w="10343" w:type="dxa"/>
            <w:gridSpan w:val="2"/>
            <w:shd w:val="clear" w:color="auto" w:fill="FF0000"/>
          </w:tcPr>
          <w:p w:rsidR="009A133F" w:rsidRPr="009A133F" w:rsidRDefault="009A133F" w:rsidP="00BA1A5D">
            <w:pPr>
              <w:rPr>
                <w:b/>
              </w:rPr>
            </w:pPr>
            <w:r>
              <w:rPr>
                <w:b/>
              </w:rPr>
              <w:t>ATTENDANCE FALLS</w:t>
            </w:r>
            <w:r w:rsidR="00B656DC" w:rsidRPr="009A133F">
              <w:rPr>
                <w:b/>
              </w:rPr>
              <w:t xml:space="preserve"> BELOW 90%</w:t>
            </w:r>
          </w:p>
          <w:p w:rsidR="00B656DC" w:rsidRPr="009A133F" w:rsidRDefault="009A133F" w:rsidP="00BA1A5D">
            <w:pPr>
              <w:rPr>
                <w:b/>
              </w:rPr>
            </w:pPr>
            <w:r w:rsidRPr="009A133F">
              <w:rPr>
                <w:b/>
              </w:rPr>
              <w:t>(</w:t>
            </w:r>
            <w:r w:rsidR="00B656DC" w:rsidRPr="009A133F">
              <w:rPr>
                <w:b/>
              </w:rPr>
              <w:t>DUE TO UNAUTHORISED HOLIDAYS, ILLNESS OR UNAUTHORISED ABSENCE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9A133F">
            <w:r>
              <w:t>‘PA letter sent half termly to inform of a low level of attendance.</w:t>
            </w:r>
          </w:p>
        </w:tc>
        <w:tc>
          <w:tcPr>
            <w:tcW w:w="7654" w:type="dxa"/>
          </w:tcPr>
          <w:p w:rsidR="00586958" w:rsidRDefault="00586958" w:rsidP="00BA1A5D">
            <w:r>
              <w:t xml:space="preserve">90% </w:t>
            </w:r>
            <w:proofErr w:type="gramStart"/>
            <w:r>
              <w:t>is considered</w:t>
            </w:r>
            <w:proofErr w:type="gramEnd"/>
            <w:r>
              <w:t xml:space="preserve"> persistent absence. This letter is to inform and advise. It starts the beginning of</w:t>
            </w:r>
            <w:r w:rsidRPr="001A7C6E">
              <w:t xml:space="preserve"> a</w:t>
            </w:r>
            <w:r w:rsidRPr="001A7C6E">
              <w:rPr>
                <w:b/>
              </w:rPr>
              <w:t xml:space="preserve"> </w:t>
            </w:r>
            <w:proofErr w:type="gramStart"/>
            <w:r w:rsidRPr="001A7C6E">
              <w:rPr>
                <w:b/>
              </w:rPr>
              <w:t>3 week</w:t>
            </w:r>
            <w:proofErr w:type="gramEnd"/>
            <w:r w:rsidRPr="001A7C6E">
              <w:rPr>
                <w:b/>
              </w:rPr>
              <w:t xml:space="preserve"> monitoring period.</w:t>
            </w:r>
          </w:p>
        </w:tc>
      </w:tr>
      <w:tr w:rsidR="00B656DC" w:rsidTr="00454390">
        <w:tc>
          <w:tcPr>
            <w:tcW w:w="10343" w:type="dxa"/>
            <w:gridSpan w:val="2"/>
          </w:tcPr>
          <w:p w:rsidR="00B656DC" w:rsidRPr="00D92E4F" w:rsidRDefault="00B656DC" w:rsidP="00BA1A5D">
            <w:pPr>
              <w:rPr>
                <w:b/>
              </w:rPr>
            </w:pPr>
            <w:r>
              <w:rPr>
                <w:b/>
              </w:rPr>
              <w:t xml:space="preserve">If there are 10 </w:t>
            </w:r>
            <w:r w:rsidR="00474CB0">
              <w:rPr>
                <w:b/>
              </w:rPr>
              <w:t xml:space="preserve">UNAUTHORISED </w:t>
            </w:r>
            <w:r>
              <w:rPr>
                <w:b/>
              </w:rPr>
              <w:t xml:space="preserve">absences (5 days) in a </w:t>
            </w:r>
            <w:proofErr w:type="gramStart"/>
            <w:r>
              <w:rPr>
                <w:b/>
              </w:rPr>
              <w:t>12 week</w:t>
            </w:r>
            <w:proofErr w:type="gramEnd"/>
            <w:r>
              <w:rPr>
                <w:b/>
              </w:rPr>
              <w:t xml:space="preserve"> period, a penalty</w:t>
            </w:r>
            <w:r w:rsidR="00474CB0">
              <w:rPr>
                <w:b/>
              </w:rPr>
              <w:t xml:space="preserve"> notice</w:t>
            </w:r>
            <w:r>
              <w:rPr>
                <w:b/>
              </w:rPr>
              <w:t xml:space="preserve"> warning will be issued.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 xml:space="preserve">Letter sent: PNW Referral </w:t>
            </w:r>
          </w:p>
        </w:tc>
        <w:tc>
          <w:tcPr>
            <w:tcW w:w="7654" w:type="dxa"/>
          </w:tcPr>
          <w:p w:rsidR="00586958" w:rsidRDefault="00586958" w:rsidP="00306676">
            <w:r>
              <w:t xml:space="preserve">This letter explains that </w:t>
            </w:r>
            <w:proofErr w:type="gramStart"/>
            <w:r>
              <w:t>attendance will be formally monitored by Tameside</w:t>
            </w:r>
            <w:proofErr w:type="gramEnd"/>
            <w:r>
              <w:t xml:space="preserve"> and any unauthorised absences during the monitoring period will trigger a fine of £120 per child per parent, reduced to £60 if paid within 21 days.</w:t>
            </w:r>
          </w:p>
        </w:tc>
      </w:tr>
      <w:tr w:rsidR="00B656DC" w:rsidTr="00454390">
        <w:tc>
          <w:tcPr>
            <w:tcW w:w="10343" w:type="dxa"/>
            <w:gridSpan w:val="2"/>
            <w:shd w:val="clear" w:color="auto" w:fill="FF0000"/>
          </w:tcPr>
          <w:p w:rsidR="00B656DC" w:rsidRPr="00D92E4F" w:rsidRDefault="00906210" w:rsidP="00906210">
            <w:pPr>
              <w:rPr>
                <w:b/>
              </w:rPr>
            </w:pPr>
            <w:r>
              <w:rPr>
                <w:b/>
              </w:rPr>
              <w:t xml:space="preserve">Cases </w:t>
            </w:r>
            <w:r w:rsidR="00B656DC" w:rsidRPr="00D92E4F">
              <w:rPr>
                <w:b/>
              </w:rPr>
              <w:t xml:space="preserve">referred to Education Welfare </w:t>
            </w:r>
            <w:r>
              <w:rPr>
                <w:b/>
              </w:rPr>
              <w:t xml:space="preserve">Officer to address </w:t>
            </w:r>
            <w:r w:rsidR="00B656DC" w:rsidRPr="00D92E4F">
              <w:rPr>
                <w:b/>
              </w:rPr>
              <w:t>attendance</w:t>
            </w:r>
            <w:r>
              <w:rPr>
                <w:b/>
              </w:rPr>
              <w:t xml:space="preserve"> concerns</w:t>
            </w:r>
            <w:r w:rsidR="00B656DC" w:rsidRPr="00D92E4F">
              <w:rPr>
                <w:b/>
              </w:rPr>
              <w:t>.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>First attendance meeting in school</w:t>
            </w:r>
          </w:p>
          <w:p w:rsidR="00586958" w:rsidRDefault="00586958" w:rsidP="00BA1A5D"/>
          <w:p w:rsidR="00586958" w:rsidRDefault="00586958" w:rsidP="00BA1A5D">
            <w:r>
              <w:t xml:space="preserve">Letter from EWO </w:t>
            </w:r>
          </w:p>
        </w:tc>
        <w:tc>
          <w:tcPr>
            <w:tcW w:w="7654" w:type="dxa"/>
          </w:tcPr>
          <w:p w:rsidR="00586958" w:rsidRDefault="00586958" w:rsidP="00BA1A5D">
            <w:r>
              <w:t xml:space="preserve">A weekly case management meeting </w:t>
            </w:r>
            <w:proofErr w:type="gramStart"/>
            <w:r>
              <w:t>is held</w:t>
            </w:r>
            <w:proofErr w:type="gramEnd"/>
            <w:r>
              <w:t xml:space="preserve"> between school and the allocated Education Welfare Officer, where children whose attendance has fallen below 90% are discussed. From this meeting school will ask the EWO to arrange to meet with parents to discuss those children who have:</w:t>
            </w:r>
          </w:p>
          <w:p w:rsidR="00586958" w:rsidRDefault="00586958" w:rsidP="00BA1A5D"/>
          <w:p w:rsidR="00586958" w:rsidRDefault="00586958" w:rsidP="002D18FC">
            <w:pPr>
              <w:pStyle w:val="ListParagraph"/>
              <w:numPr>
                <w:ilvl w:val="0"/>
                <w:numId w:val="1"/>
              </w:numPr>
              <w:ind w:left="324" w:hanging="157"/>
            </w:pPr>
            <w:r>
              <w:t>a significant amount of illness</w:t>
            </w:r>
          </w:p>
          <w:p w:rsidR="00586958" w:rsidRDefault="00586958" w:rsidP="002D18FC">
            <w:pPr>
              <w:pStyle w:val="ListParagraph"/>
              <w:numPr>
                <w:ilvl w:val="0"/>
                <w:numId w:val="1"/>
              </w:numPr>
              <w:ind w:left="324" w:hanging="157"/>
            </w:pPr>
            <w:r>
              <w:t>irregular patterns of attendance e.g. odd days off</w:t>
            </w:r>
          </w:p>
          <w:p w:rsidR="00586958" w:rsidRDefault="00586958" w:rsidP="002D18FC">
            <w:pPr>
              <w:pStyle w:val="ListParagraph"/>
              <w:numPr>
                <w:ilvl w:val="0"/>
                <w:numId w:val="1"/>
              </w:numPr>
              <w:ind w:left="324" w:hanging="157"/>
            </w:pPr>
            <w:r>
              <w:t>a significant number of unauthorised absences</w:t>
            </w:r>
          </w:p>
          <w:p w:rsidR="00586958" w:rsidRDefault="00586958" w:rsidP="00BA1A5D"/>
          <w:p w:rsidR="00586958" w:rsidRDefault="00586958" w:rsidP="00306676">
            <w:r>
              <w:t xml:space="preserve">An introduction letter is sent by the EWO, but may be forwarded to you by school, and invites you to attend a meeting in school to look at ways school can support you to improve your child’s attendance. This </w:t>
            </w:r>
            <w:proofErr w:type="gramStart"/>
            <w:r>
              <w:t>is written</w:t>
            </w:r>
            <w:proofErr w:type="gramEnd"/>
            <w:r>
              <w:t xml:space="preserve"> into a formal attendance improvement plan.</w:t>
            </w:r>
          </w:p>
          <w:p w:rsidR="00586958" w:rsidRDefault="00586958" w:rsidP="00306676"/>
          <w:p w:rsidR="00586958" w:rsidRDefault="00586958" w:rsidP="00306676">
            <w:r>
              <w:lastRenderedPageBreak/>
              <w:t xml:space="preserve">If parents do not attend the meeting, the attendance improvement plan </w:t>
            </w:r>
            <w:proofErr w:type="gramStart"/>
            <w:r>
              <w:t>is written in absence and sent to parents</w:t>
            </w:r>
            <w:proofErr w:type="gramEnd"/>
            <w:r>
              <w:t>.</w:t>
            </w:r>
          </w:p>
          <w:p w:rsidR="00586958" w:rsidRDefault="00586958" w:rsidP="00306676"/>
          <w:p w:rsidR="00586958" w:rsidRPr="002D18FC" w:rsidRDefault="00586958" w:rsidP="002D18FC">
            <w:pPr>
              <w:rPr>
                <w:b/>
              </w:rPr>
            </w:pPr>
            <w:r w:rsidRPr="002D18FC">
              <w:rPr>
                <w:b/>
              </w:rPr>
              <w:t xml:space="preserve">Attendance </w:t>
            </w:r>
            <w:proofErr w:type="gramStart"/>
            <w:r w:rsidRPr="002D18FC">
              <w:rPr>
                <w:b/>
              </w:rPr>
              <w:t>is monitored</w:t>
            </w:r>
            <w:proofErr w:type="gramEnd"/>
            <w:r w:rsidRPr="002D18FC">
              <w:rPr>
                <w:b/>
              </w:rPr>
              <w:t xml:space="preserve"> for a period of between 2-4 weeks and a review date is set.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lastRenderedPageBreak/>
              <w:t>Attendance Review Meetings</w:t>
            </w:r>
          </w:p>
          <w:p w:rsidR="00586958" w:rsidRDefault="00586958" w:rsidP="00BA1A5D"/>
          <w:p w:rsidR="00586958" w:rsidRDefault="00586958" w:rsidP="00BA1A5D">
            <w:r>
              <w:t>Letters and attendance improvement plans sent by EWO</w:t>
            </w:r>
          </w:p>
        </w:tc>
        <w:tc>
          <w:tcPr>
            <w:tcW w:w="7654" w:type="dxa"/>
          </w:tcPr>
          <w:p w:rsidR="00586958" w:rsidRDefault="00586958" w:rsidP="00287445">
            <w:r>
              <w:t xml:space="preserve">Attendance </w:t>
            </w:r>
            <w:proofErr w:type="gramStart"/>
            <w:r>
              <w:t>is reviewed</w:t>
            </w:r>
            <w:proofErr w:type="gramEnd"/>
            <w:r>
              <w:t xml:space="preserve"> regularly for a period of 6-12 weeks.  If there have been further unauthorised absences during the review period the meetings will make clear what the next steps are. </w:t>
            </w:r>
          </w:p>
          <w:p w:rsidR="00586958" w:rsidRDefault="00586958" w:rsidP="00287445"/>
          <w:p w:rsidR="00586958" w:rsidRDefault="00586958" w:rsidP="00287445">
            <w:r>
              <w:t xml:space="preserve">Attendance may be reviewed for longer where support </w:t>
            </w:r>
            <w:proofErr w:type="gramStart"/>
            <w:r>
              <w:t>has been offered</w:t>
            </w:r>
            <w:proofErr w:type="gramEnd"/>
            <w:r>
              <w:t xml:space="preserve"> by an external agency and engaged with by parents to allow time for improvement.</w:t>
            </w:r>
          </w:p>
        </w:tc>
      </w:tr>
      <w:tr w:rsidR="00B656DC" w:rsidTr="00454390">
        <w:tc>
          <w:tcPr>
            <w:tcW w:w="10343" w:type="dxa"/>
            <w:gridSpan w:val="2"/>
          </w:tcPr>
          <w:p w:rsidR="00B656DC" w:rsidRPr="004A1BCA" w:rsidRDefault="004A1BCA" w:rsidP="004A1BCA">
            <w:pPr>
              <w:rPr>
                <w:b/>
                <w:i/>
              </w:rPr>
            </w:pPr>
            <w:r w:rsidRPr="004A1BCA">
              <w:rPr>
                <w:b/>
                <w:i/>
              </w:rPr>
              <w:t>A penalty notice warning may be issued at the start of/during this process alongside an attendance improvement plan where there are 10 or more unauthorised absences in a twelve week period</w:t>
            </w:r>
          </w:p>
        </w:tc>
      </w:tr>
      <w:tr w:rsidR="00B656DC" w:rsidTr="00454390">
        <w:tc>
          <w:tcPr>
            <w:tcW w:w="10343" w:type="dxa"/>
            <w:gridSpan w:val="2"/>
          </w:tcPr>
          <w:p w:rsidR="00B656DC" w:rsidRDefault="00B656DC" w:rsidP="00BA1A5D"/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>Legal warning letter</w:t>
            </w:r>
          </w:p>
        </w:tc>
        <w:tc>
          <w:tcPr>
            <w:tcW w:w="7654" w:type="dxa"/>
          </w:tcPr>
          <w:p w:rsidR="00586958" w:rsidRDefault="00586958" w:rsidP="00BA1A5D">
            <w:r>
              <w:t xml:space="preserve">This letter states that there are serious concerns regarding the child’s attendance, and that, unless there is significant improvement the case </w:t>
            </w:r>
            <w:proofErr w:type="gramStart"/>
            <w:r>
              <w:t>will be referred</w:t>
            </w:r>
            <w:proofErr w:type="gramEnd"/>
            <w:r>
              <w:t xml:space="preserve"> to the magistrate for prosecution. This </w:t>
            </w:r>
            <w:proofErr w:type="gramStart"/>
            <w:r>
              <w:t>can be issued</w:t>
            </w:r>
            <w:proofErr w:type="gramEnd"/>
            <w:r>
              <w:t xml:space="preserve"> at any time whilst subject to an attendance improvement plan. </w:t>
            </w:r>
            <w:r>
              <w:rPr>
                <w:b/>
              </w:rPr>
              <w:t>This begins a</w:t>
            </w:r>
            <w:r w:rsidRPr="000624B6">
              <w:rPr>
                <w:b/>
              </w:rPr>
              <w:t xml:space="preserve"> final 3 week monitoring period.</w:t>
            </w:r>
          </w:p>
        </w:tc>
      </w:tr>
      <w:tr w:rsidR="00586958" w:rsidTr="00454390">
        <w:tc>
          <w:tcPr>
            <w:tcW w:w="2689" w:type="dxa"/>
          </w:tcPr>
          <w:p w:rsidR="00586958" w:rsidRDefault="00586958" w:rsidP="00BA1A5D">
            <w:r>
              <w:t>Final Legal Letter</w:t>
            </w:r>
          </w:p>
        </w:tc>
        <w:tc>
          <w:tcPr>
            <w:tcW w:w="7654" w:type="dxa"/>
          </w:tcPr>
          <w:p w:rsidR="00586958" w:rsidRDefault="00586958" w:rsidP="005B63BC">
            <w:r>
              <w:t>This letter states that the school has referred the case to the local authority, and that there is to be an intent to prosecute.</w:t>
            </w:r>
          </w:p>
          <w:p w:rsidR="00586958" w:rsidRDefault="00586958" w:rsidP="005B63BC"/>
          <w:p w:rsidR="00586958" w:rsidRPr="00586958" w:rsidRDefault="00586958" w:rsidP="00586958">
            <w:pPr>
              <w:rPr>
                <w:i/>
              </w:rPr>
            </w:pPr>
            <w:proofErr w:type="gramStart"/>
            <w:r>
              <w:rPr>
                <w:i/>
              </w:rPr>
              <w:t>In the event of a referral for prosecution due to multiple holidays during term time the procedure for attendance meetings and attendance</w:t>
            </w:r>
            <w:proofErr w:type="gramEnd"/>
            <w:r>
              <w:rPr>
                <w:i/>
              </w:rPr>
              <w:t xml:space="preserve"> improvement plans does not need to be followed.</w:t>
            </w:r>
          </w:p>
        </w:tc>
      </w:tr>
      <w:tr w:rsidR="00586958" w:rsidTr="00454390">
        <w:trPr>
          <w:trHeight w:val="1463"/>
        </w:trPr>
        <w:tc>
          <w:tcPr>
            <w:tcW w:w="2689" w:type="dxa"/>
          </w:tcPr>
          <w:p w:rsidR="00586958" w:rsidRDefault="00586958" w:rsidP="00BA1A5D">
            <w:r>
              <w:t>Court Date</w:t>
            </w:r>
          </w:p>
        </w:tc>
        <w:tc>
          <w:tcPr>
            <w:tcW w:w="7654" w:type="dxa"/>
          </w:tcPr>
          <w:p w:rsidR="00586958" w:rsidRDefault="00586958" w:rsidP="005B63BC">
            <w:r>
              <w:t xml:space="preserve">A date is set for the case to </w:t>
            </w:r>
            <w:proofErr w:type="gramStart"/>
            <w:r>
              <w:t>be heard</w:t>
            </w:r>
            <w:proofErr w:type="gramEnd"/>
            <w:r>
              <w:t xml:space="preserve"> by the Magistrates Court. </w:t>
            </w:r>
            <w:proofErr w:type="gramStart"/>
            <w:r>
              <w:t>The case is presented to the court by a Senior Education Welfare Officer</w:t>
            </w:r>
            <w:proofErr w:type="gramEnd"/>
            <w:r>
              <w:t xml:space="preserve">. At this point, parents are able to present any mitigating circumstances to the court. All parties </w:t>
            </w:r>
            <w:proofErr w:type="gramStart"/>
            <w:r>
              <w:t>are informed</w:t>
            </w:r>
            <w:proofErr w:type="gramEnd"/>
            <w:r>
              <w:t xml:space="preserve"> of the court decision.</w:t>
            </w:r>
          </w:p>
        </w:tc>
      </w:tr>
      <w:tr w:rsidR="00586958" w:rsidTr="00454390">
        <w:trPr>
          <w:trHeight w:val="1463"/>
        </w:trPr>
        <w:tc>
          <w:tcPr>
            <w:tcW w:w="2689" w:type="dxa"/>
          </w:tcPr>
          <w:p w:rsidR="00586958" w:rsidRDefault="00586958" w:rsidP="00BA1A5D">
            <w:r>
              <w:t>Post-Court Meeting</w:t>
            </w:r>
          </w:p>
        </w:tc>
        <w:tc>
          <w:tcPr>
            <w:tcW w:w="7654" w:type="dxa"/>
          </w:tcPr>
          <w:p w:rsidR="00586958" w:rsidRDefault="00586958" w:rsidP="005B63BC">
            <w:r>
              <w:t xml:space="preserve">Following the court outcome, parents </w:t>
            </w:r>
            <w:proofErr w:type="gramStart"/>
            <w:r>
              <w:t>are expected</w:t>
            </w:r>
            <w:proofErr w:type="gramEnd"/>
            <w:r>
              <w:t xml:space="preserve"> to attend a meeting in school to discuss the outcome and the attendance improvement plan is updated.</w:t>
            </w:r>
          </w:p>
          <w:p w:rsidR="00586958" w:rsidRPr="00586958" w:rsidRDefault="00586958" w:rsidP="005B63BC">
            <w:pPr>
              <w:rPr>
                <w:b/>
              </w:rPr>
            </w:pPr>
            <w:r w:rsidRPr="00586958">
              <w:rPr>
                <w:b/>
              </w:rPr>
              <w:t xml:space="preserve">If attendance does not </w:t>
            </w:r>
            <w:proofErr w:type="gramStart"/>
            <w:r w:rsidRPr="00586958">
              <w:rPr>
                <w:b/>
              </w:rPr>
              <w:t>improve</w:t>
            </w:r>
            <w:proofErr w:type="gramEnd"/>
            <w:r w:rsidRPr="00586958">
              <w:rPr>
                <w:b/>
              </w:rPr>
              <w:t xml:space="preserve"> the case can be referred back to court.</w:t>
            </w:r>
          </w:p>
        </w:tc>
      </w:tr>
    </w:tbl>
    <w:p w:rsidR="00B656DC" w:rsidRDefault="00B656DC"/>
    <w:p w:rsidR="00B656DC" w:rsidRDefault="00B656DC"/>
    <w:p w:rsidR="00111A01" w:rsidRDefault="002075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266700</wp:posOffset>
                </wp:positionV>
                <wp:extent cx="1628775" cy="1247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7561" w:rsidRDefault="00490841">
                            <w:r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21pt;width:128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" fillcolor="white [3201]" strokecolor="white [3212]" strokeweight=".5pt">
                <v:textbox>
                  <w:txbxContent>
                    <w:p w:rsidR="00207561" w:rsidRDefault="00490841">
                      <w:r>
                        <w:rPr>
                          <w:noProof/>
                          <w:lang w:eastAsia="en-GB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A01" w:rsidSect="004543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90" w:rsidRDefault="00454390" w:rsidP="00454390">
      <w:pPr>
        <w:spacing w:after="0" w:line="240" w:lineRule="auto"/>
      </w:pPr>
      <w:r>
        <w:separator/>
      </w:r>
    </w:p>
  </w:endnote>
  <w:endnote w:type="continuationSeparator" w:id="0">
    <w:p w:rsidR="00454390" w:rsidRDefault="00454390" w:rsidP="0045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90" w:rsidRDefault="00454390" w:rsidP="00454390">
      <w:pPr>
        <w:spacing w:after="0" w:line="240" w:lineRule="auto"/>
      </w:pPr>
      <w:r>
        <w:separator/>
      </w:r>
    </w:p>
  </w:footnote>
  <w:footnote w:type="continuationSeparator" w:id="0">
    <w:p w:rsidR="00454390" w:rsidRDefault="00454390" w:rsidP="0045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90" w:rsidRDefault="00454390">
    <w:pPr>
      <w:pStyle w:val="Header"/>
    </w:pPr>
    <w:r w:rsidRPr="006553E5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-695325</wp:posOffset>
          </wp:positionV>
          <wp:extent cx="1285875" cy="1125924"/>
          <wp:effectExtent l="0" t="0" r="0" b="0"/>
          <wp:wrapSquare wrapText="bothSides"/>
          <wp:docPr id="4" name="Picture 4" descr="C:\Users\j taylor\Desktop\thumbnail_manch road 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thumbnail_manch road p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2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F4E92"/>
    <w:multiLevelType w:val="hybridMultilevel"/>
    <w:tmpl w:val="0F08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61"/>
    <w:rsid w:val="000624B6"/>
    <w:rsid w:val="000F25AB"/>
    <w:rsid w:val="00111A01"/>
    <w:rsid w:val="001A7C6E"/>
    <w:rsid w:val="00207561"/>
    <w:rsid w:val="00287445"/>
    <w:rsid w:val="002D18FC"/>
    <w:rsid w:val="00306676"/>
    <w:rsid w:val="00454390"/>
    <w:rsid w:val="00474CB0"/>
    <w:rsid w:val="00490841"/>
    <w:rsid w:val="004A1BCA"/>
    <w:rsid w:val="00586958"/>
    <w:rsid w:val="005B63BC"/>
    <w:rsid w:val="005C43B2"/>
    <w:rsid w:val="006F4CE9"/>
    <w:rsid w:val="00781EA1"/>
    <w:rsid w:val="0089315F"/>
    <w:rsid w:val="00906210"/>
    <w:rsid w:val="009A133F"/>
    <w:rsid w:val="00B44710"/>
    <w:rsid w:val="00B50C91"/>
    <w:rsid w:val="00B656DC"/>
    <w:rsid w:val="00B76896"/>
    <w:rsid w:val="00D92E4F"/>
    <w:rsid w:val="00F00446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1DD233-7EFC-434F-801B-694BB32D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4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90"/>
  </w:style>
  <w:style w:type="paragraph" w:styleId="Footer">
    <w:name w:val="footer"/>
    <w:basedOn w:val="Normal"/>
    <w:link w:val="FooterChar"/>
    <w:uiPriority w:val="99"/>
    <w:unhideWhenUsed/>
    <w:rsid w:val="004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cp:lastPrinted>2018-03-27T13:32:00Z</cp:lastPrinted>
  <dcterms:created xsi:type="dcterms:W3CDTF">2023-03-16T11:53:00Z</dcterms:created>
  <dcterms:modified xsi:type="dcterms:W3CDTF">2023-03-16T11:53:00Z</dcterms:modified>
</cp:coreProperties>
</file>