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547" w:type="dxa"/>
        <w:tblInd w:w="-998" w:type="dxa"/>
        <w:tblLook w:val="04A0" w:firstRow="1" w:lastRow="0" w:firstColumn="1" w:lastColumn="0" w:noHBand="0" w:noVBand="1"/>
      </w:tblPr>
      <w:tblGrid>
        <w:gridCol w:w="3687"/>
        <w:gridCol w:w="6804"/>
        <w:gridCol w:w="5528"/>
        <w:gridCol w:w="5528"/>
      </w:tblGrid>
      <w:tr w:rsidR="004079DE" w:rsidRPr="002177A8" w:rsidTr="0068743D">
        <w:trPr>
          <w:gridAfter w:val="1"/>
          <w:wAfter w:w="5528" w:type="dxa"/>
        </w:trPr>
        <w:tc>
          <w:tcPr>
            <w:tcW w:w="16019" w:type="dxa"/>
            <w:gridSpan w:val="3"/>
            <w:shd w:val="clear" w:color="auto" w:fill="C5E0B3" w:themeFill="accent6" w:themeFillTint="66"/>
          </w:tcPr>
          <w:p w:rsidR="000D36A1" w:rsidRDefault="00402282" w:rsidP="000D36A1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Science</w:t>
            </w:r>
            <w:r w:rsidR="002051A6">
              <w:rPr>
                <w:b/>
                <w:sz w:val="20"/>
                <w:szCs w:val="20"/>
              </w:rPr>
              <w:t xml:space="preserve">  </w:t>
            </w:r>
            <w:r w:rsidR="000D36A1">
              <w:rPr>
                <w:rFonts w:cstheme="minorHAnsi"/>
                <w:sz w:val="18"/>
                <w:szCs w:val="18"/>
              </w:rPr>
              <w:t>What</w:t>
            </w:r>
            <w:proofErr w:type="gramEnd"/>
            <w:r w:rsidR="000D36A1">
              <w:rPr>
                <w:rFonts w:cstheme="minorHAnsi"/>
                <w:sz w:val="18"/>
                <w:szCs w:val="18"/>
              </w:rPr>
              <w:t xml:space="preserve"> is the life cycle of different creatures? How do we care for living things?</w:t>
            </w:r>
          </w:p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2332" w:type="dxa"/>
            <w:gridSpan w:val="2"/>
          </w:tcPr>
          <w:p w:rsidR="00EC2662" w:rsidRPr="006C22E3" w:rsidRDefault="006E57DB" w:rsidP="0015445A">
            <w:r w:rsidRPr="006C22E3">
              <w:t xml:space="preserve">Life Cycles and Living things </w:t>
            </w:r>
            <w:r w:rsidR="0015445A" w:rsidRPr="006C22E3">
              <w:t xml:space="preserve"> </w:t>
            </w:r>
            <w:r w:rsidR="002051A6" w:rsidRPr="006C22E3">
              <w:t xml:space="preserve"> children will understand the difference between living and </w:t>
            </w:r>
            <w:proofErr w:type="spellStart"/>
            <w:proofErr w:type="gramStart"/>
            <w:r w:rsidR="002051A6" w:rsidRPr="006C22E3">
              <w:t>non living</w:t>
            </w:r>
            <w:proofErr w:type="spellEnd"/>
            <w:proofErr w:type="gramEnd"/>
            <w:r w:rsidR="002051A6" w:rsidRPr="006C22E3">
              <w:t xml:space="preserve"> things. They will be able to categorise and sort these. Children will be able to record the life cycles of a plant and animal and say what they need to grow healthily. </w:t>
            </w:r>
            <w:r w:rsidR="006C22E3" w:rsidRPr="006C22E3">
              <w:t xml:space="preserve">Children will use observational drawings to record changes over time and begin to conduct simple experiments to determine the conditions needed for a plant to thrive. 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4079DE" w:rsidRPr="002177A8" w:rsidRDefault="006C22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Development Matters and ELGs, NC </w:t>
            </w:r>
          </w:p>
        </w:tc>
        <w:tc>
          <w:tcPr>
            <w:tcW w:w="12332" w:type="dxa"/>
            <w:gridSpan w:val="2"/>
          </w:tcPr>
          <w:p w:rsidR="00AA13DC" w:rsidRDefault="00AA13DC" w:rsidP="00AA13D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objects and materials using simple language.</w:t>
            </w:r>
          </w:p>
          <w:p w:rsidR="006C22E3" w:rsidRDefault="00AA13DC" w:rsidP="006C22E3">
            <w:pPr>
              <w:pStyle w:val="NoSpacing"/>
              <w:rPr>
                <w:rFonts w:asciiTheme="majorHAnsi" w:hAnsiTheme="majorHAnsi" w:cstheme="majorHAnsi"/>
                <w:color w:val="231F20"/>
              </w:rPr>
            </w:pPr>
            <w:r>
              <w:rPr>
                <w:sz w:val="18"/>
                <w:szCs w:val="18"/>
              </w:rPr>
              <w:t>Group different objects and materials according to specific properties.</w:t>
            </w:r>
            <w:r w:rsidR="006C22E3" w:rsidRPr="00067367">
              <w:rPr>
                <w:rFonts w:asciiTheme="majorHAnsi" w:hAnsiTheme="majorHAnsi" w:cstheme="majorHAnsi"/>
                <w:color w:val="231F20"/>
              </w:rPr>
              <w:t xml:space="preserve"> </w:t>
            </w:r>
          </w:p>
          <w:p w:rsidR="006C22E3" w:rsidRPr="00067367" w:rsidRDefault="006C22E3" w:rsidP="006C22E3">
            <w:pPr>
              <w:pStyle w:val="NoSpacing"/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Explore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them,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making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observations 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pictures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of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animals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plants (ELG)</w:t>
            </w:r>
          </w:p>
          <w:p w:rsidR="006C22E3" w:rsidRDefault="006C22E3" w:rsidP="006C22E3">
            <w:pPr>
              <w:rPr>
                <w:rFonts w:asciiTheme="majorHAnsi" w:hAnsiTheme="majorHAnsi" w:cstheme="majorHAnsi"/>
                <w:color w:val="231F20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Know some similarities and differences between the natural world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contrasting</w:t>
            </w:r>
            <w:r w:rsidRPr="00067367">
              <w:rPr>
                <w:rFonts w:asciiTheme="majorHAnsi" w:hAnsiTheme="majorHAnsi" w:cstheme="majorHAnsi"/>
                <w:color w:val="231F20"/>
                <w:spacing w:val="-16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environments,</w:t>
            </w:r>
            <w:r w:rsidRPr="00067367">
              <w:rPr>
                <w:rFonts w:asciiTheme="majorHAnsi" w:hAnsiTheme="majorHAnsi" w:cstheme="majorHAnsi"/>
                <w:color w:val="231F20"/>
                <w:spacing w:val="-15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drawing</w:t>
            </w:r>
            <w:r w:rsidRPr="00067367">
              <w:rPr>
                <w:rFonts w:asciiTheme="majorHAnsi" w:hAnsiTheme="majorHAnsi" w:cstheme="majorHAnsi"/>
                <w:color w:val="231F20"/>
                <w:spacing w:val="-14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on their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experiences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and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what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has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been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read</w:t>
            </w:r>
            <w:r w:rsidRPr="00067367">
              <w:rPr>
                <w:rFonts w:asciiTheme="majorHAnsi" w:hAnsiTheme="majorHAnsi" w:cstheme="majorHAnsi"/>
                <w:color w:val="231F20"/>
                <w:spacing w:val="-10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in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 xml:space="preserve">class. (ELG) </w:t>
            </w:r>
          </w:p>
          <w:p w:rsidR="006C22E3" w:rsidRPr="00067367" w:rsidRDefault="006C22E3" w:rsidP="006C22E3">
            <w:pPr>
              <w:rPr>
                <w:rFonts w:asciiTheme="majorHAnsi" w:hAnsiTheme="majorHAnsi" w:cstheme="majorHAnsi"/>
                <w:color w:val="231F20"/>
              </w:rPr>
            </w:pPr>
            <w:r w:rsidRPr="00067367">
              <w:rPr>
                <w:rFonts w:asciiTheme="majorHAnsi" w:hAnsiTheme="majorHAnsi" w:cstheme="majorHAnsi"/>
                <w:color w:val="231F20"/>
              </w:rPr>
              <w:t>Understand some important processes and changes in the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natural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world</w:t>
            </w:r>
            <w:r w:rsidRPr="00067367">
              <w:rPr>
                <w:rFonts w:asciiTheme="majorHAnsi" w:hAnsiTheme="majorHAnsi" w:cstheme="majorHAnsi"/>
                <w:color w:val="231F20"/>
                <w:spacing w:val="-11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around</w:t>
            </w:r>
            <w:r w:rsidRPr="00067367">
              <w:rPr>
                <w:rFonts w:asciiTheme="majorHAnsi" w:hAnsiTheme="majorHAnsi" w:cstheme="majorHAnsi"/>
                <w:color w:val="231F20"/>
                <w:spacing w:val="-12"/>
              </w:rPr>
              <w:t xml:space="preserve"> </w:t>
            </w:r>
            <w:r w:rsidRPr="00067367">
              <w:rPr>
                <w:rFonts w:asciiTheme="majorHAnsi" w:hAnsiTheme="majorHAnsi" w:cstheme="majorHAnsi"/>
                <w:color w:val="231F20"/>
              </w:rPr>
              <w:t>them (ELG)</w:t>
            </w:r>
          </w:p>
          <w:p w:rsidR="005D394F" w:rsidRDefault="006C22E3" w:rsidP="005D3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527D0B">
              <w:rPr>
                <w:rFonts w:asciiTheme="majorHAnsi" w:hAnsiTheme="majorHAnsi" w:cstheme="majorHAnsi"/>
                <w:lang w:bidi="en-GB"/>
              </w:rPr>
              <w:t>Recognise some environments that are different to the one in which they live (ELG)</w:t>
            </w:r>
            <w:r w:rsidR="005D394F" w:rsidRPr="00067367">
              <w:rPr>
                <w:rFonts w:asciiTheme="majorHAnsi" w:hAnsiTheme="majorHAnsi" w:cstheme="majorHAnsi"/>
              </w:rPr>
              <w:t xml:space="preserve"> </w:t>
            </w:r>
          </w:p>
          <w:p w:rsidR="005D394F" w:rsidRPr="00067367" w:rsidRDefault="005D394F" w:rsidP="005D3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Recognise similarities and differences between different plant and animals. Including chicks, butterflies and dinosaurs </w:t>
            </w:r>
          </w:p>
          <w:p w:rsidR="005D394F" w:rsidRPr="00067367" w:rsidRDefault="005D394F" w:rsidP="005D3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Observe living things carefully.</w:t>
            </w:r>
          </w:p>
          <w:p w:rsidR="005D394F" w:rsidRPr="00067367" w:rsidRDefault="005D394F" w:rsidP="005D394F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To show care and concern for living things by caring for chicks, butterflies. </w:t>
            </w:r>
          </w:p>
          <w:p w:rsidR="006C22E3" w:rsidRPr="00527D0B" w:rsidRDefault="006C22E3" w:rsidP="006C22E3">
            <w:pPr>
              <w:rPr>
                <w:rFonts w:asciiTheme="majorHAnsi" w:hAnsiTheme="majorHAnsi" w:cstheme="majorHAnsi"/>
                <w:color w:val="231F20"/>
              </w:rPr>
            </w:pPr>
          </w:p>
          <w:p w:rsidR="00794CA6" w:rsidRPr="002177A8" w:rsidRDefault="00794CA6" w:rsidP="006C22E3">
            <w:pPr>
              <w:rPr>
                <w:sz w:val="20"/>
                <w:szCs w:val="20"/>
              </w:rPr>
            </w:pP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4079DE" w:rsidP="00402282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  <w:r w:rsidR="0015445A">
              <w:rPr>
                <w:b/>
                <w:sz w:val="20"/>
                <w:szCs w:val="20"/>
              </w:rPr>
              <w:t xml:space="preserve">-specifics 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  <w:r w:rsidR="0015445A">
              <w:rPr>
                <w:b/>
                <w:sz w:val="20"/>
                <w:szCs w:val="20"/>
              </w:rPr>
              <w:t xml:space="preserve"> broader skills 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B555ED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Questions:</w:t>
            </w:r>
          </w:p>
          <w:p w:rsidR="002051A6" w:rsidRPr="002051A6" w:rsidRDefault="002051A6" w:rsidP="002051A6">
            <w:pPr>
              <w:rPr>
                <w:b/>
                <w:sz w:val="20"/>
                <w:szCs w:val="20"/>
              </w:rPr>
            </w:pPr>
            <w:r w:rsidRPr="002051A6">
              <w:rPr>
                <w:b/>
                <w:sz w:val="20"/>
                <w:szCs w:val="20"/>
              </w:rPr>
              <w:t>How do we know things are alive?</w:t>
            </w:r>
          </w:p>
          <w:p w:rsidR="002051A6" w:rsidRDefault="002051A6" w:rsidP="002051A6">
            <w:pPr>
              <w:rPr>
                <w:b/>
                <w:sz w:val="20"/>
                <w:szCs w:val="20"/>
              </w:rPr>
            </w:pPr>
            <w:r w:rsidRPr="002051A6">
              <w:rPr>
                <w:b/>
                <w:sz w:val="20"/>
                <w:szCs w:val="20"/>
              </w:rPr>
              <w:t xml:space="preserve">How </w:t>
            </w:r>
            <w:r w:rsidR="006C22E3">
              <w:rPr>
                <w:b/>
                <w:sz w:val="20"/>
                <w:szCs w:val="20"/>
              </w:rPr>
              <w:t xml:space="preserve">do </w:t>
            </w:r>
            <w:r w:rsidRPr="002051A6">
              <w:rPr>
                <w:b/>
                <w:sz w:val="20"/>
                <w:szCs w:val="20"/>
              </w:rPr>
              <w:t>living things grow</w:t>
            </w:r>
            <w:r w:rsidR="006C22E3">
              <w:rPr>
                <w:b/>
                <w:sz w:val="20"/>
                <w:szCs w:val="20"/>
              </w:rPr>
              <w:t xml:space="preserve"> and change over time?</w:t>
            </w:r>
          </w:p>
          <w:p w:rsidR="005D394F" w:rsidRPr="002051A6" w:rsidRDefault="005D394F" w:rsidP="00205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 we look after living things and keep them healthy?</w:t>
            </w:r>
          </w:p>
          <w:p w:rsidR="002051A6" w:rsidRPr="002051A6" w:rsidRDefault="002051A6" w:rsidP="002051A6">
            <w:pPr>
              <w:rPr>
                <w:b/>
                <w:sz w:val="20"/>
                <w:szCs w:val="20"/>
              </w:rPr>
            </w:pPr>
            <w:r w:rsidRPr="002051A6">
              <w:rPr>
                <w:b/>
                <w:sz w:val="20"/>
                <w:szCs w:val="20"/>
              </w:rPr>
              <w:t>What do we need for the seeds to turn into a healthy plant?</w:t>
            </w:r>
            <w:r w:rsidRPr="002051A6">
              <w:rPr>
                <w:b/>
                <w:sz w:val="20"/>
                <w:szCs w:val="20"/>
              </w:rPr>
              <w:tab/>
            </w:r>
          </w:p>
          <w:p w:rsidR="00B555ED" w:rsidRPr="002177A8" w:rsidRDefault="002051A6" w:rsidP="002051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</w:t>
            </w:r>
            <w:r w:rsidRPr="002051A6">
              <w:rPr>
                <w:b/>
                <w:sz w:val="20"/>
                <w:szCs w:val="20"/>
              </w:rPr>
              <w:t xml:space="preserve"> do you think the plants will grow the best?</w:t>
            </w:r>
          </w:p>
        </w:tc>
        <w:tc>
          <w:tcPr>
            <w:tcW w:w="6804" w:type="dxa"/>
          </w:tcPr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>Children will know that some things are alive and some things are not.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>That living things share key features.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 xml:space="preserve">That all living things grow and change over time. 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>Children will be able to label the basic anatomy of a plant and what it needs to grow.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>Children will know the stages in the life cycle of a guinea pig and duck. They will be able to name these different stages.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>The children will know how to care for ducks and guinea pigs.</w:t>
            </w:r>
          </w:p>
          <w:p w:rsidR="005D394F" w:rsidRPr="005D394F" w:rsidRDefault="005D394F" w:rsidP="001544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231F20"/>
              </w:rPr>
              <w:t xml:space="preserve">They will know </w:t>
            </w:r>
            <w:r w:rsidR="004F2753">
              <w:rPr>
                <w:rFonts w:asciiTheme="majorHAnsi" w:hAnsiTheme="majorHAnsi" w:cstheme="majorHAnsi"/>
                <w:color w:val="231F20"/>
              </w:rPr>
              <w:t>f</w:t>
            </w:r>
            <w:r>
              <w:rPr>
                <w:rFonts w:asciiTheme="majorHAnsi" w:hAnsiTheme="majorHAnsi" w:cstheme="majorHAnsi"/>
                <w:color w:val="231F20"/>
              </w:rPr>
              <w:t xml:space="preserve">rom experience, how they grow and change over time. </w:t>
            </w:r>
          </w:p>
          <w:p w:rsidR="00527D0B" w:rsidRPr="00067367" w:rsidRDefault="00527D0B" w:rsidP="005D394F">
            <w:pPr>
              <w:pStyle w:val="ListParagraph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</w:tcPr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Children begin to predict and conduct fair tests. </w:t>
            </w:r>
          </w:p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 xml:space="preserve">They begin to look at make simple conclusions. </w:t>
            </w:r>
          </w:p>
          <w:p w:rsidR="00A81E4E" w:rsidRDefault="00A81E4E" w:rsidP="00A81E4E">
            <w:pPr>
              <w:rPr>
                <w:rFonts w:asciiTheme="majorHAnsi" w:hAnsiTheme="majorHAnsi" w:cstheme="majorHAnsi"/>
              </w:rPr>
            </w:pPr>
            <w:r w:rsidRPr="00067367">
              <w:rPr>
                <w:rFonts w:asciiTheme="majorHAnsi" w:hAnsiTheme="majorHAnsi" w:cstheme="majorHAnsi"/>
              </w:rPr>
              <w:t>They classify objects according to a criteria</w:t>
            </w: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use observational drawings to record changes over time. </w:t>
            </w: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Children will be able to label and caption.</w:t>
            </w: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Children will be able to identify what was successful/ not successful and say why. </w:t>
            </w: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Begin to use flow charts and simple </w:t>
            </w:r>
            <w:proofErr w:type="spellStart"/>
            <w:r>
              <w:rPr>
                <w:rFonts w:asciiTheme="majorHAnsi" w:hAnsiTheme="majorHAnsi" w:cstheme="majorHAnsi"/>
              </w:rPr>
              <w:t>venn</w:t>
            </w:r>
            <w:proofErr w:type="spellEnd"/>
            <w:r>
              <w:rPr>
                <w:rFonts w:asciiTheme="majorHAnsi" w:hAnsiTheme="majorHAnsi" w:cstheme="majorHAnsi"/>
              </w:rPr>
              <w:t xml:space="preserve"> diagrams to record </w:t>
            </w: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</w:p>
          <w:p w:rsidR="006C22E3" w:rsidRDefault="006C22E3" w:rsidP="00A81E4E">
            <w:pPr>
              <w:rPr>
                <w:rFonts w:asciiTheme="majorHAnsi" w:hAnsiTheme="majorHAnsi" w:cstheme="majorHAnsi"/>
              </w:rPr>
            </w:pPr>
          </w:p>
          <w:p w:rsidR="00A81E4E" w:rsidRPr="00067367" w:rsidRDefault="00A81E4E" w:rsidP="00A81E4E">
            <w:pPr>
              <w:rPr>
                <w:rFonts w:asciiTheme="majorHAnsi" w:hAnsiTheme="majorHAnsi" w:cstheme="majorHAnsi"/>
              </w:rPr>
            </w:pPr>
          </w:p>
          <w:p w:rsidR="00A56F58" w:rsidRPr="00067367" w:rsidRDefault="00A56F58" w:rsidP="0015445A">
            <w:pPr>
              <w:rPr>
                <w:rFonts w:asciiTheme="majorHAnsi" w:hAnsiTheme="majorHAnsi" w:cstheme="majorHAnsi"/>
              </w:rPr>
            </w:pP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6E57DB">
        <w:trPr>
          <w:gridAfter w:val="1"/>
          <w:wAfter w:w="5528" w:type="dxa"/>
        </w:trPr>
        <w:tc>
          <w:tcPr>
            <w:tcW w:w="3687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681E9F" w:rsidRDefault="00104C8E" w:rsidP="0068743D">
            <w:pPr>
              <w:rPr>
                <w:sz w:val="18"/>
                <w:szCs w:val="18"/>
              </w:rPr>
            </w:pPr>
            <w:r w:rsidRPr="00104C8E">
              <w:rPr>
                <w:sz w:val="20"/>
                <w:szCs w:val="20"/>
              </w:rPr>
              <w:t xml:space="preserve">Eggs, life cycle, growth, birth, </w:t>
            </w:r>
            <w:r>
              <w:rPr>
                <w:sz w:val="20"/>
                <w:szCs w:val="20"/>
              </w:rPr>
              <w:t>Flower, Stem</w:t>
            </w:r>
            <w:r w:rsidR="006874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Root, </w:t>
            </w:r>
            <w:r w:rsidR="0068743D">
              <w:rPr>
                <w:sz w:val="20"/>
                <w:szCs w:val="20"/>
              </w:rPr>
              <w:t>water, sunlight, nutrients, exercise, food, duckling, duck, seed, seedling, shoot, petal</w:t>
            </w: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test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Predict/hypothesise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104C8E" w:rsidRDefault="00104C8E" w:rsidP="00104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</w:p>
          <w:p w:rsidR="00376547" w:rsidRPr="002177A8" w:rsidRDefault="00376547" w:rsidP="009970EC">
            <w:pPr>
              <w:rPr>
                <w:sz w:val="20"/>
                <w:szCs w:val="20"/>
              </w:rPr>
            </w:pP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04C8E" w:rsidRDefault="00104C8E" w:rsidP="00104C8E">
            <w:pPr>
              <w:rPr>
                <w:sz w:val="20"/>
                <w:szCs w:val="20"/>
              </w:rPr>
            </w:pPr>
          </w:p>
          <w:p w:rsidR="00067367" w:rsidRDefault="00067367" w:rsidP="006874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Observing eggs as they hatch into </w:t>
            </w:r>
            <w:r w:rsidR="0068743D">
              <w:rPr>
                <w:sz w:val="20"/>
                <w:szCs w:val="20"/>
              </w:rPr>
              <w:t>ducklings</w:t>
            </w:r>
          </w:p>
          <w:p w:rsidR="0068743D" w:rsidRDefault="0068743D" w:rsidP="006874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Caring for the class guinea pigs </w:t>
            </w:r>
          </w:p>
          <w:p w:rsidR="00067367" w:rsidRPr="00527D0B" w:rsidRDefault="00067367" w:rsidP="00527D0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079DE" w:rsidRDefault="004079DE" w:rsidP="009970EC">
            <w:pPr>
              <w:rPr>
                <w:sz w:val="20"/>
                <w:szCs w:val="20"/>
              </w:rPr>
            </w:pPr>
          </w:p>
          <w:p w:rsidR="005F0D37" w:rsidRDefault="005D394F" w:rsidP="005D39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That</w:t>
            </w:r>
            <w:proofErr w:type="gramEnd"/>
            <w:r>
              <w:rPr>
                <w:sz w:val="20"/>
                <w:szCs w:val="20"/>
              </w:rPr>
              <w:t xml:space="preserve"> plants are</w:t>
            </w:r>
            <w:r w:rsidR="004F2753">
              <w:rPr>
                <w:sz w:val="20"/>
                <w:szCs w:val="20"/>
              </w:rPr>
              <w:t xml:space="preserve"> not</w:t>
            </w:r>
            <w:r>
              <w:rPr>
                <w:sz w:val="20"/>
                <w:szCs w:val="20"/>
              </w:rPr>
              <w:t xml:space="preserve"> living things. </w:t>
            </w:r>
          </w:p>
          <w:p w:rsidR="004F2753" w:rsidRDefault="004F2753" w:rsidP="005D39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humans are not animals</w:t>
            </w:r>
          </w:p>
          <w:p w:rsidR="004F2753" w:rsidRPr="008120D2" w:rsidRDefault="004F2753" w:rsidP="005D394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flowers</w:t>
            </w:r>
            <w:proofErr w:type="gramEnd"/>
            <w:r>
              <w:rPr>
                <w:sz w:val="20"/>
                <w:szCs w:val="20"/>
              </w:rPr>
              <w:t xml:space="preserve"> and plants are just there and do not grow or change. </w:t>
            </w:r>
            <w:bookmarkStart w:id="0" w:name="_GoBack"/>
            <w:bookmarkEnd w:id="0"/>
          </w:p>
        </w:tc>
      </w:tr>
      <w:tr w:rsidR="006E57DB" w:rsidRPr="002177A8" w:rsidTr="006E57DB">
        <w:trPr>
          <w:gridAfter w:val="1"/>
          <w:wAfter w:w="5528" w:type="dxa"/>
        </w:trPr>
        <w:tc>
          <w:tcPr>
            <w:tcW w:w="3687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6804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528" w:type="dxa"/>
            <w:shd w:val="clear" w:color="auto" w:fill="8EAADB" w:themeFill="accent5" w:themeFillTint="99"/>
          </w:tcPr>
          <w:p w:rsidR="006E57DB" w:rsidRPr="002177A8" w:rsidRDefault="006E57DB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2C708E" w:rsidRPr="002177A8" w:rsidTr="002C708E">
        <w:tc>
          <w:tcPr>
            <w:tcW w:w="3687" w:type="dxa"/>
          </w:tcPr>
          <w:p w:rsidR="002C708E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Healthy, unhealthy, </w:t>
            </w:r>
            <w:proofErr w:type="spellStart"/>
            <w:r>
              <w:rPr>
                <w:b/>
                <w:sz w:val="20"/>
                <w:szCs w:val="20"/>
              </w:rPr>
              <w:t>Nutrients,Sugar</w:t>
            </w:r>
            <w:proofErr w:type="spellEnd"/>
            <w:r>
              <w:rPr>
                <w:b/>
                <w:sz w:val="20"/>
                <w:szCs w:val="20"/>
              </w:rPr>
              <w:t xml:space="preserve">, fat, </w:t>
            </w:r>
            <w:proofErr w:type="spellStart"/>
            <w:r>
              <w:rPr>
                <w:b/>
                <w:sz w:val="20"/>
                <w:szCs w:val="20"/>
              </w:rPr>
              <w:t>decay,rot</w:t>
            </w:r>
            <w:proofErr w:type="spellEnd"/>
            <w:r>
              <w:rPr>
                <w:b/>
                <w:sz w:val="20"/>
                <w:szCs w:val="20"/>
              </w:rPr>
              <w:t>, toothbrush, brushing, cleaning, washing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2C708E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</w:t>
            </w:r>
          </w:p>
          <w:p w:rsidR="002C708E" w:rsidRPr="002177A8" w:rsidRDefault="002C708E" w:rsidP="006E5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</w:t>
            </w:r>
          </w:p>
          <w:p w:rsidR="002C708E" w:rsidRPr="002177A8" w:rsidRDefault="002C708E" w:rsidP="006E57DB">
            <w:pPr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bitesize keeping healthy </w:t>
            </w:r>
          </w:p>
          <w:p w:rsidR="002C708E" w:rsidRPr="002C708E" w:rsidRDefault="002C708E" w:rsidP="002C708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 games sorting healthy and unhealthy foods.</w:t>
            </w:r>
          </w:p>
        </w:tc>
        <w:tc>
          <w:tcPr>
            <w:tcW w:w="5528" w:type="dxa"/>
          </w:tcPr>
          <w:p w:rsidR="002C708E" w:rsidRPr="00527D0B" w:rsidRDefault="002C708E" w:rsidP="0082524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2C708E" w:rsidRDefault="002C708E" w:rsidP="006E57DB">
            <w:pPr>
              <w:rPr>
                <w:sz w:val="20"/>
                <w:szCs w:val="20"/>
              </w:rPr>
            </w:pP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plants are not a living thing</w:t>
            </w:r>
          </w:p>
          <w:p w:rsidR="002C708E" w:rsidRDefault="002C708E" w:rsidP="006E57D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Caterpillars and </w:t>
            </w:r>
            <w:proofErr w:type="spellStart"/>
            <w:r>
              <w:rPr>
                <w:sz w:val="20"/>
                <w:szCs w:val="20"/>
              </w:rPr>
              <w:t>butterlies</w:t>
            </w:r>
            <w:proofErr w:type="spellEnd"/>
            <w:r>
              <w:rPr>
                <w:sz w:val="20"/>
                <w:szCs w:val="20"/>
              </w:rPr>
              <w:t xml:space="preserve"> are different animals </w:t>
            </w:r>
          </w:p>
          <w:p w:rsidR="002C708E" w:rsidRPr="008120D2" w:rsidRDefault="002C708E" w:rsidP="006E57DB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BD39AA" w:rsidRPr="002177A8" w:rsidRDefault="004F2753">
      <w:pPr>
        <w:rPr>
          <w:sz w:val="20"/>
          <w:szCs w:val="20"/>
        </w:rPr>
      </w:pPr>
    </w:p>
    <w:sectPr w:rsidR="00BD39AA" w:rsidRPr="002177A8" w:rsidSect="004079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</w:t>
    </w:r>
    <w:r w:rsidR="00402282">
      <w:rPr>
        <w:sz w:val="28"/>
        <w:szCs w:val="28"/>
      </w:rPr>
      <w:t>Science</w:t>
    </w:r>
    <w:r w:rsidRPr="004079DE">
      <w:rPr>
        <w:sz w:val="28"/>
        <w:szCs w:val="28"/>
      </w:rPr>
      <w:t xml:space="preserve"> Unit </w:t>
    </w:r>
    <w:r w:rsidR="00E061BE">
      <w:rPr>
        <w:sz w:val="28"/>
        <w:szCs w:val="28"/>
      </w:rPr>
      <w:t xml:space="preserve">4 </w:t>
    </w:r>
    <w:r w:rsidR="00402282">
      <w:rPr>
        <w:sz w:val="28"/>
        <w:szCs w:val="28"/>
      </w:rPr>
      <w:t xml:space="preserve">EYFS </w:t>
    </w:r>
    <w:r w:rsidRPr="004079DE">
      <w:rPr>
        <w:sz w:val="28"/>
        <w:szCs w:val="28"/>
      </w:rPr>
      <w:t>Planner</w:t>
    </w:r>
    <w:r>
      <w:rPr>
        <w:sz w:val="28"/>
        <w:szCs w:val="28"/>
      </w:rPr>
      <w:t xml:space="preserve"> </w:t>
    </w:r>
    <w:r w:rsidR="00E061BE">
      <w:rPr>
        <w:sz w:val="28"/>
        <w:szCs w:val="28"/>
      </w:rPr>
      <w:t xml:space="preserve">-The Circle of Life 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9B0"/>
    <w:multiLevelType w:val="hybridMultilevel"/>
    <w:tmpl w:val="5B5A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2D3"/>
    <w:multiLevelType w:val="hybridMultilevel"/>
    <w:tmpl w:val="B87E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2E6B"/>
    <w:multiLevelType w:val="hybridMultilevel"/>
    <w:tmpl w:val="E0300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94401"/>
    <w:multiLevelType w:val="hybridMultilevel"/>
    <w:tmpl w:val="0D049938"/>
    <w:lvl w:ilvl="0" w:tplc="BC4A0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2C74"/>
    <w:multiLevelType w:val="hybridMultilevel"/>
    <w:tmpl w:val="461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DE"/>
    <w:rsid w:val="000163E5"/>
    <w:rsid w:val="00067367"/>
    <w:rsid w:val="00090512"/>
    <w:rsid w:val="000C343D"/>
    <w:rsid w:val="000D36A1"/>
    <w:rsid w:val="00104C8E"/>
    <w:rsid w:val="0015445A"/>
    <w:rsid w:val="00171D36"/>
    <w:rsid w:val="002051A6"/>
    <w:rsid w:val="00212BCA"/>
    <w:rsid w:val="002177A8"/>
    <w:rsid w:val="00221251"/>
    <w:rsid w:val="002C708E"/>
    <w:rsid w:val="002E1F42"/>
    <w:rsid w:val="003211CB"/>
    <w:rsid w:val="003674D9"/>
    <w:rsid w:val="00376547"/>
    <w:rsid w:val="003B26C5"/>
    <w:rsid w:val="00402282"/>
    <w:rsid w:val="004079DE"/>
    <w:rsid w:val="00430705"/>
    <w:rsid w:val="00433364"/>
    <w:rsid w:val="004F2753"/>
    <w:rsid w:val="00527D0B"/>
    <w:rsid w:val="005D394F"/>
    <w:rsid w:val="005F0D37"/>
    <w:rsid w:val="00651977"/>
    <w:rsid w:val="00681E9F"/>
    <w:rsid w:val="0068743D"/>
    <w:rsid w:val="0069186E"/>
    <w:rsid w:val="006C22E3"/>
    <w:rsid w:val="006E57DB"/>
    <w:rsid w:val="00703DE4"/>
    <w:rsid w:val="00794CA6"/>
    <w:rsid w:val="007F54B1"/>
    <w:rsid w:val="008077B0"/>
    <w:rsid w:val="008120D2"/>
    <w:rsid w:val="00825242"/>
    <w:rsid w:val="00851160"/>
    <w:rsid w:val="008C1AB4"/>
    <w:rsid w:val="00A56F58"/>
    <w:rsid w:val="00A81E4E"/>
    <w:rsid w:val="00AA13DC"/>
    <w:rsid w:val="00AD5CC7"/>
    <w:rsid w:val="00B555ED"/>
    <w:rsid w:val="00B62ABF"/>
    <w:rsid w:val="00BE0539"/>
    <w:rsid w:val="00C71037"/>
    <w:rsid w:val="00C81BE2"/>
    <w:rsid w:val="00CC3E89"/>
    <w:rsid w:val="00D20094"/>
    <w:rsid w:val="00E05F9C"/>
    <w:rsid w:val="00E061BE"/>
    <w:rsid w:val="00E80167"/>
    <w:rsid w:val="00EB782A"/>
    <w:rsid w:val="00EC2662"/>
    <w:rsid w:val="00F46409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93C8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  <w:style w:type="paragraph" w:styleId="NoSpacing">
    <w:name w:val="No Spacing"/>
    <w:uiPriority w:val="1"/>
    <w:qFormat/>
    <w:rsid w:val="00154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5375E365-4887-4D8D-8402-F22EE92FC0C2}"/>
</file>

<file path=customXml/itemProps2.xml><?xml version="1.0" encoding="utf-8"?>
<ds:datastoreItem xmlns:ds="http://schemas.openxmlformats.org/officeDocument/2006/customXml" ds:itemID="{0D354969-D609-4F64-B384-CC70F4ABA00E}"/>
</file>

<file path=customXml/itemProps3.xml><?xml version="1.0" encoding="utf-8"?>
<ds:datastoreItem xmlns:ds="http://schemas.openxmlformats.org/officeDocument/2006/customXml" ds:itemID="{252FC48E-6D51-4046-A182-7CD41F908A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Sheridan, Kayleigh</cp:lastModifiedBy>
  <cp:revision>5</cp:revision>
  <dcterms:created xsi:type="dcterms:W3CDTF">2022-12-06T19:43:00Z</dcterms:created>
  <dcterms:modified xsi:type="dcterms:W3CDTF">2023-01-10T13:23:00Z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13639600</vt:r8>
  </property>
</Properties>
</file>