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1272" w:rsidR="00E722CE" w:rsidP="240CC84B" w:rsidRDefault="1FF93F39" w14:paraId="26D8AB2D" w14:textId="28B98AB1">
      <w:pPr>
        <w:rPr>
          <w:rFonts w:ascii="Calibri Light" w:hAnsi="Calibri Light" w:eastAsia="Calibri" w:cs="Calibri Light" w:asciiTheme="majorAscii" w:hAnsiTheme="majorAscii" w:cstheme="majorAscii"/>
          <w:color w:val="000000" w:themeColor="text1"/>
          <w:sz w:val="26"/>
          <w:szCs w:val="26"/>
        </w:rPr>
      </w:pPr>
      <w:r w:rsidRPr="240CC84B" w:rsidR="1FF93F39">
        <w:rPr>
          <w:rFonts w:ascii="Calibri Light" w:hAnsi="Calibri Light" w:eastAsia="Calibri" w:cs="Calibri Light" w:asciiTheme="majorAscii" w:hAnsiTheme="majorAscii" w:cstheme="majorAscii"/>
          <w:b w:val="1"/>
          <w:bCs w:val="1"/>
          <w:color w:val="000000" w:themeColor="text1" w:themeTint="FF" w:themeShade="FF"/>
          <w:sz w:val="26"/>
          <w:szCs w:val="26"/>
          <w:u w:val="single"/>
          <w:lang w:val="en-GB"/>
        </w:rPr>
        <w:t xml:space="preserve">Year 7 Independent Home learning ‘Quarantine Pack’ </w:t>
      </w:r>
      <w:r w:rsidRPr="240CC84B" w:rsidR="2CCCEE39">
        <w:rPr>
          <w:rFonts w:ascii="Calibri Light" w:hAnsi="Calibri Light" w:eastAsia="Calibri" w:cs="Calibri Light" w:asciiTheme="majorAscii" w:hAnsiTheme="majorAscii" w:cstheme="majorAscii"/>
          <w:b w:val="1"/>
          <w:bCs w:val="1"/>
          <w:color w:val="000000" w:themeColor="text1" w:themeTint="FF" w:themeShade="FF"/>
          <w:sz w:val="26"/>
          <w:szCs w:val="26"/>
          <w:u w:val="single"/>
          <w:lang w:val="en-GB"/>
        </w:rPr>
        <w:t>Spring</w:t>
      </w:r>
      <w:r w:rsidRPr="240CC84B" w:rsidR="1FF93F39">
        <w:rPr>
          <w:rFonts w:ascii="Calibri Light" w:hAnsi="Calibri Light" w:eastAsia="Calibri" w:cs="Calibri Light" w:asciiTheme="majorAscii" w:hAnsiTheme="majorAscii" w:cstheme="majorAscii"/>
          <w:b w:val="1"/>
          <w:bCs w:val="1"/>
          <w:color w:val="000000" w:themeColor="text1" w:themeTint="FF" w:themeShade="FF"/>
          <w:sz w:val="26"/>
          <w:szCs w:val="26"/>
          <w:u w:val="single"/>
          <w:lang w:val="en-GB"/>
        </w:rPr>
        <w:t xml:space="preserve"> 2</w:t>
      </w:r>
      <w:r w:rsidRPr="240CC84B" w:rsidR="3EB73AF0">
        <w:rPr>
          <w:rFonts w:ascii="Calibri Light" w:hAnsi="Calibri Light" w:eastAsia="Calibri" w:cs="Calibri Light" w:asciiTheme="majorAscii" w:hAnsiTheme="majorAscii" w:cstheme="majorAscii"/>
          <w:b w:val="1"/>
          <w:bCs w:val="1"/>
          <w:color w:val="000000" w:themeColor="text1" w:themeTint="FF" w:themeShade="FF"/>
          <w:sz w:val="26"/>
          <w:szCs w:val="26"/>
          <w:u w:val="single"/>
          <w:lang w:val="en-GB"/>
        </w:rPr>
        <w:t xml:space="preserve"> </w:t>
      </w:r>
    </w:p>
    <w:p w:rsidRPr="00441272" w:rsidR="00E722CE" w:rsidP="0A1BEDD7" w:rsidRDefault="1FF93F39" w14:paraId="4430101D" w14:textId="19EB6FAD">
      <w:pPr>
        <w:rPr>
          <w:rFonts w:eastAsia="Calibri" w:asciiTheme="majorHAnsi" w:hAnsiTheme="majorHAnsi" w:cstheme="majorHAnsi"/>
          <w:color w:val="000000" w:themeColor="text1"/>
          <w:sz w:val="26"/>
          <w:szCs w:val="26"/>
        </w:rPr>
      </w:pPr>
      <w:r w:rsidRPr="00441272">
        <w:rPr>
          <w:rFonts w:eastAsia="Calibri" w:asciiTheme="majorHAnsi" w:hAnsiTheme="majorHAnsi" w:cstheme="majorHAnsi"/>
          <w:color w:val="000000" w:themeColor="text1"/>
          <w:sz w:val="26"/>
          <w:szCs w:val="26"/>
          <w:lang w:val="en-GB"/>
        </w:rPr>
        <w:t>This document is intended to give instruction and links to work that pupils can complete independently whilst under quarantine due to COVID-19 or for any other reason that pupils are on extended absence from school.  It outlines the work that pupils would normally engage with in school and provides links to sources where they can keep up, catch up and potentially move ahead in preparation for their return to school.</w:t>
      </w:r>
    </w:p>
    <w:p w:rsidRPr="00441272" w:rsidR="0032470B" w:rsidP="0A1BEDD7" w:rsidRDefault="0032470B" w14:paraId="36370D80" w14:textId="77777777">
      <w:pPr>
        <w:rPr>
          <w:rFonts w:eastAsia="Calibri" w:asciiTheme="majorHAnsi" w:hAnsiTheme="majorHAnsi" w:cstheme="majorHAnsi"/>
          <w:color w:val="000000" w:themeColor="text1"/>
          <w:sz w:val="26"/>
          <w:szCs w:val="26"/>
          <w:lang w:val="en-GB"/>
        </w:rPr>
      </w:pPr>
    </w:p>
    <w:p w:rsidRPr="00441272" w:rsidR="00E722CE" w:rsidP="240CC84B" w:rsidRDefault="1FF93F39" w14:paraId="1C4C7331" w14:textId="05B0E3D0">
      <w:pPr>
        <w:rPr>
          <w:rFonts w:ascii="Calibri Light" w:hAnsi="Calibri Light" w:eastAsia="Calibri" w:cs="Calibri Light" w:asciiTheme="majorAscii" w:hAnsiTheme="majorAscii" w:cstheme="majorAscii"/>
          <w:color w:val="000000" w:themeColor="text1"/>
          <w:sz w:val="26"/>
          <w:szCs w:val="26"/>
        </w:rPr>
      </w:pPr>
      <w:r w:rsidRPr="240CC84B" w:rsidR="1FF93F39">
        <w:rPr>
          <w:rFonts w:ascii="Calibri Light" w:hAnsi="Calibri Light" w:eastAsia="Calibri" w:cs="Calibri Light" w:asciiTheme="majorAscii" w:hAnsiTheme="majorAscii" w:cstheme="majorAscii"/>
          <w:b w:val="1"/>
          <w:bCs w:val="1"/>
          <w:color w:val="FF0000"/>
          <w:sz w:val="26"/>
          <w:szCs w:val="26"/>
          <w:u w:val="single"/>
          <w:lang w:val="en-GB"/>
        </w:rPr>
        <w:t xml:space="preserve">The topic for Year </w:t>
      </w:r>
      <w:r w:rsidRPr="240CC84B" w:rsidR="78B7659B">
        <w:rPr>
          <w:rFonts w:ascii="Calibri Light" w:hAnsi="Calibri Light" w:eastAsia="Calibri" w:cs="Calibri Light" w:asciiTheme="majorAscii" w:hAnsiTheme="majorAscii" w:cstheme="majorAscii"/>
          <w:b w:val="1"/>
          <w:bCs w:val="1"/>
          <w:color w:val="FF0000"/>
          <w:sz w:val="26"/>
          <w:szCs w:val="26"/>
          <w:u w:val="single"/>
          <w:lang w:val="en-GB"/>
        </w:rPr>
        <w:t xml:space="preserve">7 </w:t>
      </w:r>
      <w:r w:rsidRPr="240CC84B" w:rsidR="1FF93F39">
        <w:rPr>
          <w:rFonts w:ascii="Calibri Light" w:hAnsi="Calibri Light" w:eastAsia="Calibri" w:cs="Calibri Light" w:asciiTheme="majorAscii" w:hAnsiTheme="majorAscii" w:cstheme="majorAscii"/>
          <w:b w:val="1"/>
          <w:bCs w:val="1"/>
          <w:color w:val="FF0000"/>
          <w:sz w:val="26"/>
          <w:szCs w:val="26"/>
          <w:u w:val="single"/>
          <w:lang w:val="en-GB"/>
        </w:rPr>
        <w:t xml:space="preserve">in </w:t>
      </w:r>
      <w:r w:rsidRPr="240CC84B" w:rsidR="007F298F">
        <w:rPr>
          <w:rFonts w:ascii="Calibri Light" w:hAnsi="Calibri Light" w:eastAsia="Calibri" w:cs="Calibri Light" w:asciiTheme="majorAscii" w:hAnsiTheme="majorAscii" w:cstheme="majorAscii"/>
          <w:b w:val="1"/>
          <w:bCs w:val="1"/>
          <w:color w:val="FF0000"/>
          <w:sz w:val="26"/>
          <w:szCs w:val="26"/>
          <w:u w:val="single"/>
          <w:lang w:val="en-GB"/>
        </w:rPr>
        <w:t xml:space="preserve">spring </w:t>
      </w:r>
      <w:r w:rsidRPr="240CC84B" w:rsidR="06DA591B">
        <w:rPr>
          <w:rFonts w:ascii="Calibri Light" w:hAnsi="Calibri Light" w:eastAsia="Calibri" w:cs="Calibri Light" w:asciiTheme="majorAscii" w:hAnsiTheme="majorAscii" w:cstheme="majorAscii"/>
          <w:b w:val="1"/>
          <w:bCs w:val="1"/>
          <w:color w:val="FF0000"/>
          <w:sz w:val="26"/>
          <w:szCs w:val="26"/>
          <w:u w:val="single"/>
          <w:lang w:val="en-GB"/>
        </w:rPr>
        <w:t>2</w:t>
      </w:r>
      <w:r w:rsidRPr="240CC84B" w:rsidR="007F298F">
        <w:rPr>
          <w:rFonts w:ascii="Calibri Light" w:hAnsi="Calibri Light" w:eastAsia="Calibri" w:cs="Calibri Light" w:asciiTheme="majorAscii" w:hAnsiTheme="majorAscii" w:cstheme="majorAscii"/>
          <w:b w:val="1"/>
          <w:bCs w:val="1"/>
          <w:color w:val="FF0000"/>
          <w:sz w:val="26"/>
          <w:szCs w:val="26"/>
          <w:u w:val="single"/>
          <w:lang w:val="en-GB"/>
        </w:rPr>
        <w:t xml:space="preserve"> is</w:t>
      </w:r>
      <w:r w:rsidRPr="240CC84B" w:rsidR="009D613A">
        <w:rPr>
          <w:rFonts w:ascii="Calibri Light" w:hAnsi="Calibri Light" w:eastAsia="Calibri" w:cs="Calibri Light" w:asciiTheme="majorAscii" w:hAnsiTheme="majorAscii" w:cstheme="majorAscii"/>
          <w:b w:val="1"/>
          <w:bCs w:val="1"/>
          <w:color w:val="FF0000"/>
          <w:sz w:val="26"/>
          <w:szCs w:val="26"/>
          <w:u w:val="single"/>
          <w:lang w:val="en-GB"/>
        </w:rPr>
        <w:t xml:space="preserve"> Rivers and</w:t>
      </w:r>
      <w:r w:rsidRPr="240CC84B" w:rsidR="007F298F">
        <w:rPr>
          <w:rFonts w:ascii="Calibri Light" w:hAnsi="Calibri Light" w:eastAsia="Calibri" w:cs="Calibri Light" w:asciiTheme="majorAscii" w:hAnsiTheme="majorAscii" w:cstheme="majorAscii"/>
          <w:b w:val="1"/>
          <w:bCs w:val="1"/>
          <w:color w:val="FF0000"/>
          <w:sz w:val="26"/>
          <w:szCs w:val="26"/>
          <w:u w:val="single"/>
          <w:lang w:val="en-GB"/>
        </w:rPr>
        <w:t xml:space="preserve"> </w:t>
      </w:r>
      <w:r w:rsidRPr="240CC84B" w:rsidR="009D613A">
        <w:rPr>
          <w:rFonts w:ascii="Calibri Light" w:hAnsi="Calibri Light" w:eastAsia="Calibri" w:cs="Calibri Light" w:asciiTheme="majorAscii" w:hAnsiTheme="majorAscii" w:cstheme="majorAscii"/>
          <w:b w:val="1"/>
          <w:bCs w:val="1"/>
          <w:color w:val="FF0000"/>
          <w:sz w:val="26"/>
          <w:szCs w:val="26"/>
          <w:u w:val="single"/>
          <w:lang w:val="en-GB"/>
        </w:rPr>
        <w:t>Flooding.</w:t>
      </w:r>
      <w:r w:rsidRPr="240CC84B" w:rsidR="0032470B">
        <w:rPr>
          <w:rFonts w:ascii="Calibri Light" w:hAnsi="Calibri Light" w:eastAsia="Calibri" w:cs="Calibri Light" w:asciiTheme="majorAscii" w:hAnsiTheme="majorAscii" w:cstheme="majorAscii"/>
          <w:b w:val="1"/>
          <w:bCs w:val="1"/>
          <w:color w:val="FF0000"/>
          <w:sz w:val="26"/>
          <w:szCs w:val="26"/>
          <w:u w:val="single"/>
          <w:lang w:val="en-GB"/>
        </w:rPr>
        <w:t xml:space="preserve"> </w:t>
      </w:r>
      <w:r w:rsidRPr="240CC84B" w:rsidR="1FF93F39">
        <w:rPr>
          <w:rFonts w:ascii="Calibri Light" w:hAnsi="Calibri Light" w:eastAsia="Calibri" w:cs="Calibri Light" w:asciiTheme="majorAscii" w:hAnsiTheme="majorAscii" w:cstheme="majorAscii"/>
          <w:color w:val="000000" w:themeColor="text1" w:themeTint="FF" w:themeShade="FF"/>
          <w:sz w:val="26"/>
          <w:szCs w:val="26"/>
          <w:lang w:val="en-GB"/>
        </w:rPr>
        <w:t xml:space="preserve">  Watch the videos, participate in the quizzes and tasks within the lessons.  Look at the lesson content below and select the lessons that you need to catch up with, or haven’t yet done.  They are in the order of content that we would move through the topic.</w:t>
      </w:r>
    </w:p>
    <w:p w:rsidRPr="00441272" w:rsidR="00E722CE" w:rsidP="0A1BEDD7" w:rsidRDefault="00E722CE" w14:paraId="14E7C552" w14:textId="6BD4DBCA">
      <w:pPr>
        <w:rPr>
          <w:rFonts w:eastAsia="Calibri" w:asciiTheme="majorHAnsi" w:hAnsiTheme="majorHAnsi" w:cstheme="majorHAnsi"/>
          <w:color w:val="000000" w:themeColor="text1"/>
          <w:sz w:val="26"/>
          <w:szCs w:val="26"/>
        </w:rPr>
      </w:pPr>
    </w:p>
    <w:tbl>
      <w:tblPr>
        <w:tblStyle w:val="TableGrid"/>
        <w:tblW w:w="9360" w:type="dxa"/>
        <w:tblLayout w:type="fixed"/>
        <w:tblLook w:val="04A0" w:firstRow="1" w:lastRow="0" w:firstColumn="1" w:lastColumn="0" w:noHBand="0" w:noVBand="1"/>
      </w:tblPr>
      <w:tblGrid>
        <w:gridCol w:w="4680"/>
        <w:gridCol w:w="4680"/>
      </w:tblGrid>
      <w:tr w:rsidRPr="00441272" w:rsidR="0A1BEDD7" w:rsidTr="240CC84B" w14:paraId="4A6C276A" w14:textId="77777777">
        <w:tc>
          <w:tcPr>
            <w:tcW w:w="4680" w:type="dxa"/>
            <w:tcMar/>
          </w:tcPr>
          <w:p w:rsidRPr="00441272" w:rsidR="0A1BEDD7" w:rsidP="0A1BEDD7" w:rsidRDefault="0A1BEDD7" w14:paraId="0EAC6F11" w14:textId="3CFEBA58">
            <w:pPr>
              <w:spacing w:line="259" w:lineRule="auto"/>
              <w:rPr>
                <w:rFonts w:eastAsia="Calibri" w:asciiTheme="majorHAnsi" w:hAnsiTheme="majorHAnsi" w:cstheme="majorHAnsi"/>
                <w:sz w:val="26"/>
                <w:szCs w:val="26"/>
              </w:rPr>
            </w:pPr>
            <w:r w:rsidRPr="00441272">
              <w:rPr>
                <w:rFonts w:eastAsia="Calibri" w:asciiTheme="majorHAnsi" w:hAnsiTheme="majorHAnsi" w:cstheme="majorHAnsi"/>
                <w:sz w:val="26"/>
                <w:szCs w:val="26"/>
                <w:lang w:val="en-GB"/>
              </w:rPr>
              <w:t>Key content</w:t>
            </w:r>
          </w:p>
        </w:tc>
        <w:tc>
          <w:tcPr>
            <w:tcW w:w="4680" w:type="dxa"/>
            <w:tcMar/>
          </w:tcPr>
          <w:p w:rsidRPr="00441272" w:rsidR="0A1BEDD7" w:rsidP="0A1BEDD7" w:rsidRDefault="0A1BEDD7" w14:paraId="5A7494E2" w14:textId="054659FA">
            <w:pPr>
              <w:spacing w:line="259" w:lineRule="auto"/>
              <w:rPr>
                <w:rFonts w:eastAsia="Calibri" w:asciiTheme="majorHAnsi" w:hAnsiTheme="majorHAnsi" w:cstheme="majorHAnsi"/>
                <w:sz w:val="26"/>
                <w:szCs w:val="26"/>
              </w:rPr>
            </w:pPr>
            <w:r w:rsidRPr="00441272">
              <w:rPr>
                <w:rFonts w:eastAsia="Calibri" w:asciiTheme="majorHAnsi" w:hAnsiTheme="majorHAnsi" w:cstheme="majorHAnsi"/>
                <w:sz w:val="26"/>
                <w:szCs w:val="26"/>
                <w:lang w:val="en-GB"/>
              </w:rPr>
              <w:t>Source of information</w:t>
            </w:r>
          </w:p>
        </w:tc>
      </w:tr>
      <w:tr w:rsidRPr="00441272" w:rsidR="0A1BEDD7" w:rsidTr="240CC84B" w14:paraId="7CAD35E8" w14:textId="77777777">
        <w:tc>
          <w:tcPr>
            <w:tcW w:w="4680" w:type="dxa"/>
            <w:tcMar/>
          </w:tcPr>
          <w:p w:rsidRPr="00441272" w:rsidR="0B855846" w:rsidP="0A1BEDD7" w:rsidRDefault="00441272" w14:paraId="3F048E36" w14:textId="3C80CACD">
            <w:pPr>
              <w:spacing w:line="259" w:lineRule="auto"/>
              <w:rPr>
                <w:rFonts w:eastAsia="Calibri" w:asciiTheme="majorHAnsi" w:hAnsiTheme="majorHAnsi" w:cstheme="majorHAnsi"/>
                <w:sz w:val="26"/>
                <w:szCs w:val="26"/>
                <w:lang w:val="en-GB"/>
              </w:rPr>
            </w:pPr>
            <w:r w:rsidRPr="00441272">
              <w:rPr>
                <w:rFonts w:eastAsia="Calibri" w:asciiTheme="majorHAnsi" w:hAnsiTheme="majorHAnsi" w:cstheme="majorHAnsi"/>
                <w:sz w:val="26"/>
                <w:szCs w:val="26"/>
                <w:lang w:val="en-GB"/>
              </w:rPr>
              <w:t xml:space="preserve">L4: </w:t>
            </w:r>
            <w:r w:rsidRPr="00441272" w:rsidR="0032470B">
              <w:rPr>
                <w:rFonts w:eastAsia="Calibri" w:asciiTheme="majorHAnsi" w:hAnsiTheme="majorHAnsi" w:cstheme="majorHAnsi"/>
                <w:sz w:val="26"/>
                <w:szCs w:val="26"/>
                <w:lang w:val="en-GB"/>
              </w:rPr>
              <w:t>What are the causes of flooding</w:t>
            </w:r>
            <w:bookmarkStart w:name="_GoBack" w:id="0"/>
            <w:bookmarkEnd w:id="0"/>
          </w:p>
        </w:tc>
        <w:tc>
          <w:tcPr>
            <w:tcW w:w="4680" w:type="dxa"/>
            <w:tcMar/>
          </w:tcPr>
          <w:p w:rsidRPr="00441272" w:rsidR="0B855846" w:rsidP="0A1BEDD7" w:rsidRDefault="0032470B" w14:paraId="143DD56B" w14:textId="59C1A97B">
            <w:pPr>
              <w:spacing w:line="259" w:lineRule="auto"/>
              <w:rPr>
                <w:rFonts w:eastAsia="Open Sans" w:asciiTheme="majorHAnsi" w:hAnsiTheme="majorHAnsi" w:cstheme="majorHAnsi"/>
                <w:sz w:val="26"/>
                <w:szCs w:val="26"/>
                <w:lang w:val="en-GB"/>
              </w:rPr>
            </w:pPr>
            <w:hyperlink w:history="1" r:id="rId4">
              <w:r w:rsidRPr="00441272">
                <w:rPr>
                  <w:rStyle w:val="Hyperlink"/>
                  <w:rFonts w:eastAsia="Open Sans" w:asciiTheme="majorHAnsi" w:hAnsiTheme="majorHAnsi" w:cstheme="majorHAnsi"/>
                  <w:sz w:val="26"/>
                  <w:szCs w:val="26"/>
                  <w:lang w:val="en-GB"/>
                </w:rPr>
                <w:t>https://classroom.thenational.academy/lessons/what-are-the-causes-of-flooding-within-drainage-basins-6rup8d</w:t>
              </w:r>
            </w:hyperlink>
          </w:p>
          <w:p w:rsidRPr="00441272" w:rsidR="0032470B" w:rsidP="0A1BEDD7" w:rsidRDefault="0032470B" w14:paraId="50CF3390" w14:textId="77777777">
            <w:pPr>
              <w:spacing w:line="259" w:lineRule="auto"/>
              <w:rPr>
                <w:rFonts w:eastAsia="Open Sans" w:asciiTheme="majorHAnsi" w:hAnsiTheme="majorHAnsi" w:cstheme="majorHAnsi"/>
                <w:sz w:val="26"/>
                <w:szCs w:val="26"/>
                <w:lang w:val="en-GB"/>
              </w:rPr>
            </w:pPr>
          </w:p>
          <w:p w:rsidRPr="00441272" w:rsidR="0A1BEDD7" w:rsidP="0A1BEDD7" w:rsidRDefault="0A1BEDD7" w14:paraId="503F89F7" w14:textId="4FA71BC7">
            <w:pPr>
              <w:spacing w:line="259" w:lineRule="auto"/>
              <w:rPr>
                <w:rFonts w:eastAsia="Open Sans" w:asciiTheme="majorHAnsi" w:hAnsiTheme="majorHAnsi" w:cstheme="majorHAnsi"/>
                <w:sz w:val="26"/>
                <w:szCs w:val="26"/>
                <w:lang w:val="en-GB"/>
              </w:rPr>
            </w:pPr>
          </w:p>
          <w:p w:rsidRPr="00441272" w:rsidR="0A1BEDD7" w:rsidP="0A1BEDD7" w:rsidRDefault="0A1BEDD7" w14:paraId="14578C04" w14:textId="21961773">
            <w:pPr>
              <w:spacing w:line="259" w:lineRule="auto"/>
              <w:rPr>
                <w:rFonts w:eastAsia="Open Sans" w:asciiTheme="majorHAnsi" w:hAnsiTheme="majorHAnsi" w:cstheme="majorHAnsi"/>
                <w:sz w:val="26"/>
                <w:szCs w:val="26"/>
                <w:lang w:val="en-GB"/>
              </w:rPr>
            </w:pPr>
          </w:p>
        </w:tc>
      </w:tr>
      <w:tr w:rsidRPr="00441272" w:rsidR="0A1BEDD7" w:rsidTr="240CC84B" w14:paraId="0E334123" w14:textId="77777777">
        <w:tc>
          <w:tcPr>
            <w:tcW w:w="4680" w:type="dxa"/>
            <w:tcMar/>
          </w:tcPr>
          <w:p w:rsidRPr="00441272" w:rsidR="2683D415" w:rsidP="0A1BEDD7" w:rsidRDefault="00441272" w14:paraId="2799B0C5" w14:textId="6467E4C1">
            <w:pPr>
              <w:spacing w:line="259" w:lineRule="auto"/>
              <w:rPr>
                <w:rFonts w:eastAsia="Calibri" w:asciiTheme="majorHAnsi" w:hAnsiTheme="majorHAnsi" w:cstheme="majorHAnsi"/>
                <w:sz w:val="26"/>
                <w:szCs w:val="26"/>
                <w:lang w:val="en-GB"/>
              </w:rPr>
            </w:pPr>
            <w:r w:rsidRPr="00441272">
              <w:rPr>
                <w:rFonts w:eastAsia="Calibri" w:asciiTheme="majorHAnsi" w:hAnsiTheme="majorHAnsi" w:cstheme="majorHAnsi"/>
                <w:sz w:val="26"/>
                <w:szCs w:val="26"/>
                <w:lang w:val="en-GB"/>
              </w:rPr>
              <w:lastRenderedPageBreak/>
              <w:t xml:space="preserve">L5: </w:t>
            </w:r>
            <w:r w:rsidRPr="00441272" w:rsidR="0032470B">
              <w:rPr>
                <w:rFonts w:eastAsia="Calibri" w:asciiTheme="majorHAnsi" w:hAnsiTheme="majorHAnsi" w:cstheme="majorHAnsi"/>
                <w:sz w:val="26"/>
                <w:szCs w:val="26"/>
                <w:lang w:val="en-GB"/>
              </w:rPr>
              <w:t>How can we manage flood risk</w:t>
            </w:r>
          </w:p>
        </w:tc>
        <w:tc>
          <w:tcPr>
            <w:tcW w:w="4680" w:type="dxa"/>
            <w:tcMar/>
          </w:tcPr>
          <w:p w:rsidRPr="00441272" w:rsidR="2683D415" w:rsidP="0A1BEDD7" w:rsidRDefault="2683D415" w14:paraId="6943711C" w14:textId="3F7B74AB">
            <w:pPr>
              <w:spacing w:line="259" w:lineRule="auto"/>
              <w:rPr>
                <w:rFonts w:eastAsia="Open Sans" w:asciiTheme="majorHAnsi" w:hAnsiTheme="majorHAnsi" w:cstheme="majorHAnsi"/>
                <w:sz w:val="26"/>
                <w:szCs w:val="26"/>
                <w:lang w:val="en-GB"/>
              </w:rPr>
            </w:pPr>
          </w:p>
          <w:p w:rsidRPr="00441272" w:rsidR="0A1BEDD7" w:rsidP="0A1BEDD7" w:rsidRDefault="0032470B" w14:paraId="241CDEA5" w14:textId="116713FB">
            <w:pPr>
              <w:spacing w:line="259" w:lineRule="auto"/>
              <w:rPr>
                <w:rFonts w:eastAsia="Open Sans" w:asciiTheme="majorHAnsi" w:hAnsiTheme="majorHAnsi" w:cstheme="majorHAnsi"/>
                <w:sz w:val="26"/>
                <w:szCs w:val="26"/>
                <w:lang w:val="en-GB"/>
              </w:rPr>
            </w:pPr>
            <w:hyperlink w:history="1" r:id="rId5">
              <w:r w:rsidRPr="00441272">
                <w:rPr>
                  <w:rStyle w:val="Hyperlink"/>
                  <w:rFonts w:eastAsia="Open Sans" w:asciiTheme="majorHAnsi" w:hAnsiTheme="majorHAnsi" w:cstheme="majorHAnsi"/>
                  <w:sz w:val="26"/>
                  <w:szCs w:val="26"/>
                  <w:lang w:val="en-GB"/>
                </w:rPr>
                <w:t>https://classroom.thenational.academy/lessons/how-can-we-manage-the-flood-risk-61h32r</w:t>
              </w:r>
            </w:hyperlink>
          </w:p>
          <w:p w:rsidRPr="00441272" w:rsidR="0032470B" w:rsidP="0A1BEDD7" w:rsidRDefault="0032470B" w14:paraId="56038506" w14:textId="61B97DD2">
            <w:pPr>
              <w:spacing w:line="259" w:lineRule="auto"/>
              <w:rPr>
                <w:rFonts w:eastAsia="Open Sans" w:asciiTheme="majorHAnsi" w:hAnsiTheme="majorHAnsi" w:cstheme="majorHAnsi"/>
                <w:sz w:val="26"/>
                <w:szCs w:val="26"/>
                <w:lang w:val="en-GB"/>
              </w:rPr>
            </w:pPr>
          </w:p>
        </w:tc>
      </w:tr>
      <w:tr w:rsidRPr="00441272" w:rsidR="0032470B" w:rsidTr="240CC84B" w14:paraId="22E91CA1" w14:textId="77777777">
        <w:trPr>
          <w:trHeight w:val="1097"/>
        </w:trPr>
        <w:tc>
          <w:tcPr>
            <w:tcW w:w="4680" w:type="dxa"/>
            <w:tcMar/>
          </w:tcPr>
          <w:p w:rsidRPr="00441272" w:rsidR="0032470B" w:rsidP="0032470B" w:rsidRDefault="00441272" w14:paraId="5C9F0744" w14:textId="186079E4">
            <w:pPr>
              <w:spacing w:line="259" w:lineRule="auto"/>
              <w:rPr>
                <w:rFonts w:eastAsia="Calibri" w:asciiTheme="majorHAnsi" w:hAnsiTheme="majorHAnsi" w:cstheme="majorHAnsi"/>
                <w:sz w:val="26"/>
                <w:szCs w:val="26"/>
                <w:lang w:val="en-GB"/>
              </w:rPr>
            </w:pPr>
            <w:r w:rsidRPr="00441272">
              <w:rPr>
                <w:rFonts w:eastAsia="Calibri" w:asciiTheme="majorHAnsi" w:hAnsiTheme="majorHAnsi" w:cstheme="majorHAnsi"/>
                <w:sz w:val="26"/>
                <w:szCs w:val="26"/>
                <w:lang w:val="en-GB"/>
              </w:rPr>
              <w:t xml:space="preserve">L6: </w:t>
            </w:r>
            <w:r w:rsidRPr="00441272" w:rsidR="0032470B">
              <w:rPr>
                <w:rFonts w:eastAsia="Calibri" w:asciiTheme="majorHAnsi" w:hAnsiTheme="majorHAnsi" w:cstheme="majorHAnsi"/>
                <w:sz w:val="26"/>
                <w:szCs w:val="26"/>
                <w:lang w:val="en-GB"/>
              </w:rPr>
              <w:t>An example of flooding in the UK.</w:t>
            </w:r>
          </w:p>
        </w:tc>
        <w:tc>
          <w:tcPr>
            <w:tcW w:w="4680" w:type="dxa"/>
            <w:tcMar/>
          </w:tcPr>
          <w:p w:rsidRPr="00441272" w:rsidR="0032470B" w:rsidP="0032470B" w:rsidRDefault="0032470B" w14:paraId="1BE2A6D0" w14:textId="77777777">
            <w:pPr>
              <w:spacing w:line="259" w:lineRule="auto"/>
              <w:rPr>
                <w:rFonts w:eastAsia="Calibri" w:asciiTheme="majorHAnsi" w:hAnsiTheme="majorHAnsi" w:cstheme="majorHAnsi"/>
                <w:sz w:val="26"/>
                <w:szCs w:val="26"/>
                <w:lang w:val="en-GB"/>
              </w:rPr>
            </w:pPr>
            <w:hyperlink w:history="1" r:id="rId6">
              <w:r w:rsidRPr="00441272">
                <w:rPr>
                  <w:rStyle w:val="Hyperlink"/>
                  <w:rFonts w:eastAsia="Calibri" w:asciiTheme="majorHAnsi" w:hAnsiTheme="majorHAnsi" w:cstheme="majorHAnsi"/>
                  <w:sz w:val="26"/>
                  <w:szCs w:val="26"/>
                  <w:lang w:val="en-GB"/>
                </w:rPr>
                <w:t>https://classroom.thenational.academy/lessons/an-example-of-a-flood-event-in-the-uk-6wr38d</w:t>
              </w:r>
            </w:hyperlink>
          </w:p>
          <w:p w:rsidRPr="00441272" w:rsidR="0032470B" w:rsidP="0032470B" w:rsidRDefault="0032470B" w14:paraId="68EDC7CD" w14:textId="585DA729">
            <w:pPr>
              <w:spacing w:line="259" w:lineRule="auto"/>
              <w:rPr>
                <w:rFonts w:eastAsia="Open Sans" w:asciiTheme="majorHAnsi" w:hAnsiTheme="majorHAnsi" w:cstheme="majorHAnsi"/>
                <w:sz w:val="26"/>
                <w:szCs w:val="26"/>
                <w:lang w:val="en-GB"/>
              </w:rPr>
            </w:pPr>
          </w:p>
        </w:tc>
      </w:tr>
      <w:tr w:rsidRPr="00441272" w:rsidR="0032470B" w:rsidTr="240CC84B" w14:paraId="4DEBF057" w14:textId="77777777">
        <w:trPr>
          <w:trHeight w:val="1097"/>
        </w:trPr>
        <w:tc>
          <w:tcPr>
            <w:tcW w:w="4680" w:type="dxa"/>
            <w:tcMar/>
          </w:tcPr>
          <w:p w:rsidRPr="00441272" w:rsidR="0032470B" w:rsidP="0032470B" w:rsidRDefault="0032470B" w14:paraId="063944B6" w14:textId="28C9542C">
            <w:pPr>
              <w:rPr>
                <w:rFonts w:eastAsia="Calibri" w:asciiTheme="majorHAnsi" w:hAnsiTheme="majorHAnsi" w:cstheme="majorHAnsi"/>
                <w:sz w:val="26"/>
                <w:szCs w:val="26"/>
                <w:lang w:val="en-GB"/>
              </w:rPr>
            </w:pPr>
            <w:r w:rsidRPr="00441272">
              <w:rPr>
                <w:rFonts w:eastAsia="Calibri" w:asciiTheme="majorHAnsi" w:hAnsiTheme="majorHAnsi" w:cstheme="majorHAnsi"/>
                <w:sz w:val="26"/>
                <w:szCs w:val="26"/>
                <w:lang w:val="en-GB"/>
              </w:rPr>
              <w:t>Flooding in Bangladesh</w:t>
            </w:r>
          </w:p>
        </w:tc>
        <w:tc>
          <w:tcPr>
            <w:tcW w:w="4680" w:type="dxa"/>
            <w:tcMar/>
          </w:tcPr>
          <w:p w:rsidRPr="00441272" w:rsidR="0032470B" w:rsidP="0032470B" w:rsidRDefault="0032470B" w14:paraId="5E0DAE7E" w14:textId="249BA50E">
            <w:pPr>
              <w:rPr>
                <w:rFonts w:eastAsia="Calibri" w:asciiTheme="majorHAnsi" w:hAnsiTheme="majorHAnsi" w:cstheme="majorHAnsi"/>
                <w:sz w:val="26"/>
                <w:szCs w:val="26"/>
                <w:lang w:val="en-GB"/>
              </w:rPr>
            </w:pPr>
            <w:r w:rsidRPr="00441272">
              <w:rPr>
                <w:rFonts w:eastAsia="Calibri" w:asciiTheme="majorHAnsi" w:hAnsiTheme="majorHAnsi" w:cstheme="majorHAnsi"/>
                <w:sz w:val="26"/>
                <w:szCs w:val="26"/>
                <w:lang w:val="en-GB"/>
              </w:rPr>
              <w:t>https://classroom.thenational.academy/lessons/an-example-of-a-flood-event-in-a-developing-country-6wu34d</w:t>
            </w:r>
          </w:p>
        </w:tc>
      </w:tr>
    </w:tbl>
    <w:p w:rsidRPr="00441272" w:rsidR="00E722CE" w:rsidP="0A1BEDD7" w:rsidRDefault="00E722CE" w14:paraId="4B7E553D" w14:textId="20346436">
      <w:pPr>
        <w:rPr>
          <w:rFonts w:eastAsia="Calibri" w:asciiTheme="majorHAnsi" w:hAnsiTheme="majorHAnsi" w:cstheme="majorHAnsi"/>
          <w:color w:val="000000" w:themeColor="text1"/>
          <w:sz w:val="26"/>
          <w:szCs w:val="26"/>
        </w:rPr>
      </w:pPr>
    </w:p>
    <w:p w:rsidRPr="00441272" w:rsidR="00E722CE" w:rsidP="0A1BEDD7" w:rsidRDefault="00E722CE" w14:paraId="2C078E63" w14:textId="542D77BF">
      <w:pPr>
        <w:rPr>
          <w:rFonts w:asciiTheme="majorHAnsi" w:hAnsiTheme="majorHAnsi" w:cstheme="majorHAnsi"/>
          <w:sz w:val="26"/>
          <w:szCs w:val="26"/>
        </w:rPr>
      </w:pPr>
    </w:p>
    <w:sectPr w:rsidRPr="00441272" w:rsidR="00E722C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D37715"/>
    <w:rsid w:val="0032470B"/>
    <w:rsid w:val="00441272"/>
    <w:rsid w:val="007F298F"/>
    <w:rsid w:val="009D613A"/>
    <w:rsid w:val="00A13A7D"/>
    <w:rsid w:val="00C413D0"/>
    <w:rsid w:val="00E722CE"/>
    <w:rsid w:val="0434CE2D"/>
    <w:rsid w:val="044567C0"/>
    <w:rsid w:val="05A66056"/>
    <w:rsid w:val="06DA591B"/>
    <w:rsid w:val="0A1BEDD7"/>
    <w:rsid w:val="0B855846"/>
    <w:rsid w:val="1A061740"/>
    <w:rsid w:val="1DD37715"/>
    <w:rsid w:val="1FF93F39"/>
    <w:rsid w:val="240CC84B"/>
    <w:rsid w:val="25DE41DB"/>
    <w:rsid w:val="2683D415"/>
    <w:rsid w:val="2CCCEE39"/>
    <w:rsid w:val="2FF458BA"/>
    <w:rsid w:val="303922A9"/>
    <w:rsid w:val="30FA58FA"/>
    <w:rsid w:val="323E5611"/>
    <w:rsid w:val="367AD05E"/>
    <w:rsid w:val="3D8EAB78"/>
    <w:rsid w:val="3EB73AF0"/>
    <w:rsid w:val="40B09724"/>
    <w:rsid w:val="41D2DAE8"/>
    <w:rsid w:val="43C929D1"/>
    <w:rsid w:val="5680F468"/>
    <w:rsid w:val="5905D9F9"/>
    <w:rsid w:val="5A9E97C2"/>
    <w:rsid w:val="5EB4983E"/>
    <w:rsid w:val="6506B6E9"/>
    <w:rsid w:val="664617EA"/>
    <w:rsid w:val="72481C2B"/>
    <w:rsid w:val="78B7659B"/>
    <w:rsid w:val="7BA2E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7715"/>
  <w15:chartTrackingRefBased/>
  <w15:docId w15:val="{C278698A-8A6A-4713-9B58-130D201E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32470B"/>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UnresolvedMention">
    <w:name w:val="Unresolved Mention"/>
    <w:basedOn w:val="DefaultParagraphFont"/>
    <w:uiPriority w:val="99"/>
    <w:semiHidden/>
    <w:unhideWhenUsed/>
    <w:rsid w:val="0032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classroom.thenational.academy/lessons/an-example-of-a-flood-event-in-the-uk-6wr38d" TargetMode="External" Id="rId6" /><Relationship Type="http://schemas.openxmlformats.org/officeDocument/2006/relationships/customXml" Target="../customXml/item3.xml" Id="rId11" /><Relationship Type="http://schemas.openxmlformats.org/officeDocument/2006/relationships/hyperlink" Target="https://classroom.thenational.academy/lessons/how-can-we-manage-the-flood-risk-61h32r" TargetMode="External" Id="rId5" /><Relationship Type="http://schemas.openxmlformats.org/officeDocument/2006/relationships/customXml" Target="../customXml/item2.xml" Id="rId10" /><Relationship Type="http://schemas.openxmlformats.org/officeDocument/2006/relationships/hyperlink" Target="https://classroom.thenational.academy/lessons/what-are-the-causes-of-flooding-within-drainage-basins-6rup8d" TargetMode="Externa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ED89A17B-33DB-4FE8-A6E4-207E313B0A62}"/>
</file>

<file path=customXml/itemProps2.xml><?xml version="1.0" encoding="utf-8"?>
<ds:datastoreItem xmlns:ds="http://schemas.openxmlformats.org/officeDocument/2006/customXml" ds:itemID="{E4D5AAD5-F109-45AE-B9FF-3CA98B8BDA5B}"/>
</file>

<file path=customXml/itemProps3.xml><?xml version="1.0" encoding="utf-8"?>
<ds:datastoreItem xmlns:ds="http://schemas.openxmlformats.org/officeDocument/2006/customXml" ds:itemID="{5DFB7AF4-ED05-410C-AD14-4D1D554357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Hughes-Hannah</dc:creator>
  <cp:keywords/>
  <dc:description/>
  <cp:lastModifiedBy>RoyleP</cp:lastModifiedBy>
  <cp:revision>6</cp:revision>
  <dcterms:created xsi:type="dcterms:W3CDTF">2020-12-09T11:58:00Z</dcterms:created>
  <dcterms:modified xsi:type="dcterms:W3CDTF">2021-03-02T10:15:15Z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