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534B18B" w:rsidR="00591832" w:rsidRDefault="004826BA" w:rsidP="00591832">
            <w:pPr>
              <w:jc w:val="both"/>
            </w:pPr>
            <w:r>
              <w:t>8</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68FF4FF9" w:rsidR="00591832" w:rsidRPr="002C489E" w:rsidRDefault="0005008D" w:rsidP="00591832">
            <w:pPr>
              <w:jc w:val="both"/>
              <w:rPr>
                <w:rFonts w:cstheme="minorHAnsi"/>
              </w:rPr>
            </w:pPr>
            <w:r>
              <w:rPr>
                <w:rFonts w:cstheme="minorHAnsi"/>
              </w:rPr>
              <w:t>Coordinates recap</w:t>
            </w:r>
          </w:p>
          <w:p w14:paraId="06AB4344" w14:textId="77777777" w:rsidR="00591832" w:rsidRDefault="00591832" w:rsidP="00591832">
            <w:pPr>
              <w:jc w:val="both"/>
              <w:rPr>
                <w:rFonts w:cstheme="minorHAnsi"/>
              </w:rPr>
            </w:pPr>
          </w:p>
          <w:p w14:paraId="25DB641F" w14:textId="7CC45BE8" w:rsidR="004826BA" w:rsidRPr="002C489E" w:rsidRDefault="0005008D" w:rsidP="00591832">
            <w:pPr>
              <w:jc w:val="both"/>
              <w:rPr>
                <w:rFonts w:cstheme="minorHAnsi"/>
              </w:rPr>
            </w:pPr>
            <w:hyperlink r:id="rId10" w:history="1">
              <w:r w:rsidRPr="00DB4544">
                <w:rPr>
                  <w:rStyle w:val="Hyperlink"/>
                  <w:rFonts w:ascii="Open Sans" w:hAnsi="Open Sans" w:cs="Open Sans"/>
                  <w:sz w:val="18"/>
                  <w:szCs w:val="18"/>
                </w:rPr>
                <w:t>https://classroom.thenational.academy/lessons/coordinates-recap-6tjk6r</w:t>
              </w:r>
            </w:hyperlink>
            <w:r>
              <w:rPr>
                <w:rFonts w:ascii="Open Sans" w:hAnsi="Open Sans" w:cs="Open Sans"/>
                <w:color w:val="434343"/>
                <w:sz w:val="18"/>
                <w:szCs w:val="18"/>
              </w:rP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17BDD6CE" w:rsidR="00591832" w:rsidRPr="002C489E" w:rsidRDefault="0005008D" w:rsidP="002C489E">
            <w:pPr>
              <w:tabs>
                <w:tab w:val="left" w:pos="5085"/>
              </w:tabs>
              <w:jc w:val="both"/>
              <w:rPr>
                <w:rFonts w:cstheme="minorHAnsi"/>
              </w:rPr>
            </w:pPr>
            <w:r>
              <w:rPr>
                <w:rFonts w:cstheme="minorHAnsi"/>
              </w:rPr>
              <w:t>Horizontal and vertical lines</w:t>
            </w:r>
          </w:p>
          <w:p w14:paraId="1DA86F1D" w14:textId="77777777" w:rsidR="002C489E" w:rsidRPr="002C489E" w:rsidRDefault="002C489E" w:rsidP="00591832">
            <w:pPr>
              <w:jc w:val="both"/>
              <w:rPr>
                <w:rFonts w:cstheme="minorHAnsi"/>
              </w:rPr>
            </w:pPr>
          </w:p>
          <w:p w14:paraId="28AB0A4E" w14:textId="6C0E2F8D" w:rsidR="00591832" w:rsidRPr="002C489E" w:rsidRDefault="0005008D" w:rsidP="00591832">
            <w:pPr>
              <w:jc w:val="both"/>
              <w:rPr>
                <w:rFonts w:cstheme="minorHAnsi"/>
              </w:rPr>
            </w:pPr>
            <w:hyperlink r:id="rId11" w:history="1">
              <w:r w:rsidRPr="00DB4544">
                <w:rPr>
                  <w:rStyle w:val="Hyperlink"/>
                  <w:rFonts w:ascii="Open Sans" w:hAnsi="Open Sans" w:cs="Open Sans"/>
                  <w:sz w:val="18"/>
                  <w:szCs w:val="18"/>
                </w:rPr>
                <w:t>https://classroom.thenational.academy/lessons/horizontal-and-vertical-lines-60u3ac</w:t>
              </w:r>
            </w:hyperlink>
            <w:r>
              <w:rPr>
                <w:rFonts w:ascii="Open Sans" w:hAnsi="Open Sans" w:cs="Open Sans"/>
                <w:color w:val="434343"/>
                <w:sz w:val="18"/>
                <w:szCs w:val="18"/>
              </w:rPr>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3BD2644A" w:rsidR="00591832" w:rsidRPr="002C489E" w:rsidRDefault="0005008D" w:rsidP="00591832">
            <w:pPr>
              <w:jc w:val="both"/>
              <w:rPr>
                <w:rFonts w:cstheme="minorHAnsi"/>
              </w:rPr>
            </w:pPr>
            <w:r>
              <w:rPr>
                <w:rFonts w:cstheme="minorHAnsi"/>
              </w:rPr>
              <w:t>Inequalities</w:t>
            </w:r>
          </w:p>
          <w:p w14:paraId="36D7FE21" w14:textId="77777777" w:rsidR="00591832" w:rsidRPr="002C489E" w:rsidRDefault="00591832" w:rsidP="00591832">
            <w:pPr>
              <w:jc w:val="both"/>
              <w:rPr>
                <w:rFonts w:cstheme="minorHAnsi"/>
              </w:rPr>
            </w:pPr>
          </w:p>
          <w:p w14:paraId="0A279AFC" w14:textId="5B1A4782" w:rsidR="00591832" w:rsidRPr="002C489E" w:rsidRDefault="0005008D" w:rsidP="00591832">
            <w:pPr>
              <w:jc w:val="both"/>
              <w:rPr>
                <w:rFonts w:cstheme="minorHAnsi"/>
              </w:rPr>
            </w:pPr>
            <w:hyperlink r:id="rId12" w:history="1">
              <w:r w:rsidRPr="00DB4544">
                <w:rPr>
                  <w:rStyle w:val="Hyperlink"/>
                  <w:rFonts w:ascii="Open Sans" w:hAnsi="Open Sans" w:cs="Open Sans"/>
                  <w:sz w:val="18"/>
                  <w:szCs w:val="18"/>
                </w:rPr>
                <w:t>https://classroom.thenational.academy/lessons/inequalities-6wuk4d</w:t>
              </w:r>
            </w:hyperlink>
            <w:r>
              <w:rPr>
                <w:rFonts w:ascii="Open Sans" w:hAnsi="Open Sans" w:cs="Open Sans"/>
                <w:color w:val="434343"/>
                <w:sz w:val="18"/>
                <w:szCs w:val="18"/>
              </w:rPr>
              <w:t xml:space="preserve"> </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798A88E" w14:textId="06C19844" w:rsidR="00591832" w:rsidRDefault="0005008D" w:rsidP="00591832">
            <w:pPr>
              <w:jc w:val="both"/>
              <w:rPr>
                <w:rFonts w:cstheme="minorHAnsi"/>
              </w:rPr>
            </w:pPr>
            <w:r>
              <w:rPr>
                <w:rFonts w:cstheme="minorHAnsi"/>
              </w:rPr>
              <w:t xml:space="preserve">Inequalities 2 </w:t>
            </w:r>
          </w:p>
          <w:p w14:paraId="2908E2E5" w14:textId="77777777" w:rsidR="0005008D" w:rsidRPr="002C489E" w:rsidRDefault="0005008D" w:rsidP="00591832">
            <w:pPr>
              <w:jc w:val="both"/>
              <w:rPr>
                <w:rFonts w:cstheme="minorHAnsi"/>
              </w:rPr>
            </w:pPr>
          </w:p>
          <w:p w14:paraId="4056F491" w14:textId="5178534F" w:rsidR="00591832" w:rsidRPr="002C489E" w:rsidRDefault="0005008D" w:rsidP="00591832">
            <w:pPr>
              <w:jc w:val="both"/>
              <w:rPr>
                <w:rFonts w:cstheme="minorHAnsi"/>
              </w:rPr>
            </w:pPr>
            <w:hyperlink r:id="rId13" w:history="1">
              <w:r w:rsidRPr="00DB4544">
                <w:rPr>
                  <w:rStyle w:val="Hyperlink"/>
                  <w:rFonts w:ascii="Open Sans" w:hAnsi="Open Sans" w:cs="Open Sans"/>
                  <w:sz w:val="18"/>
                  <w:szCs w:val="18"/>
                </w:rPr>
                <w:t>https://classroom.thenational.academy/lessons/inequalities-part-2-ccv38e</w:t>
              </w:r>
            </w:hyperlink>
            <w:r>
              <w:rPr>
                <w:rFonts w:ascii="Open Sans" w:hAnsi="Open Sans" w:cs="Open Sans"/>
                <w:color w:val="434343"/>
                <w:sz w:val="18"/>
                <w:szCs w:val="18"/>
              </w:rPr>
              <w:t xml:space="preserve"> </w:t>
            </w: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77003893" w14:textId="3D5D0A19" w:rsidR="004826BA" w:rsidRDefault="0005008D" w:rsidP="00591832">
            <w:pPr>
              <w:jc w:val="both"/>
              <w:rPr>
                <w:rFonts w:cstheme="minorHAnsi"/>
              </w:rPr>
            </w:pPr>
            <w:r>
              <w:rPr>
                <w:rFonts w:cstheme="minorHAnsi"/>
              </w:rPr>
              <w:t xml:space="preserve">Naming straight lines </w:t>
            </w:r>
          </w:p>
          <w:p w14:paraId="5583EB9E" w14:textId="77777777" w:rsidR="0005008D" w:rsidRPr="002C489E" w:rsidRDefault="0005008D" w:rsidP="00591832">
            <w:pPr>
              <w:jc w:val="both"/>
              <w:rPr>
                <w:rFonts w:cstheme="minorHAnsi"/>
              </w:rPr>
            </w:pPr>
          </w:p>
          <w:p w14:paraId="45F83D5F" w14:textId="4C78F23D" w:rsidR="00591832" w:rsidRPr="002C489E" w:rsidRDefault="0005008D" w:rsidP="00591832">
            <w:pPr>
              <w:jc w:val="both"/>
              <w:rPr>
                <w:rFonts w:cstheme="minorHAnsi"/>
              </w:rPr>
            </w:pPr>
            <w:hyperlink r:id="rId14" w:history="1">
              <w:r w:rsidRPr="00DB4544">
                <w:rPr>
                  <w:rStyle w:val="Hyperlink"/>
                  <w:rFonts w:ascii="Open Sans" w:hAnsi="Open Sans" w:cs="Open Sans"/>
                  <w:sz w:val="18"/>
                  <w:szCs w:val="18"/>
                </w:rPr>
                <w:t>https://classroom.thenational.academy/lessons/naming-straight-line-graphs-71hkgr</w:t>
              </w:r>
            </w:hyperlink>
            <w:r>
              <w:rPr>
                <w:rFonts w:ascii="Open Sans" w:hAnsi="Open Sans" w:cs="Open Sans"/>
                <w:color w:val="434343"/>
                <w:sz w:val="18"/>
                <w:szCs w:val="18"/>
              </w:rPr>
              <w:t xml:space="preserve"> </w:t>
            </w:r>
          </w:p>
        </w:tc>
      </w:tr>
      <w:tr w:rsidR="00591832" w14:paraId="1DC44B36" w14:textId="77777777" w:rsidTr="00591832">
        <w:trPr>
          <w:trHeight w:val="275"/>
        </w:trPr>
        <w:tc>
          <w:tcPr>
            <w:tcW w:w="1123" w:type="dxa"/>
          </w:tcPr>
          <w:p w14:paraId="6C85922D" w14:textId="0FCA1536" w:rsidR="00591832" w:rsidRDefault="00591832" w:rsidP="00591832">
            <w:pPr>
              <w:jc w:val="both"/>
            </w:pPr>
            <w:r>
              <w:t xml:space="preserve">6 </w:t>
            </w:r>
          </w:p>
        </w:tc>
        <w:tc>
          <w:tcPr>
            <w:tcW w:w="7905" w:type="dxa"/>
          </w:tcPr>
          <w:p w14:paraId="3D5BBAA1" w14:textId="2AF037FF" w:rsidR="002C489E" w:rsidRDefault="0005008D" w:rsidP="00591832">
            <w:pPr>
              <w:jc w:val="both"/>
              <w:rPr>
                <w:rFonts w:cstheme="minorHAnsi"/>
              </w:rPr>
            </w:pPr>
            <w:r>
              <w:rPr>
                <w:rFonts w:cstheme="minorHAnsi"/>
              </w:rPr>
              <w:t>Linear and non-linear graphs</w:t>
            </w:r>
          </w:p>
          <w:p w14:paraId="1977F883" w14:textId="77777777" w:rsidR="0005008D" w:rsidRPr="002C489E" w:rsidRDefault="0005008D" w:rsidP="00591832">
            <w:pPr>
              <w:jc w:val="both"/>
              <w:rPr>
                <w:rFonts w:cstheme="minorHAnsi"/>
              </w:rPr>
            </w:pPr>
          </w:p>
          <w:p w14:paraId="5B45BF2F" w14:textId="10FE33E0" w:rsidR="00591832" w:rsidRPr="002C489E" w:rsidRDefault="004826BA" w:rsidP="00591832">
            <w:pPr>
              <w:jc w:val="both"/>
              <w:rPr>
                <w:rFonts w:cstheme="minorHAnsi"/>
              </w:rPr>
            </w:pPr>
            <w:r w:rsidRPr="002C489E">
              <w:rPr>
                <w:rFonts w:cstheme="minorHAnsi"/>
              </w:rPr>
              <w:t xml:space="preserve"> </w:t>
            </w:r>
            <w:hyperlink r:id="rId15" w:history="1">
              <w:r w:rsidR="0005008D" w:rsidRPr="00DB4544">
                <w:rPr>
                  <w:rStyle w:val="Hyperlink"/>
                  <w:rFonts w:ascii="Open Sans" w:hAnsi="Open Sans" w:cs="Open Sans"/>
                  <w:sz w:val="18"/>
                  <w:szCs w:val="18"/>
                </w:rPr>
                <w:t>https://classroom.thenational.academy/lessons/linear-and-non-linear-graphs-6crket</w:t>
              </w:r>
            </w:hyperlink>
            <w:r w:rsidR="0005008D">
              <w:rPr>
                <w:rFonts w:ascii="Open Sans" w:hAnsi="Open Sans" w:cs="Open Sans"/>
                <w:color w:val="434343"/>
                <w:sz w:val="18"/>
                <w:szCs w:val="18"/>
              </w:rPr>
              <w:t xml:space="preserve"> </w:t>
            </w:r>
          </w:p>
        </w:tc>
      </w:tr>
      <w:tr w:rsidR="00591832" w14:paraId="4F9AFF76" w14:textId="77777777" w:rsidTr="00591832">
        <w:trPr>
          <w:trHeight w:val="275"/>
        </w:trPr>
        <w:tc>
          <w:tcPr>
            <w:tcW w:w="1123" w:type="dxa"/>
          </w:tcPr>
          <w:p w14:paraId="5D4675F1" w14:textId="60F08C6C" w:rsidR="00591832" w:rsidRDefault="00591832" w:rsidP="00591832">
            <w:pPr>
              <w:jc w:val="both"/>
            </w:pPr>
            <w:r>
              <w:t xml:space="preserve">7 </w:t>
            </w:r>
          </w:p>
        </w:tc>
        <w:tc>
          <w:tcPr>
            <w:tcW w:w="7905" w:type="dxa"/>
          </w:tcPr>
          <w:p w14:paraId="6786DFE0" w14:textId="7877888D" w:rsidR="002C489E" w:rsidRDefault="0005008D" w:rsidP="00591832">
            <w:pPr>
              <w:jc w:val="both"/>
            </w:pPr>
            <w:r>
              <w:t xml:space="preserve">The gradient </w:t>
            </w:r>
          </w:p>
          <w:p w14:paraId="6CA41596" w14:textId="77777777" w:rsidR="0005008D" w:rsidRPr="002C489E" w:rsidRDefault="0005008D" w:rsidP="00591832">
            <w:pPr>
              <w:jc w:val="both"/>
              <w:rPr>
                <w:rFonts w:cstheme="minorHAnsi"/>
              </w:rPr>
            </w:pPr>
          </w:p>
          <w:p w14:paraId="73278EB7" w14:textId="077EC280" w:rsidR="00591832" w:rsidRPr="002C489E" w:rsidRDefault="0005008D" w:rsidP="00591832">
            <w:pPr>
              <w:jc w:val="both"/>
              <w:rPr>
                <w:rFonts w:cstheme="minorHAnsi"/>
              </w:rPr>
            </w:pPr>
            <w:r>
              <w:rPr>
                <w:rFonts w:ascii="Open Sans" w:hAnsi="Open Sans" w:cs="Open Sans"/>
                <w:color w:val="434343"/>
                <w:sz w:val="18"/>
                <w:szCs w:val="18"/>
              </w:rPr>
              <w:t>https://classroom.thenational.academy/lessons/gradient-1-60rp4r</w:t>
            </w:r>
            <w:bookmarkStart w:id="0" w:name="_GoBack"/>
            <w:bookmarkEnd w:id="0"/>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6"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2BE0" w14:textId="77777777" w:rsidR="00C819AD" w:rsidRDefault="00C819AD" w:rsidP="00311D1B">
      <w:pPr>
        <w:spacing w:after="0" w:line="240" w:lineRule="auto"/>
      </w:pPr>
      <w:r>
        <w:separator/>
      </w:r>
    </w:p>
  </w:endnote>
  <w:endnote w:type="continuationSeparator" w:id="0">
    <w:p w14:paraId="48EADA1D" w14:textId="77777777" w:rsidR="00C819AD" w:rsidRDefault="00C819A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7350" w14:textId="77777777" w:rsidR="00C819AD" w:rsidRDefault="00C819AD" w:rsidP="00311D1B">
      <w:pPr>
        <w:spacing w:after="0" w:line="240" w:lineRule="auto"/>
      </w:pPr>
      <w:r>
        <w:separator/>
      </w:r>
    </w:p>
  </w:footnote>
  <w:footnote w:type="continuationSeparator" w:id="0">
    <w:p w14:paraId="4C7A5FA5" w14:textId="77777777" w:rsidR="00C819AD" w:rsidRDefault="00C819A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5008D"/>
    <w:rsid w:val="002C489E"/>
    <w:rsid w:val="00311D1B"/>
    <w:rsid w:val="00357312"/>
    <w:rsid w:val="004826BA"/>
    <w:rsid w:val="00591832"/>
    <w:rsid w:val="006078E2"/>
    <w:rsid w:val="00A05A4A"/>
    <w:rsid w:val="00A06103"/>
    <w:rsid w:val="00C8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inequalities-part-2-ccv38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inequalities-6wuk4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rfrostmaths.com/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horizontal-and-vertical-lines-60u3ac" TargetMode="External"/><Relationship Id="rId5" Type="http://schemas.openxmlformats.org/officeDocument/2006/relationships/styles" Target="styles.xml"/><Relationship Id="rId15" Type="http://schemas.openxmlformats.org/officeDocument/2006/relationships/hyperlink" Target="https://classroom.thenational.academy/lessons/linear-and-non-linear-graphs-6crket" TargetMode="External"/><Relationship Id="rId10" Type="http://schemas.openxmlformats.org/officeDocument/2006/relationships/hyperlink" Target="https://classroom.thenational.academy/lessons/coordinates-recap-6tjk6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naming-straight-line-graphs-71hk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GaleE</cp:lastModifiedBy>
  <cp:revision>2</cp:revision>
  <dcterms:created xsi:type="dcterms:W3CDTF">2021-04-01T13:59:00Z</dcterms:created>
  <dcterms:modified xsi:type="dcterms:W3CDTF">2021-04-01T13:59:00Z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