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524A8B95" w:rsidR="00591832" w:rsidRDefault="002C489E" w:rsidP="00591832">
            <w:pPr>
              <w:jc w:val="both"/>
            </w:pPr>
            <w:r>
              <w:t>9</w:t>
            </w:r>
          </w:p>
        </w:tc>
        <w:tc>
          <w:tcPr>
            <w:tcW w:w="2254" w:type="dxa"/>
          </w:tcPr>
          <w:p w14:paraId="4D4B92FC" w14:textId="2E7C744D" w:rsidR="00591832" w:rsidRDefault="00591832" w:rsidP="00591832">
            <w:pPr>
              <w:jc w:val="both"/>
            </w:pPr>
            <w:r>
              <w:t>Subject</w:t>
            </w:r>
          </w:p>
        </w:tc>
        <w:tc>
          <w:tcPr>
            <w:tcW w:w="2254" w:type="dxa"/>
          </w:tcPr>
          <w:p w14:paraId="6752BDA3" w14:textId="3CDE3042" w:rsidR="00591832" w:rsidRDefault="002C489E" w:rsidP="00591832">
            <w:pPr>
              <w:jc w:val="both"/>
            </w:pPr>
            <w:r>
              <w:t>Maths</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Pr="002C489E" w:rsidRDefault="00591832" w:rsidP="00591832">
            <w:pPr>
              <w:jc w:val="both"/>
              <w:rPr>
                <w:rFonts w:cstheme="minorHAnsi"/>
              </w:rPr>
            </w:pPr>
            <w:r w:rsidRPr="002C489E">
              <w:rPr>
                <w:rFonts w:cstheme="minorHAnsi"/>
              </w:rP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2C61897E" w14:textId="77777777" w:rsidR="00591832" w:rsidRDefault="00AF6909" w:rsidP="00591832">
            <w:pPr>
              <w:jc w:val="both"/>
              <w:rPr>
                <w:rFonts w:cstheme="minorHAnsi"/>
              </w:rPr>
            </w:pPr>
            <w:r>
              <w:rPr>
                <w:rFonts w:cstheme="minorHAnsi"/>
              </w:rPr>
              <w:t>Representing Ratio</w:t>
            </w:r>
          </w:p>
          <w:p w14:paraId="39D9BEBB" w14:textId="77777777" w:rsidR="00AF6909" w:rsidRDefault="00AF6909" w:rsidP="00591832">
            <w:pPr>
              <w:jc w:val="both"/>
              <w:rPr>
                <w:rFonts w:cstheme="minorHAnsi"/>
              </w:rPr>
            </w:pPr>
          </w:p>
          <w:p w14:paraId="4C193AD3" w14:textId="74DD35D2" w:rsidR="00AF6909" w:rsidRDefault="00AF6909" w:rsidP="00591832">
            <w:pPr>
              <w:jc w:val="both"/>
              <w:rPr>
                <w:rFonts w:ascii="Open Sans" w:hAnsi="Open Sans" w:cs="Open Sans"/>
                <w:color w:val="434343"/>
                <w:sz w:val="18"/>
                <w:szCs w:val="18"/>
              </w:rPr>
            </w:pPr>
            <w:hyperlink r:id="rId10" w:history="1">
              <w:r w:rsidRPr="003622C8">
                <w:rPr>
                  <w:rStyle w:val="Hyperlink"/>
                  <w:rFonts w:ascii="Open Sans" w:hAnsi="Open Sans" w:cs="Open Sans"/>
                  <w:sz w:val="18"/>
                  <w:szCs w:val="18"/>
                </w:rPr>
                <w:t>https://classroom.thenational.academy/lessons/representing-ratio-6djp4t</w:t>
              </w:r>
            </w:hyperlink>
          </w:p>
          <w:p w14:paraId="25DB641F" w14:textId="0C5C4D96" w:rsidR="00AF6909" w:rsidRPr="002C489E" w:rsidRDefault="00AF6909" w:rsidP="00591832">
            <w:pPr>
              <w:jc w:val="both"/>
              <w:rPr>
                <w:rFonts w:cstheme="minorHAnsi"/>
              </w:rPr>
            </w:pP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54CC65A2" w14:textId="77777777" w:rsidR="00591832" w:rsidRDefault="00AF6909" w:rsidP="00591832">
            <w:pPr>
              <w:jc w:val="both"/>
              <w:rPr>
                <w:rFonts w:cstheme="minorHAnsi"/>
              </w:rPr>
            </w:pPr>
            <w:r>
              <w:rPr>
                <w:rFonts w:cstheme="minorHAnsi"/>
              </w:rPr>
              <w:t>Ratio and Proportion in Geometry</w:t>
            </w:r>
          </w:p>
          <w:p w14:paraId="4F2893B7" w14:textId="77777777" w:rsidR="00AF6909" w:rsidRDefault="00AF6909" w:rsidP="00591832">
            <w:pPr>
              <w:jc w:val="both"/>
              <w:rPr>
                <w:rFonts w:cstheme="minorHAnsi"/>
              </w:rPr>
            </w:pPr>
          </w:p>
          <w:p w14:paraId="670CFC6C" w14:textId="6C455877" w:rsidR="00AF6909" w:rsidRDefault="00AF6909" w:rsidP="00591832">
            <w:pPr>
              <w:jc w:val="both"/>
              <w:rPr>
                <w:rFonts w:ascii="Open Sans" w:hAnsi="Open Sans" w:cs="Open Sans"/>
                <w:color w:val="434343"/>
                <w:sz w:val="18"/>
                <w:szCs w:val="18"/>
              </w:rPr>
            </w:pPr>
            <w:hyperlink r:id="rId11" w:history="1">
              <w:r w:rsidRPr="003622C8">
                <w:rPr>
                  <w:rStyle w:val="Hyperlink"/>
                  <w:rFonts w:ascii="Open Sans" w:hAnsi="Open Sans" w:cs="Open Sans"/>
                  <w:sz w:val="18"/>
                  <w:szCs w:val="18"/>
                </w:rPr>
                <w:t>https://classroom.thenational.academy/lessons/ratio-and-proportion-in-geometry-74rk8d</w:t>
              </w:r>
            </w:hyperlink>
          </w:p>
          <w:p w14:paraId="28AB0A4E" w14:textId="1060A7AB" w:rsidR="00AF6909" w:rsidRPr="002C489E" w:rsidRDefault="00AF6909" w:rsidP="00591832">
            <w:pPr>
              <w:jc w:val="both"/>
              <w:rPr>
                <w:rFonts w:cstheme="minorHAnsi"/>
              </w:rPr>
            </w:pP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7CF097DE" w14:textId="77777777" w:rsidR="00591832" w:rsidRDefault="00AF6909" w:rsidP="00591832">
            <w:pPr>
              <w:jc w:val="both"/>
              <w:rPr>
                <w:rFonts w:cstheme="minorHAnsi"/>
              </w:rPr>
            </w:pPr>
            <w:r>
              <w:rPr>
                <w:rFonts w:cstheme="minorHAnsi"/>
              </w:rPr>
              <w:t>Dividing into a Ratio</w:t>
            </w:r>
          </w:p>
          <w:p w14:paraId="4D1C9290" w14:textId="77777777" w:rsidR="00AF6909" w:rsidRDefault="00AF6909" w:rsidP="00591832">
            <w:pPr>
              <w:jc w:val="both"/>
              <w:rPr>
                <w:rFonts w:cstheme="minorHAnsi"/>
              </w:rPr>
            </w:pPr>
          </w:p>
          <w:p w14:paraId="1147E9C8" w14:textId="728B3E49" w:rsidR="00AF6909" w:rsidRDefault="00AF6909" w:rsidP="00591832">
            <w:pPr>
              <w:jc w:val="both"/>
              <w:rPr>
                <w:rFonts w:ascii="Open Sans" w:hAnsi="Open Sans" w:cs="Open Sans"/>
                <w:color w:val="434343"/>
                <w:sz w:val="18"/>
                <w:szCs w:val="18"/>
              </w:rPr>
            </w:pPr>
            <w:hyperlink r:id="rId12" w:history="1">
              <w:r w:rsidRPr="003622C8">
                <w:rPr>
                  <w:rStyle w:val="Hyperlink"/>
                  <w:rFonts w:ascii="Open Sans" w:hAnsi="Open Sans" w:cs="Open Sans"/>
                  <w:sz w:val="18"/>
                  <w:szCs w:val="18"/>
                </w:rPr>
                <w:t>https://classroom.thenational.academy/lessons/dividing-into-a-ratio-c4tk8e</w:t>
              </w:r>
            </w:hyperlink>
          </w:p>
          <w:p w14:paraId="0A279AFC" w14:textId="3B464167" w:rsidR="00AF6909" w:rsidRPr="002C489E" w:rsidRDefault="00AF6909" w:rsidP="00591832">
            <w:pPr>
              <w:jc w:val="both"/>
              <w:rPr>
                <w:rFonts w:cstheme="minorHAnsi"/>
              </w:rPr>
            </w:pPr>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707202DD" w14:textId="77777777" w:rsidR="00591832" w:rsidRDefault="00AF6909" w:rsidP="00AF6909">
            <w:pPr>
              <w:tabs>
                <w:tab w:val="left" w:pos="1428"/>
              </w:tabs>
              <w:jc w:val="both"/>
              <w:rPr>
                <w:rFonts w:cstheme="minorHAnsi"/>
              </w:rPr>
            </w:pPr>
            <w:r>
              <w:rPr>
                <w:rFonts w:cstheme="minorHAnsi"/>
              </w:rPr>
              <w:t>Ratio Problems</w:t>
            </w:r>
          </w:p>
          <w:p w14:paraId="45A86CB6" w14:textId="77777777" w:rsidR="00AF6909" w:rsidRDefault="00AF6909" w:rsidP="00AF6909">
            <w:pPr>
              <w:tabs>
                <w:tab w:val="left" w:pos="1428"/>
              </w:tabs>
              <w:jc w:val="both"/>
              <w:rPr>
                <w:rFonts w:cstheme="minorHAnsi"/>
              </w:rPr>
            </w:pPr>
          </w:p>
          <w:p w14:paraId="7B3AC8BE" w14:textId="6800A88F" w:rsidR="00AF6909" w:rsidRDefault="00AF6909" w:rsidP="00AF6909">
            <w:pPr>
              <w:tabs>
                <w:tab w:val="left" w:pos="1428"/>
              </w:tabs>
              <w:jc w:val="both"/>
              <w:rPr>
                <w:rFonts w:ascii="Open Sans" w:hAnsi="Open Sans" w:cs="Open Sans"/>
                <w:color w:val="434343"/>
                <w:sz w:val="18"/>
                <w:szCs w:val="18"/>
              </w:rPr>
            </w:pPr>
            <w:hyperlink r:id="rId13" w:history="1">
              <w:r w:rsidRPr="003622C8">
                <w:rPr>
                  <w:rStyle w:val="Hyperlink"/>
                  <w:rFonts w:ascii="Open Sans" w:hAnsi="Open Sans" w:cs="Open Sans"/>
                  <w:sz w:val="18"/>
                  <w:szCs w:val="18"/>
                </w:rPr>
                <w:t>https://classroom.thenational.academy/lessons/ratio-problems-74v38c</w:t>
              </w:r>
            </w:hyperlink>
          </w:p>
          <w:p w14:paraId="4056F491" w14:textId="6800A159" w:rsidR="00AF6909" w:rsidRPr="002C489E" w:rsidRDefault="00AF6909" w:rsidP="00AF6909">
            <w:pPr>
              <w:tabs>
                <w:tab w:val="left" w:pos="1428"/>
              </w:tabs>
              <w:jc w:val="both"/>
              <w:rPr>
                <w:rFonts w:cstheme="minorHAnsi"/>
              </w:rPr>
            </w:pPr>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5B85BA93" w14:textId="77777777" w:rsidR="00591832" w:rsidRDefault="00AF6909" w:rsidP="00591832">
            <w:pPr>
              <w:jc w:val="both"/>
              <w:rPr>
                <w:rFonts w:cstheme="minorHAnsi"/>
              </w:rPr>
            </w:pPr>
            <w:r>
              <w:rPr>
                <w:rFonts w:cstheme="minorHAnsi"/>
              </w:rPr>
              <w:t>Representing Probability</w:t>
            </w:r>
          </w:p>
          <w:p w14:paraId="0424D8E9" w14:textId="77777777" w:rsidR="00AF6909" w:rsidRDefault="00AF6909" w:rsidP="00591832">
            <w:pPr>
              <w:jc w:val="both"/>
              <w:rPr>
                <w:rFonts w:cstheme="minorHAnsi"/>
              </w:rPr>
            </w:pPr>
          </w:p>
          <w:p w14:paraId="5E916595" w14:textId="6DE0EAD1" w:rsidR="00AF6909" w:rsidRDefault="00AF6909" w:rsidP="00591832">
            <w:pPr>
              <w:jc w:val="both"/>
              <w:rPr>
                <w:rFonts w:ascii="Open Sans" w:hAnsi="Open Sans" w:cs="Open Sans"/>
                <w:color w:val="434343"/>
                <w:sz w:val="18"/>
                <w:szCs w:val="18"/>
              </w:rPr>
            </w:pPr>
            <w:hyperlink r:id="rId14" w:history="1">
              <w:r w:rsidRPr="003622C8">
                <w:rPr>
                  <w:rStyle w:val="Hyperlink"/>
                  <w:rFonts w:ascii="Open Sans" w:hAnsi="Open Sans" w:cs="Open Sans"/>
                  <w:sz w:val="18"/>
                  <w:szCs w:val="18"/>
                </w:rPr>
                <w:t>https://classroom.thenational.academy/lessons/representing-probability-71gk0r</w:t>
              </w:r>
            </w:hyperlink>
          </w:p>
          <w:p w14:paraId="45F83D5F" w14:textId="689D4AAF" w:rsidR="00AF6909" w:rsidRPr="002C489E" w:rsidRDefault="00AF6909" w:rsidP="00591832">
            <w:pPr>
              <w:jc w:val="both"/>
              <w:rPr>
                <w:rFonts w:cstheme="minorHAnsi"/>
              </w:rPr>
            </w:pPr>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58D6C336" w14:textId="77777777" w:rsidR="00591832" w:rsidRDefault="00AF6909" w:rsidP="00591832">
            <w:pPr>
              <w:jc w:val="both"/>
              <w:rPr>
                <w:rFonts w:cstheme="minorHAnsi"/>
              </w:rPr>
            </w:pPr>
            <w:r>
              <w:rPr>
                <w:rFonts w:cstheme="minorHAnsi"/>
              </w:rPr>
              <w:t>Complementary Events</w:t>
            </w:r>
          </w:p>
          <w:p w14:paraId="5804EE76" w14:textId="77777777" w:rsidR="00AF6909" w:rsidRDefault="00AF6909" w:rsidP="00591832">
            <w:pPr>
              <w:jc w:val="both"/>
              <w:rPr>
                <w:rFonts w:cstheme="minorHAnsi"/>
              </w:rPr>
            </w:pPr>
          </w:p>
          <w:p w14:paraId="70D0F4EB" w14:textId="6F09519C" w:rsidR="00AF6909" w:rsidRDefault="00AF6909" w:rsidP="00591832">
            <w:pPr>
              <w:jc w:val="both"/>
              <w:rPr>
                <w:rFonts w:ascii="Open Sans" w:hAnsi="Open Sans" w:cs="Open Sans"/>
                <w:color w:val="434343"/>
                <w:sz w:val="18"/>
                <w:szCs w:val="18"/>
              </w:rPr>
            </w:pPr>
            <w:hyperlink r:id="rId15" w:history="1">
              <w:r w:rsidRPr="003622C8">
                <w:rPr>
                  <w:rStyle w:val="Hyperlink"/>
                  <w:rFonts w:ascii="Open Sans" w:hAnsi="Open Sans" w:cs="Open Sans"/>
                  <w:sz w:val="18"/>
                  <w:szCs w:val="18"/>
                </w:rPr>
                <w:t>https://classroom.thenational.academy/lessons/complementary-events-6rt30c</w:t>
              </w:r>
            </w:hyperlink>
          </w:p>
          <w:p w14:paraId="5B45BF2F" w14:textId="72C0FDAE" w:rsidR="00AF6909" w:rsidRPr="002C489E" w:rsidRDefault="00AF6909" w:rsidP="00591832">
            <w:pPr>
              <w:jc w:val="both"/>
              <w:rPr>
                <w:rFonts w:cstheme="minorHAnsi"/>
              </w:rPr>
            </w:pPr>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49E7E377" w14:textId="77777777" w:rsidR="00591832" w:rsidRDefault="00AF6909" w:rsidP="00591832">
            <w:pPr>
              <w:jc w:val="both"/>
              <w:rPr>
                <w:rFonts w:cstheme="minorHAnsi"/>
              </w:rPr>
            </w:pPr>
            <w:r>
              <w:rPr>
                <w:rFonts w:cstheme="minorHAnsi"/>
              </w:rPr>
              <w:t>Calculating Probabilities</w:t>
            </w:r>
          </w:p>
          <w:p w14:paraId="178FCC78" w14:textId="77777777" w:rsidR="00AF6909" w:rsidRDefault="00AF6909" w:rsidP="00591832">
            <w:pPr>
              <w:jc w:val="both"/>
              <w:rPr>
                <w:rFonts w:cstheme="minorHAnsi"/>
              </w:rPr>
            </w:pPr>
          </w:p>
          <w:p w14:paraId="61B87629" w14:textId="258956D7" w:rsidR="00AF6909" w:rsidRDefault="00AF6909" w:rsidP="00591832">
            <w:pPr>
              <w:jc w:val="both"/>
              <w:rPr>
                <w:rFonts w:ascii="Open Sans" w:hAnsi="Open Sans" w:cs="Open Sans"/>
                <w:color w:val="434343"/>
                <w:sz w:val="18"/>
                <w:szCs w:val="18"/>
              </w:rPr>
            </w:pPr>
            <w:hyperlink r:id="rId16" w:history="1">
              <w:r w:rsidRPr="003622C8">
                <w:rPr>
                  <w:rStyle w:val="Hyperlink"/>
                  <w:rFonts w:ascii="Open Sans" w:hAnsi="Open Sans" w:cs="Open Sans"/>
                  <w:sz w:val="18"/>
                  <w:szCs w:val="18"/>
                </w:rPr>
                <w:t>https://classroom.thenational.academy/lessons/calculating-probabilities-6djk0c</w:t>
              </w:r>
            </w:hyperlink>
          </w:p>
          <w:p w14:paraId="73278EB7" w14:textId="422A096D" w:rsidR="00AF6909" w:rsidRPr="002C489E" w:rsidRDefault="00AF6909" w:rsidP="00591832">
            <w:pPr>
              <w:jc w:val="both"/>
              <w:rPr>
                <w:rFonts w:cstheme="minorHAnsi"/>
              </w:rPr>
            </w:pPr>
          </w:p>
        </w:tc>
      </w:tr>
      <w:tr w:rsidR="00591832" w14:paraId="2ECFBAD8" w14:textId="77777777" w:rsidTr="00591832">
        <w:trPr>
          <w:trHeight w:val="275"/>
        </w:trPr>
        <w:tc>
          <w:tcPr>
            <w:tcW w:w="1123" w:type="dxa"/>
          </w:tcPr>
          <w:p w14:paraId="7BF4C90E" w14:textId="7AAC6061" w:rsidR="00591832" w:rsidRDefault="00591832" w:rsidP="00591832">
            <w:pPr>
              <w:jc w:val="both"/>
            </w:pPr>
            <w:r>
              <w:t>8 (Core)</w:t>
            </w:r>
          </w:p>
        </w:tc>
        <w:tc>
          <w:tcPr>
            <w:tcW w:w="7905" w:type="dxa"/>
          </w:tcPr>
          <w:p w14:paraId="274CE65B" w14:textId="77777777" w:rsidR="00591832" w:rsidRDefault="00AF6909" w:rsidP="00AF6909">
            <w:pPr>
              <w:tabs>
                <w:tab w:val="left" w:pos="2520"/>
              </w:tabs>
              <w:jc w:val="both"/>
              <w:rPr>
                <w:rFonts w:cstheme="minorHAnsi"/>
              </w:rPr>
            </w:pPr>
            <w:r>
              <w:rPr>
                <w:rFonts w:cstheme="minorHAnsi"/>
              </w:rPr>
              <w:t>Theoretical Probability and relative Frequency</w:t>
            </w:r>
          </w:p>
          <w:p w14:paraId="18A501EF" w14:textId="77777777" w:rsidR="00AF6909" w:rsidRDefault="00AF6909" w:rsidP="00AF6909">
            <w:pPr>
              <w:tabs>
                <w:tab w:val="left" w:pos="2520"/>
              </w:tabs>
              <w:jc w:val="both"/>
              <w:rPr>
                <w:rFonts w:cstheme="minorHAnsi"/>
              </w:rPr>
            </w:pPr>
          </w:p>
          <w:bookmarkStart w:id="0" w:name="_GoBack"/>
          <w:bookmarkEnd w:id="0"/>
          <w:p w14:paraId="099A7AD6" w14:textId="30702102" w:rsidR="00AF6909" w:rsidRDefault="009A1C41" w:rsidP="00AF6909">
            <w:pPr>
              <w:tabs>
                <w:tab w:val="left" w:pos="2520"/>
              </w:tabs>
              <w:jc w:val="both"/>
              <w:rPr>
                <w:rFonts w:ascii="Open Sans" w:hAnsi="Open Sans" w:cs="Open Sans"/>
                <w:color w:val="434343"/>
                <w:sz w:val="18"/>
                <w:szCs w:val="18"/>
              </w:rPr>
            </w:pPr>
            <w:r>
              <w:rPr>
                <w:rFonts w:ascii="Open Sans" w:hAnsi="Open Sans" w:cs="Open Sans"/>
                <w:color w:val="434343"/>
                <w:sz w:val="18"/>
                <w:szCs w:val="18"/>
              </w:rPr>
              <w:fldChar w:fldCharType="begin"/>
            </w:r>
            <w:r>
              <w:rPr>
                <w:rFonts w:ascii="Open Sans" w:hAnsi="Open Sans" w:cs="Open Sans"/>
                <w:color w:val="434343"/>
                <w:sz w:val="18"/>
                <w:szCs w:val="18"/>
              </w:rPr>
              <w:instrText xml:space="preserve"> HYPERLINK "</w:instrText>
            </w:r>
            <w:r w:rsidRPr="009A1C41">
              <w:rPr>
                <w:rFonts w:ascii="Open Sans" w:hAnsi="Open Sans" w:cs="Open Sans"/>
                <w:color w:val="434343"/>
                <w:sz w:val="18"/>
                <w:szCs w:val="18"/>
              </w:rPr>
              <w:instrText>https://classroom.thenational.academy/lessons/theoretical-probability-and-relative-frequency-64w36r</w:instrText>
            </w:r>
            <w:r>
              <w:rPr>
                <w:rFonts w:ascii="Open Sans" w:hAnsi="Open Sans" w:cs="Open Sans"/>
                <w:color w:val="434343"/>
                <w:sz w:val="18"/>
                <w:szCs w:val="18"/>
              </w:rPr>
              <w:instrText xml:space="preserve">" </w:instrText>
            </w:r>
            <w:r>
              <w:rPr>
                <w:rFonts w:ascii="Open Sans" w:hAnsi="Open Sans" w:cs="Open Sans"/>
                <w:color w:val="434343"/>
                <w:sz w:val="18"/>
                <w:szCs w:val="18"/>
              </w:rPr>
              <w:fldChar w:fldCharType="separate"/>
            </w:r>
            <w:r w:rsidRPr="003622C8">
              <w:rPr>
                <w:rStyle w:val="Hyperlink"/>
                <w:rFonts w:ascii="Open Sans" w:hAnsi="Open Sans" w:cs="Open Sans"/>
                <w:sz w:val="18"/>
                <w:szCs w:val="18"/>
              </w:rPr>
              <w:t>https://classroom.thenational.academy/lessons/theoretical-probability-and-relative-frequency-64w36r</w:t>
            </w:r>
            <w:r>
              <w:rPr>
                <w:rFonts w:ascii="Open Sans" w:hAnsi="Open Sans" w:cs="Open Sans"/>
                <w:color w:val="434343"/>
                <w:sz w:val="18"/>
                <w:szCs w:val="18"/>
              </w:rPr>
              <w:fldChar w:fldCharType="end"/>
            </w:r>
          </w:p>
          <w:p w14:paraId="78D2172B" w14:textId="639FEED6" w:rsidR="00AF6909" w:rsidRPr="002C489E" w:rsidRDefault="00AF6909" w:rsidP="00AF6909">
            <w:pPr>
              <w:tabs>
                <w:tab w:val="left" w:pos="2520"/>
              </w:tabs>
              <w:ind w:firstLine="720"/>
              <w:jc w:val="both"/>
              <w:rPr>
                <w:rFonts w:cstheme="minorHAnsi"/>
              </w:rPr>
            </w:pPr>
          </w:p>
        </w:tc>
      </w:tr>
    </w:tbl>
    <w:p w14:paraId="6166E30C" w14:textId="77777777" w:rsidR="002C489E" w:rsidRDefault="002C489E" w:rsidP="00591832">
      <w:pPr>
        <w:jc w:val="both"/>
      </w:pPr>
    </w:p>
    <w:p w14:paraId="6B413E7A" w14:textId="32EE62C6" w:rsidR="002C489E" w:rsidRPr="00A06103" w:rsidRDefault="002C489E" w:rsidP="00591832">
      <w:pPr>
        <w:jc w:val="both"/>
        <w:rPr>
          <w:b/>
          <w:bCs/>
        </w:rPr>
      </w:pPr>
      <w:r w:rsidRPr="00A06103">
        <w:rPr>
          <w:b/>
          <w:bCs/>
        </w:rPr>
        <w:t xml:space="preserve">If you complete the work quickly please make sure you are logging onto </w:t>
      </w:r>
      <w:hyperlink r:id="rId17" w:history="1">
        <w:r w:rsidRPr="00A06103">
          <w:rPr>
            <w:rStyle w:val="Hyperlink"/>
            <w:b/>
            <w:bCs/>
          </w:rPr>
          <w:t>Dr Frost Maths</w:t>
        </w:r>
      </w:hyperlink>
      <w:r w:rsidRPr="00A06103">
        <w:rPr>
          <w:b/>
          <w:bCs/>
        </w:rPr>
        <w:t xml:space="preserve"> </w:t>
      </w:r>
      <w:r w:rsidR="00A06103" w:rsidRPr="00A06103">
        <w:rPr>
          <w:b/>
          <w:bCs/>
        </w:rPr>
        <w:t>and completing any work you have been set there. You can also use Dr Frost Maths to pick some topics that you need to work on. There are videos that you can also watch for support.</w:t>
      </w:r>
    </w:p>
    <w:p w14:paraId="113A1BE3" w14:textId="43213028"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lastRenderedPageBreak/>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4F06F0D2" w:rsidR="00591832" w:rsidRPr="00591832" w:rsidRDefault="00A05A4A" w:rsidP="00591832">
      <w:pPr>
        <w:jc w:val="both"/>
      </w:pPr>
      <w:r>
        <w:t xml:space="preserve">Head of Subject email: </w:t>
      </w:r>
      <w:r w:rsidR="00A06103">
        <w:t>ralphs@mayfield.portsmouth.sch.uk</w:t>
      </w:r>
    </w:p>
    <w:sectPr w:rsidR="00591832" w:rsidRPr="0059183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89736" w14:textId="77777777" w:rsidR="001361AE" w:rsidRDefault="001361AE" w:rsidP="00311D1B">
      <w:pPr>
        <w:spacing w:after="0" w:line="240" w:lineRule="auto"/>
      </w:pPr>
      <w:r>
        <w:separator/>
      </w:r>
    </w:p>
  </w:endnote>
  <w:endnote w:type="continuationSeparator" w:id="0">
    <w:p w14:paraId="14096786" w14:textId="77777777" w:rsidR="001361AE" w:rsidRDefault="001361AE"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F31E6" w14:textId="77777777" w:rsidR="001361AE" w:rsidRDefault="001361AE" w:rsidP="00311D1B">
      <w:pPr>
        <w:spacing w:after="0" w:line="240" w:lineRule="auto"/>
      </w:pPr>
      <w:r>
        <w:separator/>
      </w:r>
    </w:p>
  </w:footnote>
  <w:footnote w:type="continuationSeparator" w:id="0">
    <w:p w14:paraId="7C945BDB" w14:textId="77777777" w:rsidR="001361AE" w:rsidRDefault="001361AE"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24723"/>
    <w:rsid w:val="001361AE"/>
    <w:rsid w:val="002C489E"/>
    <w:rsid w:val="00311D1B"/>
    <w:rsid w:val="00357312"/>
    <w:rsid w:val="00591832"/>
    <w:rsid w:val="006078E2"/>
    <w:rsid w:val="009A1C41"/>
    <w:rsid w:val="00A05A4A"/>
    <w:rsid w:val="00A06103"/>
    <w:rsid w:val="00AF6909"/>
    <w:rsid w:val="00C8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2C489E"/>
    <w:rPr>
      <w:color w:val="0563C1" w:themeColor="hyperlink"/>
      <w:u w:val="single"/>
    </w:rPr>
  </w:style>
  <w:style w:type="character" w:styleId="UnresolvedMention">
    <w:name w:val="Unresolved Mention"/>
    <w:basedOn w:val="DefaultParagraphFont"/>
    <w:uiPriority w:val="99"/>
    <w:semiHidden/>
    <w:unhideWhenUsed/>
    <w:rsid w:val="002C489E"/>
    <w:rPr>
      <w:color w:val="605E5C"/>
      <w:shd w:val="clear" w:color="auto" w:fill="E1DFDD"/>
    </w:rPr>
  </w:style>
  <w:style w:type="character" w:styleId="FollowedHyperlink">
    <w:name w:val="FollowedHyperlink"/>
    <w:basedOn w:val="DefaultParagraphFont"/>
    <w:uiPriority w:val="99"/>
    <w:semiHidden/>
    <w:unhideWhenUsed/>
    <w:rsid w:val="002C4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ratio-problems-74v38c"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dividing-into-a-ratio-c4tk8e" TargetMode="External"/><Relationship Id="rId17" Type="http://schemas.openxmlformats.org/officeDocument/2006/relationships/hyperlink" Target="https://www.drfrostmaths.com/index.php" TargetMode="External"/><Relationship Id="rId2" Type="http://schemas.openxmlformats.org/officeDocument/2006/relationships/customXml" Target="../customXml/item2.xml"/><Relationship Id="rId16" Type="http://schemas.openxmlformats.org/officeDocument/2006/relationships/hyperlink" Target="https://classroom.thenational.academy/lessons/calculating-probabilities-6djk0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ratio-and-proportion-in-geometry-74rk8d" TargetMode="External"/><Relationship Id="rId5" Type="http://schemas.openxmlformats.org/officeDocument/2006/relationships/styles" Target="styles.xml"/><Relationship Id="rId15" Type="http://schemas.openxmlformats.org/officeDocument/2006/relationships/hyperlink" Target="https://classroom.thenational.academy/lessons/complementary-events-6rt30c" TargetMode="External"/><Relationship Id="rId10" Type="http://schemas.openxmlformats.org/officeDocument/2006/relationships/hyperlink" Target="https://classroom.thenational.academy/lessons/representing-ratio-6djp4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representing-probability-71gk0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RalphS</cp:lastModifiedBy>
  <cp:revision>4</cp:revision>
  <dcterms:created xsi:type="dcterms:W3CDTF">2021-05-24T12:15:00Z</dcterms:created>
  <dcterms:modified xsi:type="dcterms:W3CDTF">2021-05-24T12:15:00Z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