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7B07EFB"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10B496D" w:rsidR="00591832" w:rsidRDefault="007D60A6"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44FDC916" w:rsidR="00591832" w:rsidRDefault="005215DE" w:rsidP="00591832">
            <w:pPr>
              <w:jc w:val="both"/>
            </w:pPr>
            <w:r>
              <w:t>Music</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3B48F2D7" w:rsidR="00591832" w:rsidRDefault="007D60A6" w:rsidP="00591832">
            <w:pPr>
              <w:jc w:val="both"/>
            </w:pPr>
            <w:r>
              <w:t xml:space="preserve">Please follow the link and complete the lesson on Fusions.  </w:t>
            </w:r>
            <w:hyperlink r:id="rId10" w:history="1">
              <w:r w:rsidRPr="005321B1">
                <w:rPr>
                  <w:rStyle w:val="Hyperlink"/>
                </w:rPr>
                <w:t>https://classroom.thenational.academy/lessons/to-understand-the-role-of-the-musical-layers-in-tango-and-the-function-of-chromatic-passing-notes-6dj62t</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78802444" w:rsidR="00591832" w:rsidRDefault="007D60A6" w:rsidP="00591832">
            <w:pPr>
              <w:jc w:val="both"/>
            </w:pPr>
            <w:r>
              <w:t xml:space="preserve">Please follow the link and complete the next lesson on Fusions.  </w:t>
            </w:r>
            <w:hyperlink r:id="rId11" w:history="1">
              <w:r w:rsidRPr="005321B1">
                <w:rPr>
                  <w:rStyle w:val="Hyperlink"/>
                </w:rPr>
                <w:t>https://classroom.thenational.academy/lessons/to-be-able-to-perform-melodic-harmonic-and-rhythmic-ideas-in-release-and-explore-the-aeolian-mode-c4wp4d</w:t>
              </w:r>
            </w:hyperlink>
            <w:r>
              <w:t xml:space="preserve"> </w:t>
            </w:r>
            <w:r w:rsidR="00AC7829">
              <w:t>65</w:t>
            </w:r>
          </w:p>
          <w:p w14:paraId="7517AE58" w14:textId="77777777" w:rsidR="00591832" w:rsidRDefault="00591832" w:rsidP="00591832">
            <w:pPr>
              <w:jc w:val="both"/>
            </w:pPr>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77777777" w:rsidR="00591832" w:rsidRDefault="00591832" w:rsidP="00591832">
            <w:pPr>
              <w:jc w:val="both"/>
            </w:pP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77777777" w:rsidR="00591832" w:rsidRDefault="00591832" w:rsidP="00591832">
            <w:pPr>
              <w:jc w:val="both"/>
            </w:pPr>
          </w:p>
          <w:p w14:paraId="5798A88E" w14:textId="77777777" w:rsidR="00591832" w:rsidRDefault="00591832" w:rsidP="00591832">
            <w:pPr>
              <w:jc w:val="both"/>
            </w:pPr>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77777777" w:rsidR="00591832" w:rsidRDefault="00591832" w:rsidP="00591832">
            <w:pPr>
              <w:jc w:val="both"/>
            </w:pP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77777777" w:rsidR="00591832" w:rsidRDefault="00591832" w:rsidP="00591832">
            <w:pPr>
              <w:jc w:val="both"/>
            </w:pP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lastRenderedPageBreak/>
        <w:t xml:space="preserve">Head of Subject email: </w:t>
      </w:r>
    </w:p>
    <w:sectPr w:rsidR="00591832" w:rsidRPr="00591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E44E" w14:textId="77777777" w:rsidR="00755EE7" w:rsidRDefault="00755EE7" w:rsidP="00311D1B">
      <w:pPr>
        <w:spacing w:after="0" w:line="240" w:lineRule="auto"/>
      </w:pPr>
      <w:r>
        <w:separator/>
      </w:r>
    </w:p>
  </w:endnote>
  <w:endnote w:type="continuationSeparator" w:id="0">
    <w:p w14:paraId="59CFF953" w14:textId="77777777" w:rsidR="00755EE7" w:rsidRDefault="00755EE7"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1BB7" w14:textId="77777777" w:rsidR="00755EE7" w:rsidRDefault="00755EE7" w:rsidP="00311D1B">
      <w:pPr>
        <w:spacing w:after="0" w:line="240" w:lineRule="auto"/>
      </w:pPr>
      <w:r>
        <w:separator/>
      </w:r>
    </w:p>
  </w:footnote>
  <w:footnote w:type="continuationSeparator" w:id="0">
    <w:p w14:paraId="6737867D" w14:textId="77777777" w:rsidR="00755EE7" w:rsidRDefault="00755EE7"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215DE"/>
    <w:rsid w:val="00591832"/>
    <w:rsid w:val="006078E2"/>
    <w:rsid w:val="00610A05"/>
    <w:rsid w:val="00755EE7"/>
    <w:rsid w:val="007D60A6"/>
    <w:rsid w:val="00A05A4A"/>
    <w:rsid w:val="00AC7829"/>
    <w:rsid w:val="00B66B98"/>
    <w:rsid w:val="00BA6EE8"/>
    <w:rsid w:val="00FC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5215DE"/>
    <w:rPr>
      <w:color w:val="0563C1" w:themeColor="hyperlink"/>
      <w:u w:val="single"/>
    </w:rPr>
  </w:style>
  <w:style w:type="character" w:styleId="UnresolvedMention">
    <w:name w:val="Unresolved Mention"/>
    <w:basedOn w:val="DefaultParagraphFont"/>
    <w:uiPriority w:val="99"/>
    <w:semiHidden/>
    <w:unhideWhenUsed/>
    <w:rsid w:val="0052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be-able-to-perform-melodic-harmonic-and-rhythmic-ideas-in-release-and-explore-the-aeolian-mode-c4wp4d" TargetMode="External"/><Relationship Id="rId5" Type="http://schemas.openxmlformats.org/officeDocument/2006/relationships/styles" Target="styles.xml"/><Relationship Id="rId10" Type="http://schemas.openxmlformats.org/officeDocument/2006/relationships/hyperlink" Target="https://classroom.thenational.academy/lessons/to-understand-the-role-of-the-musical-layers-in-tango-and-the-function-of-chromatic-passing-notes-6dj62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11118FC6AE94AA39C69D6DB96575E" ma:contentTypeVersion="14" ma:contentTypeDescription="Create a new document." ma:contentTypeScope="" ma:versionID="06471eb3a2242338877cd8ae265f5c6f">
  <xsd:schema xmlns:xsd="http://www.w3.org/2001/XMLSchema" xmlns:xs="http://www.w3.org/2001/XMLSchema" xmlns:p="http://schemas.microsoft.com/office/2006/metadata/properties" xmlns:ns3="48caa550-d567-4694-a9c3-dc00312b4a0f" xmlns:ns4="02ddac5c-e831-4393-8cf8-13b9c68504a6" targetNamespace="http://schemas.microsoft.com/office/2006/metadata/properties" ma:root="true" ma:fieldsID="85880dda9386dd8e49bb214d7d2fcf48" ns3:_="" ns4:_="">
    <xsd:import namespace="48caa550-d567-4694-a9c3-dc00312b4a0f"/>
    <xsd:import namespace="02ddac5c-e831-4393-8cf8-13b9c6850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a550-d567-4694-a9c3-dc00312b4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ac5c-e831-4393-8cf8-13b9c6850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343B5-DF2A-471E-870E-4407D347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a550-d567-4694-a9c3-dc00312b4a0f"/>
    <ds:schemaRef ds:uri="02ddac5c-e831-4393-8cf8-13b9c6850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 mullin</cp:lastModifiedBy>
  <cp:revision>3</cp:revision>
  <dcterms:created xsi:type="dcterms:W3CDTF">2021-06-21T08:43:00Z</dcterms:created>
  <dcterms:modified xsi:type="dcterms:W3CDTF">2021-06-21T08:43:00Z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0x01010070411118FC6AE94AA39C69D6DB96575E</vt:lpwstr>
  </property>
</Properties>
</file>