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7BE9E785"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A204E8">
        <w:t xml:space="preserve"> The focus of these lessons </w:t>
      </w:r>
      <w:proofErr w:type="gramStart"/>
      <w:r w:rsidR="00A204E8">
        <w:t>are</w:t>
      </w:r>
      <w:proofErr w:type="gramEnd"/>
      <w:r w:rsidR="00A204E8">
        <w:t xml:space="preserve"> </w:t>
      </w:r>
      <w:r w:rsidR="00A204E8" w:rsidRPr="00A204E8">
        <w:rPr>
          <w:b/>
          <w:bCs/>
        </w:rPr>
        <w:t>The British Empire</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6B4E6A44" w:rsidR="00591832" w:rsidRDefault="0099041F" w:rsidP="00591832">
            <w:pPr>
              <w:jc w:val="both"/>
            </w:pPr>
            <w:r>
              <w:t>8</w:t>
            </w:r>
            <w:bookmarkStart w:id="0" w:name="_GoBack"/>
            <w:bookmarkEnd w:id="0"/>
          </w:p>
        </w:tc>
        <w:tc>
          <w:tcPr>
            <w:tcW w:w="2254" w:type="dxa"/>
          </w:tcPr>
          <w:p w14:paraId="4D4B92FC" w14:textId="2E7C744D" w:rsidR="00591832" w:rsidRDefault="00591832" w:rsidP="00591832">
            <w:pPr>
              <w:jc w:val="both"/>
            </w:pPr>
            <w:r>
              <w:t>Subject</w:t>
            </w:r>
          </w:p>
        </w:tc>
        <w:tc>
          <w:tcPr>
            <w:tcW w:w="2254" w:type="dxa"/>
          </w:tcPr>
          <w:p w14:paraId="6752BDA3" w14:textId="60489E6E" w:rsidR="00591832" w:rsidRDefault="0099041F"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D154F37" w14:textId="0BC5E8AB" w:rsidR="0099041F" w:rsidRDefault="00684364" w:rsidP="00591832">
            <w:pPr>
              <w:jc w:val="both"/>
            </w:pPr>
            <w:hyperlink r:id="rId10" w:history="1">
              <w:r w:rsidR="0099041F" w:rsidRPr="00001514">
                <w:rPr>
                  <w:rStyle w:val="Hyperlink"/>
                </w:rPr>
                <w:t>https://classroom.thenational.academy/lessons/what-was-empire-and-why-is-it-challenging-to-uncover-the-experience-of-it-cgwp6e</w:t>
              </w:r>
            </w:hyperlink>
          </w:p>
          <w:p w14:paraId="25DB641F" w14:textId="78D09569" w:rsidR="00591832" w:rsidRDefault="0099041F" w:rsidP="00591832">
            <w:pPr>
              <w:jc w:val="both"/>
            </w:pPr>
            <w:r>
              <w:t>Complete this Oak academy lesson using the information.</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61D94640" w14:textId="77777777" w:rsidR="0099041F" w:rsidRDefault="00684364" w:rsidP="0099041F">
            <w:pPr>
              <w:jc w:val="both"/>
            </w:pPr>
            <w:hyperlink r:id="rId11" w:history="1">
              <w:r w:rsidR="0099041F" w:rsidRPr="00001514">
                <w:rPr>
                  <w:rStyle w:val="Hyperlink"/>
                </w:rPr>
                <w:t>https://classroom.thenational.academy/lessons/the-british-empire-1776-1900-61j66c</w:t>
              </w:r>
            </w:hyperlink>
          </w:p>
          <w:p w14:paraId="28AB0A4E" w14:textId="30835E47" w:rsidR="00591832" w:rsidRDefault="0099041F" w:rsidP="0099041F">
            <w:pPr>
              <w:jc w:val="both"/>
            </w:pPr>
            <w:r>
              <w:t>Complete this Oak academy lesson using the information.</w:t>
            </w:r>
          </w:p>
        </w:tc>
      </w:tr>
      <w:tr w:rsidR="0099041F" w14:paraId="2C716B6C" w14:textId="77777777" w:rsidTr="00591832">
        <w:trPr>
          <w:trHeight w:val="275"/>
        </w:trPr>
        <w:tc>
          <w:tcPr>
            <w:tcW w:w="1123" w:type="dxa"/>
          </w:tcPr>
          <w:p w14:paraId="38149F14" w14:textId="1632D8B7" w:rsidR="0099041F" w:rsidRDefault="0099041F" w:rsidP="0099041F">
            <w:pPr>
              <w:jc w:val="both"/>
            </w:pPr>
            <w:r>
              <w:t>3</w:t>
            </w:r>
          </w:p>
        </w:tc>
        <w:tc>
          <w:tcPr>
            <w:tcW w:w="7905" w:type="dxa"/>
          </w:tcPr>
          <w:p w14:paraId="0EF5E43F" w14:textId="77777777" w:rsidR="0099041F" w:rsidRDefault="00684364" w:rsidP="0099041F">
            <w:pPr>
              <w:jc w:val="both"/>
            </w:pPr>
            <w:hyperlink r:id="rId12" w:history="1">
              <w:r w:rsidR="0099041F" w:rsidRPr="00001514">
                <w:rPr>
                  <w:rStyle w:val="Hyperlink"/>
                </w:rPr>
                <w:t>https://classroom.thenational.academy/lessons/colonialism-in-india-6nj66d</w:t>
              </w:r>
            </w:hyperlink>
          </w:p>
          <w:p w14:paraId="0A279AFC" w14:textId="3AC48C08" w:rsidR="0099041F" w:rsidRDefault="0099041F" w:rsidP="0099041F">
            <w:pPr>
              <w:jc w:val="both"/>
            </w:pPr>
            <w:r>
              <w:t>Complete this Oak academy lesson using the information.</w:t>
            </w:r>
          </w:p>
        </w:tc>
      </w:tr>
      <w:tr w:rsidR="0099041F" w14:paraId="62F12EC6" w14:textId="77777777" w:rsidTr="00591832">
        <w:trPr>
          <w:trHeight w:val="275"/>
        </w:trPr>
        <w:tc>
          <w:tcPr>
            <w:tcW w:w="1123" w:type="dxa"/>
          </w:tcPr>
          <w:p w14:paraId="12076268" w14:textId="599C4270" w:rsidR="0099041F" w:rsidRDefault="0099041F" w:rsidP="0099041F">
            <w:pPr>
              <w:jc w:val="both"/>
            </w:pPr>
            <w:r>
              <w:t>4</w:t>
            </w:r>
          </w:p>
        </w:tc>
        <w:tc>
          <w:tcPr>
            <w:tcW w:w="7905" w:type="dxa"/>
          </w:tcPr>
          <w:p w14:paraId="165BC720" w14:textId="64150E24" w:rsidR="0099041F" w:rsidRDefault="00684364" w:rsidP="0099041F">
            <w:pPr>
              <w:jc w:val="both"/>
            </w:pPr>
            <w:hyperlink r:id="rId13" w:history="1">
              <w:r w:rsidR="0099041F" w:rsidRPr="00001514">
                <w:rPr>
                  <w:rStyle w:val="Hyperlink"/>
                </w:rPr>
                <w:t>https://classroom.thenational.academy/lessons/settler-colonialism-in-australia-70tk6c</w:t>
              </w:r>
            </w:hyperlink>
          </w:p>
          <w:p w14:paraId="4056F491" w14:textId="20FF658E" w:rsidR="0099041F" w:rsidRDefault="0099041F" w:rsidP="0099041F">
            <w:pPr>
              <w:jc w:val="both"/>
            </w:pPr>
            <w:r>
              <w:t>Complete this Oak academy lesson using the information.</w:t>
            </w:r>
          </w:p>
        </w:tc>
      </w:tr>
      <w:tr w:rsidR="0099041F" w14:paraId="5F57390E" w14:textId="77777777" w:rsidTr="00591832">
        <w:trPr>
          <w:trHeight w:val="275"/>
        </w:trPr>
        <w:tc>
          <w:tcPr>
            <w:tcW w:w="1123" w:type="dxa"/>
          </w:tcPr>
          <w:p w14:paraId="49D3307E" w14:textId="3034BC3B" w:rsidR="0099041F" w:rsidRDefault="0099041F" w:rsidP="0099041F">
            <w:pPr>
              <w:jc w:val="both"/>
            </w:pPr>
            <w:r>
              <w:t>5</w:t>
            </w:r>
          </w:p>
        </w:tc>
        <w:tc>
          <w:tcPr>
            <w:tcW w:w="7905" w:type="dxa"/>
          </w:tcPr>
          <w:p w14:paraId="793D1FC7" w14:textId="34BBD586" w:rsidR="0099041F" w:rsidRDefault="00684364" w:rsidP="0099041F">
            <w:pPr>
              <w:jc w:val="both"/>
            </w:pPr>
            <w:hyperlink r:id="rId14" w:history="1">
              <w:r w:rsidR="0099041F" w:rsidRPr="00001514">
                <w:rPr>
                  <w:rStyle w:val="Hyperlink"/>
                </w:rPr>
                <w:t>https://classroom.thenational.academy/lessons/internal-colonialism-in-ireland-68t32t</w:t>
              </w:r>
            </w:hyperlink>
          </w:p>
          <w:p w14:paraId="45F83D5F" w14:textId="51756AC0" w:rsidR="0099041F" w:rsidRDefault="0099041F" w:rsidP="0099041F">
            <w:pPr>
              <w:jc w:val="both"/>
            </w:pPr>
            <w:r>
              <w:t>Complete this Oak academy lesson using the information.</w:t>
            </w:r>
          </w:p>
        </w:tc>
      </w:tr>
      <w:tr w:rsidR="0099041F" w14:paraId="1DC44B36" w14:textId="77777777" w:rsidTr="00591832">
        <w:trPr>
          <w:trHeight w:val="275"/>
        </w:trPr>
        <w:tc>
          <w:tcPr>
            <w:tcW w:w="1123" w:type="dxa"/>
          </w:tcPr>
          <w:p w14:paraId="6C85922D" w14:textId="2607C17A" w:rsidR="0099041F" w:rsidRDefault="0099041F" w:rsidP="0099041F">
            <w:pPr>
              <w:jc w:val="both"/>
            </w:pPr>
            <w:r>
              <w:t>6 (Core)</w:t>
            </w:r>
          </w:p>
        </w:tc>
        <w:tc>
          <w:tcPr>
            <w:tcW w:w="7905" w:type="dxa"/>
          </w:tcPr>
          <w:p w14:paraId="284CC2FB" w14:textId="77777777" w:rsidR="0099041F" w:rsidRDefault="0099041F" w:rsidP="0099041F">
            <w:pPr>
              <w:jc w:val="both"/>
            </w:pPr>
          </w:p>
          <w:p w14:paraId="06EA4C19" w14:textId="77777777" w:rsidR="0099041F" w:rsidRDefault="0099041F" w:rsidP="0099041F">
            <w:pPr>
              <w:jc w:val="both"/>
            </w:pPr>
          </w:p>
          <w:p w14:paraId="5B45BF2F" w14:textId="23E0ECD4" w:rsidR="0099041F" w:rsidRDefault="0099041F" w:rsidP="0099041F">
            <w:pPr>
              <w:jc w:val="both"/>
            </w:pPr>
          </w:p>
        </w:tc>
      </w:tr>
      <w:tr w:rsidR="0099041F" w14:paraId="4F9AFF76" w14:textId="77777777" w:rsidTr="00591832">
        <w:trPr>
          <w:trHeight w:val="275"/>
        </w:trPr>
        <w:tc>
          <w:tcPr>
            <w:tcW w:w="1123" w:type="dxa"/>
          </w:tcPr>
          <w:p w14:paraId="5D4675F1" w14:textId="3F50CCF0" w:rsidR="0099041F" w:rsidRDefault="0099041F" w:rsidP="0099041F">
            <w:pPr>
              <w:jc w:val="both"/>
            </w:pPr>
            <w:r>
              <w:t>7 (Core)</w:t>
            </w:r>
          </w:p>
        </w:tc>
        <w:tc>
          <w:tcPr>
            <w:tcW w:w="7905" w:type="dxa"/>
          </w:tcPr>
          <w:p w14:paraId="7D1F155C" w14:textId="77777777" w:rsidR="0099041F" w:rsidRDefault="0099041F" w:rsidP="0099041F">
            <w:pPr>
              <w:jc w:val="both"/>
            </w:pPr>
          </w:p>
          <w:p w14:paraId="4750DCE0" w14:textId="77777777" w:rsidR="0099041F" w:rsidRDefault="0099041F" w:rsidP="0099041F">
            <w:pPr>
              <w:jc w:val="both"/>
            </w:pPr>
          </w:p>
          <w:p w14:paraId="73278EB7" w14:textId="2C8361EF" w:rsidR="0099041F" w:rsidRDefault="0099041F" w:rsidP="0099041F">
            <w:pPr>
              <w:jc w:val="both"/>
            </w:pPr>
          </w:p>
        </w:tc>
      </w:tr>
      <w:tr w:rsidR="0099041F" w14:paraId="2ECFBAD8" w14:textId="77777777" w:rsidTr="00591832">
        <w:trPr>
          <w:trHeight w:val="275"/>
        </w:trPr>
        <w:tc>
          <w:tcPr>
            <w:tcW w:w="1123" w:type="dxa"/>
          </w:tcPr>
          <w:p w14:paraId="7BF4C90E" w14:textId="7AAC6061" w:rsidR="0099041F" w:rsidRDefault="0099041F" w:rsidP="0099041F">
            <w:pPr>
              <w:jc w:val="both"/>
            </w:pPr>
            <w:r>
              <w:t>8 (Core)</w:t>
            </w:r>
          </w:p>
        </w:tc>
        <w:tc>
          <w:tcPr>
            <w:tcW w:w="7905" w:type="dxa"/>
          </w:tcPr>
          <w:p w14:paraId="319D6319" w14:textId="77777777" w:rsidR="0099041F" w:rsidRDefault="0099041F" w:rsidP="0099041F">
            <w:pPr>
              <w:jc w:val="both"/>
            </w:pPr>
          </w:p>
          <w:p w14:paraId="665DB159" w14:textId="77777777" w:rsidR="0099041F" w:rsidRDefault="0099041F" w:rsidP="0099041F">
            <w:pPr>
              <w:jc w:val="both"/>
            </w:pPr>
          </w:p>
          <w:p w14:paraId="78D2172B" w14:textId="7DEF74B8" w:rsidR="0099041F" w:rsidRDefault="0099041F" w:rsidP="0099041F">
            <w:pPr>
              <w:jc w:val="both"/>
            </w:pPr>
          </w:p>
        </w:tc>
      </w:tr>
      <w:tr w:rsidR="0099041F" w14:paraId="3DE93239" w14:textId="77777777" w:rsidTr="00591832">
        <w:trPr>
          <w:trHeight w:val="275"/>
        </w:trPr>
        <w:tc>
          <w:tcPr>
            <w:tcW w:w="1123" w:type="dxa"/>
          </w:tcPr>
          <w:p w14:paraId="77D7AF2C" w14:textId="6B95C5F5" w:rsidR="0099041F" w:rsidRDefault="0099041F" w:rsidP="0099041F">
            <w:pPr>
              <w:jc w:val="both"/>
            </w:pPr>
            <w:r>
              <w:t>9 (Core)</w:t>
            </w:r>
          </w:p>
        </w:tc>
        <w:tc>
          <w:tcPr>
            <w:tcW w:w="7905" w:type="dxa"/>
          </w:tcPr>
          <w:p w14:paraId="769C9179" w14:textId="77777777" w:rsidR="0099041F" w:rsidRDefault="0099041F" w:rsidP="0099041F">
            <w:pPr>
              <w:jc w:val="both"/>
            </w:pPr>
          </w:p>
          <w:p w14:paraId="7A88F3BA" w14:textId="77777777" w:rsidR="0099041F" w:rsidRDefault="0099041F" w:rsidP="0099041F">
            <w:pPr>
              <w:jc w:val="both"/>
            </w:pPr>
          </w:p>
          <w:p w14:paraId="286821E6" w14:textId="6F85C950" w:rsidR="0099041F" w:rsidRDefault="0099041F" w:rsidP="0099041F">
            <w:pPr>
              <w:jc w:val="both"/>
            </w:pPr>
          </w:p>
        </w:tc>
      </w:tr>
      <w:tr w:rsidR="0099041F" w14:paraId="568561F2" w14:textId="77777777" w:rsidTr="00591832">
        <w:trPr>
          <w:trHeight w:val="275"/>
        </w:trPr>
        <w:tc>
          <w:tcPr>
            <w:tcW w:w="1123" w:type="dxa"/>
          </w:tcPr>
          <w:p w14:paraId="08F0A77A" w14:textId="48F66131" w:rsidR="0099041F" w:rsidRDefault="0099041F" w:rsidP="0099041F">
            <w:pPr>
              <w:jc w:val="both"/>
            </w:pPr>
            <w:r>
              <w:t>10 (Core)</w:t>
            </w:r>
          </w:p>
        </w:tc>
        <w:tc>
          <w:tcPr>
            <w:tcW w:w="7905" w:type="dxa"/>
          </w:tcPr>
          <w:p w14:paraId="2576296C" w14:textId="77777777" w:rsidR="0099041F" w:rsidRDefault="0099041F" w:rsidP="0099041F">
            <w:pPr>
              <w:jc w:val="both"/>
            </w:pPr>
          </w:p>
          <w:p w14:paraId="004AE899" w14:textId="77777777" w:rsidR="0099041F" w:rsidRDefault="0099041F" w:rsidP="0099041F">
            <w:pPr>
              <w:jc w:val="both"/>
            </w:pPr>
          </w:p>
          <w:p w14:paraId="13559D6F" w14:textId="411FE96E" w:rsidR="0099041F" w:rsidRDefault="0099041F" w:rsidP="0099041F">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91832"/>
    <w:rsid w:val="006078E2"/>
    <w:rsid w:val="0099041F"/>
    <w:rsid w:val="00A05A4A"/>
    <w:rsid w:val="00A2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9041F"/>
    <w:rPr>
      <w:color w:val="0563C1" w:themeColor="hyperlink"/>
      <w:u w:val="single"/>
    </w:rPr>
  </w:style>
  <w:style w:type="character" w:styleId="UnresolvedMention">
    <w:name w:val="Unresolved Mention"/>
    <w:basedOn w:val="DefaultParagraphFont"/>
    <w:uiPriority w:val="99"/>
    <w:semiHidden/>
    <w:unhideWhenUsed/>
    <w:rsid w:val="0099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settler-colonialism-in-australia-70tk6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colonialism-in-india-6nj66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british-empire-1776-1900-61j66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what-was-empire-and-why-is-it-challenging-to-uncover-the-experience-of-it-cgwp6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internal-colonialism-in-ireland-68t32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32bc433c-dc4b-42d7-8c13-d52702565d95"/>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c08a874-8aa1-4cbb-801c-4461acc2dd82"/>
    <ds:schemaRef ds:uri="http://www.w3.org/XML/1998/namespace"/>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2021-06-21T11:40:00Z</dcterms:created>
  <dcterms:modified xsi:type="dcterms:W3CDTF">2021-06-21T11:40:00Z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