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6F702782" w:rsidR="00591832" w:rsidRDefault="00BD49A0" w:rsidP="00591832">
            <w:pPr>
              <w:jc w:val="both"/>
            </w:pPr>
            <w:r>
              <w:t>10</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1745D34B" w14:textId="57B2EB2C" w:rsidR="00591832" w:rsidRDefault="00BD49A0" w:rsidP="00591832">
            <w:pPr>
              <w:jc w:val="both"/>
              <w:rPr>
                <w:rFonts w:cstheme="minorHAnsi"/>
              </w:rPr>
            </w:pPr>
            <w:r w:rsidRPr="00BD49A0">
              <w:rPr>
                <w:rFonts w:cstheme="minorHAnsi"/>
              </w:rPr>
              <w:t>Expand a Term over a Single Bracket</w:t>
            </w:r>
          </w:p>
          <w:p w14:paraId="4458B4BC" w14:textId="77777777" w:rsidR="00BD49A0" w:rsidRDefault="00BD49A0" w:rsidP="00591832">
            <w:pPr>
              <w:jc w:val="both"/>
              <w:rPr>
                <w:rFonts w:cstheme="minorHAnsi"/>
              </w:rPr>
            </w:pPr>
          </w:p>
          <w:p w14:paraId="25DB641F" w14:textId="37397FB3" w:rsidR="00BD49A0" w:rsidRPr="002C489E" w:rsidRDefault="00D24E82" w:rsidP="00591832">
            <w:pPr>
              <w:jc w:val="both"/>
              <w:rPr>
                <w:rFonts w:cstheme="minorHAnsi"/>
              </w:rPr>
            </w:pPr>
            <w:hyperlink r:id="rId10" w:history="1">
              <w:r w:rsidR="00BD49A0" w:rsidRPr="00D24E82">
                <w:rPr>
                  <w:rStyle w:val="Hyperlink"/>
                  <w:rFonts w:cstheme="minorHAnsi"/>
                </w:rPr>
                <w:t>https://classroom.thenational.academy/lessons/expand-a-term-over-a-single-bracket-c8v62c</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1EC4E041" w14:textId="11B38EA6" w:rsidR="00591832" w:rsidRDefault="00BD49A0" w:rsidP="00591832">
            <w:pPr>
              <w:jc w:val="both"/>
              <w:rPr>
                <w:rFonts w:cstheme="minorHAnsi"/>
              </w:rPr>
            </w:pPr>
            <w:r w:rsidRPr="00BD49A0">
              <w:rPr>
                <w:rFonts w:cstheme="minorHAnsi"/>
              </w:rPr>
              <w:t>Expand 2 brackets and simplify expressions (Part 1)</w:t>
            </w:r>
          </w:p>
          <w:p w14:paraId="6AF0DA01" w14:textId="77777777" w:rsidR="00BD49A0" w:rsidRDefault="00BD49A0" w:rsidP="00591832">
            <w:pPr>
              <w:jc w:val="both"/>
              <w:rPr>
                <w:rFonts w:cstheme="minorHAnsi"/>
              </w:rPr>
            </w:pPr>
          </w:p>
          <w:p w14:paraId="28AB0A4E" w14:textId="4C0C1CBB" w:rsidR="00BD49A0" w:rsidRPr="002C489E" w:rsidRDefault="00D24E82" w:rsidP="00591832">
            <w:pPr>
              <w:jc w:val="both"/>
              <w:rPr>
                <w:rFonts w:cstheme="minorHAnsi"/>
              </w:rPr>
            </w:pPr>
            <w:hyperlink r:id="rId11" w:history="1">
              <w:r w:rsidR="00BD49A0" w:rsidRPr="00D24E82">
                <w:rPr>
                  <w:rStyle w:val="Hyperlink"/>
                  <w:rFonts w:cstheme="minorHAnsi"/>
                </w:rPr>
                <w:t>https://classroom.thenational.academy/lessons/expand-2-brackets-and-simplify-expressions-part-1-crvk4c</w:t>
              </w:r>
            </w:hyperlink>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374B55E2" w14:textId="105C8837" w:rsidR="00BD49A0" w:rsidRDefault="00BD49A0" w:rsidP="00591832">
            <w:pPr>
              <w:jc w:val="both"/>
              <w:rPr>
                <w:rFonts w:cstheme="minorHAnsi"/>
              </w:rPr>
            </w:pPr>
            <w:r w:rsidRPr="00BD49A0">
              <w:rPr>
                <w:rFonts w:cstheme="minorHAnsi"/>
              </w:rPr>
              <w:t>Expand and simplify double brackets</w:t>
            </w:r>
          </w:p>
          <w:p w14:paraId="5A49091B" w14:textId="77777777" w:rsidR="00BD49A0" w:rsidRDefault="00BD49A0" w:rsidP="00591832">
            <w:pPr>
              <w:jc w:val="both"/>
              <w:rPr>
                <w:rFonts w:cstheme="minorHAnsi"/>
              </w:rPr>
            </w:pPr>
          </w:p>
          <w:p w14:paraId="0A279AFC" w14:textId="1337FEA6" w:rsidR="00591832" w:rsidRPr="002C489E" w:rsidRDefault="00D24E82" w:rsidP="00591832">
            <w:pPr>
              <w:jc w:val="both"/>
              <w:rPr>
                <w:rFonts w:cstheme="minorHAnsi"/>
              </w:rPr>
            </w:pPr>
            <w:hyperlink r:id="rId12" w:history="1">
              <w:r w:rsidR="00BD49A0" w:rsidRPr="00D24E82">
                <w:rPr>
                  <w:rStyle w:val="Hyperlink"/>
                  <w:rFonts w:cstheme="minorHAnsi"/>
                </w:rPr>
                <w:t>https://classroom.thenational.academy/lessons/expand-and-simplify-double-brackets-cdhkjc</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3182AD2A" w14:textId="39E8EEFF" w:rsidR="00591832" w:rsidRDefault="00BD49A0" w:rsidP="00591832">
            <w:pPr>
              <w:jc w:val="both"/>
              <w:rPr>
                <w:rFonts w:cstheme="minorHAnsi"/>
              </w:rPr>
            </w:pPr>
            <w:r w:rsidRPr="00BD49A0">
              <w:rPr>
                <w:rFonts w:cstheme="minorHAnsi"/>
              </w:rPr>
              <w:t xml:space="preserve">Expand and Simplify Double Brackets (Coefficient of </w:t>
            </w:r>
            <w:r w:rsidRPr="00BD49A0">
              <w:rPr>
                <w:rFonts w:ascii="Cambria Math" w:hAnsi="Cambria Math" w:cs="Cambria Math"/>
              </w:rPr>
              <w:t>𝑥</w:t>
            </w:r>
            <w:r w:rsidRPr="00BD49A0">
              <w:rPr>
                <w:rFonts w:cstheme="minorHAnsi"/>
              </w:rPr>
              <w:t xml:space="preserve"> Greater than 1)</w:t>
            </w:r>
          </w:p>
          <w:p w14:paraId="3351C837" w14:textId="77777777" w:rsidR="00BD49A0" w:rsidRDefault="00BD49A0" w:rsidP="00591832">
            <w:pPr>
              <w:jc w:val="both"/>
              <w:rPr>
                <w:rFonts w:cstheme="minorHAnsi"/>
              </w:rPr>
            </w:pPr>
          </w:p>
          <w:p w14:paraId="4056F491" w14:textId="67A872CC" w:rsidR="00BD49A0" w:rsidRPr="002C489E" w:rsidRDefault="00D24E82" w:rsidP="00591832">
            <w:pPr>
              <w:jc w:val="both"/>
              <w:rPr>
                <w:rFonts w:cstheme="minorHAnsi"/>
              </w:rPr>
            </w:pPr>
            <w:hyperlink r:id="rId13" w:history="1">
              <w:r w:rsidR="00BD49A0" w:rsidRPr="00D24E82">
                <w:rPr>
                  <w:rStyle w:val="Hyperlink"/>
                  <w:rFonts w:cstheme="minorHAnsi"/>
                </w:rPr>
                <w:t>https://classroom.thenational.academy/lessons/expand-and-simplify-double-brackets-coefficient-of-greater-than-1-c8wp4e</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1051C2C4" w14:textId="2E4D17D6" w:rsidR="00591832" w:rsidRDefault="00BD49A0" w:rsidP="00591832">
            <w:pPr>
              <w:jc w:val="both"/>
              <w:rPr>
                <w:rFonts w:cstheme="minorHAnsi"/>
              </w:rPr>
            </w:pPr>
            <w:r w:rsidRPr="00BD49A0">
              <w:rPr>
                <w:rFonts w:cstheme="minorHAnsi"/>
              </w:rPr>
              <w:t>Multiplication law for indices</w:t>
            </w:r>
          </w:p>
          <w:p w14:paraId="23D15203" w14:textId="77777777" w:rsidR="00BD49A0" w:rsidRDefault="00BD49A0" w:rsidP="00591832">
            <w:pPr>
              <w:jc w:val="both"/>
              <w:rPr>
                <w:rFonts w:cstheme="minorHAnsi"/>
              </w:rPr>
            </w:pPr>
          </w:p>
          <w:p w14:paraId="45F83D5F" w14:textId="4C84258F" w:rsidR="00BD49A0" w:rsidRPr="002C489E" w:rsidRDefault="00D24E82" w:rsidP="00591832">
            <w:pPr>
              <w:jc w:val="both"/>
              <w:rPr>
                <w:rFonts w:cstheme="minorHAnsi"/>
              </w:rPr>
            </w:pPr>
            <w:hyperlink r:id="rId14" w:history="1">
              <w:r w:rsidRPr="00D24E82">
                <w:rPr>
                  <w:rStyle w:val="Hyperlink"/>
                  <w:rFonts w:cstheme="minorHAnsi"/>
                </w:rPr>
                <w:t>https://classroom.thenational.academy/lessons/multiplication-law-for-indices-c9j68c</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282679FD" w14:textId="0DC80A79" w:rsidR="00BD49A0" w:rsidRDefault="00BD49A0" w:rsidP="00591832">
            <w:pPr>
              <w:jc w:val="both"/>
              <w:rPr>
                <w:rFonts w:cstheme="minorHAnsi"/>
              </w:rPr>
            </w:pPr>
            <w:r w:rsidRPr="00BD49A0">
              <w:rPr>
                <w:rFonts w:cstheme="minorHAnsi"/>
              </w:rPr>
              <w:t>Division law for indices</w:t>
            </w:r>
          </w:p>
          <w:p w14:paraId="4E466A9F" w14:textId="77777777" w:rsidR="00D24E82" w:rsidRDefault="00D24E82" w:rsidP="00591832">
            <w:pPr>
              <w:jc w:val="both"/>
              <w:rPr>
                <w:rFonts w:cstheme="minorHAnsi"/>
              </w:rPr>
            </w:pPr>
          </w:p>
          <w:p w14:paraId="5B45BF2F" w14:textId="52792D34" w:rsidR="00BD49A0" w:rsidRPr="002C489E" w:rsidRDefault="00D24E82" w:rsidP="00591832">
            <w:pPr>
              <w:jc w:val="both"/>
              <w:rPr>
                <w:rFonts w:cstheme="minorHAnsi"/>
              </w:rPr>
            </w:pPr>
            <w:hyperlink r:id="rId15" w:history="1">
              <w:r w:rsidR="00BD49A0" w:rsidRPr="00D24E82">
                <w:rPr>
                  <w:rStyle w:val="Hyperlink"/>
                  <w:rFonts w:cstheme="minorHAnsi"/>
                </w:rPr>
                <w:t>https://classroom.thenational.academy/lessons/division-law-for-indices-cru30d</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4A1ABC88" w14:textId="1BE93636" w:rsidR="00BD49A0" w:rsidRDefault="00BD49A0" w:rsidP="00591832">
            <w:pPr>
              <w:jc w:val="both"/>
              <w:rPr>
                <w:rFonts w:cstheme="minorHAnsi"/>
                <w:color w:val="000000" w:themeColor="text1"/>
              </w:rPr>
            </w:pPr>
            <w:hyperlink r:id="rId16" w:history="1">
              <w:r w:rsidRPr="00BD49A0">
                <w:rPr>
                  <w:rStyle w:val="Hyperlink"/>
                  <w:rFonts w:cstheme="minorHAnsi"/>
                  <w:color w:val="000000" w:themeColor="text1"/>
                  <w:u w:val="none"/>
                </w:rPr>
                <w:t>Power Law for Indices</w:t>
              </w:r>
            </w:hyperlink>
          </w:p>
          <w:p w14:paraId="5CD187AA" w14:textId="77777777" w:rsidR="00BD49A0" w:rsidRPr="00BD49A0" w:rsidRDefault="00BD49A0" w:rsidP="00591832">
            <w:pPr>
              <w:jc w:val="both"/>
              <w:rPr>
                <w:rFonts w:cstheme="minorHAnsi"/>
                <w:color w:val="000000" w:themeColor="text1"/>
              </w:rPr>
            </w:pPr>
          </w:p>
          <w:p w14:paraId="73278EB7" w14:textId="688ADF48" w:rsidR="00591832" w:rsidRPr="002C489E" w:rsidRDefault="00D24E82" w:rsidP="00591832">
            <w:pPr>
              <w:jc w:val="both"/>
              <w:rPr>
                <w:rFonts w:cstheme="minorHAnsi"/>
              </w:rPr>
            </w:pPr>
            <w:hyperlink r:id="rId17" w:history="1">
              <w:r w:rsidR="00BD49A0" w:rsidRPr="00D24E82">
                <w:rPr>
                  <w:rStyle w:val="Hyperlink"/>
                  <w:rFonts w:cstheme="minorHAnsi"/>
                </w:rPr>
                <w:t>https://classroom.thenational.academy/lessons/power-law-for-indices-64w32r</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71F78C1B" w14:textId="1D51D6AB" w:rsidR="00591832" w:rsidRDefault="00BD49A0" w:rsidP="002C489E">
            <w:pPr>
              <w:tabs>
                <w:tab w:val="left" w:pos="2520"/>
              </w:tabs>
              <w:jc w:val="both"/>
              <w:rPr>
                <w:rFonts w:cstheme="minorHAnsi"/>
              </w:rPr>
            </w:pPr>
            <w:r w:rsidRPr="00BD49A0">
              <w:rPr>
                <w:rFonts w:cstheme="minorHAnsi"/>
              </w:rPr>
              <w:t>Combining Index Laws</w:t>
            </w:r>
          </w:p>
          <w:p w14:paraId="27EDE1CA" w14:textId="77777777" w:rsidR="00BD49A0" w:rsidRDefault="00BD49A0" w:rsidP="002C489E">
            <w:pPr>
              <w:tabs>
                <w:tab w:val="left" w:pos="2520"/>
              </w:tabs>
              <w:jc w:val="both"/>
              <w:rPr>
                <w:rFonts w:cstheme="minorHAnsi"/>
              </w:rPr>
            </w:pPr>
          </w:p>
          <w:p w14:paraId="78D2172B" w14:textId="34502A65" w:rsidR="00BD49A0" w:rsidRPr="002C489E" w:rsidRDefault="00D24E82" w:rsidP="002C489E">
            <w:pPr>
              <w:tabs>
                <w:tab w:val="left" w:pos="2520"/>
              </w:tabs>
              <w:jc w:val="both"/>
              <w:rPr>
                <w:rFonts w:cstheme="minorHAnsi"/>
              </w:rPr>
            </w:pPr>
            <w:hyperlink r:id="rId18" w:history="1">
              <w:r w:rsidR="00BD49A0" w:rsidRPr="00D24E82">
                <w:rPr>
                  <w:rStyle w:val="Hyperlink"/>
                  <w:rFonts w:cstheme="minorHAnsi"/>
                </w:rPr>
                <w:t>https://classroom.thenational.academy/lessons/combining-index-laws-chh64t</w:t>
              </w:r>
            </w:hyperlink>
            <w:bookmarkStart w:id="0" w:name="_GoBack"/>
            <w:bookmarkEnd w:id="0"/>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9" w:history="1">
        <w:r w:rsidRPr="00A06103">
          <w:rPr>
            <w:rStyle w:val="Hyperlink"/>
            <w:b/>
            <w:bCs/>
          </w:rPr>
          <w:t>Dr Frost M</w:t>
        </w:r>
        <w:r w:rsidRPr="00A06103">
          <w:rPr>
            <w:rStyle w:val="Hyperlink"/>
            <w:b/>
            <w:bCs/>
          </w:rPr>
          <w:t>a</w:t>
        </w:r>
        <w:r w:rsidRPr="00A06103">
          <w:rPr>
            <w:rStyle w:val="Hyperlink"/>
            <w:b/>
            <w:bCs/>
          </w:rPr>
          <w:t>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lastRenderedPageBreak/>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01CBF" w14:textId="77777777" w:rsidR="00722326" w:rsidRDefault="00722326" w:rsidP="00311D1B">
      <w:pPr>
        <w:spacing w:after="0" w:line="240" w:lineRule="auto"/>
      </w:pPr>
      <w:r>
        <w:separator/>
      </w:r>
    </w:p>
  </w:endnote>
  <w:endnote w:type="continuationSeparator" w:id="0">
    <w:p w14:paraId="2580ABCD" w14:textId="77777777" w:rsidR="00722326" w:rsidRDefault="00722326"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D8C8" w14:textId="77777777" w:rsidR="00722326" w:rsidRDefault="00722326" w:rsidP="00311D1B">
      <w:pPr>
        <w:spacing w:after="0" w:line="240" w:lineRule="auto"/>
      </w:pPr>
      <w:r>
        <w:separator/>
      </w:r>
    </w:p>
  </w:footnote>
  <w:footnote w:type="continuationSeparator" w:id="0">
    <w:p w14:paraId="01CED8D7" w14:textId="77777777" w:rsidR="00722326" w:rsidRDefault="00722326"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C489E"/>
    <w:rsid w:val="00311D1B"/>
    <w:rsid w:val="00357312"/>
    <w:rsid w:val="00591832"/>
    <w:rsid w:val="006078E2"/>
    <w:rsid w:val="00722326"/>
    <w:rsid w:val="00A05A4A"/>
    <w:rsid w:val="00A06103"/>
    <w:rsid w:val="00BD49A0"/>
    <w:rsid w:val="00D2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53303">
      <w:bodyDiv w:val="1"/>
      <w:marLeft w:val="0"/>
      <w:marRight w:val="0"/>
      <w:marTop w:val="0"/>
      <w:marBottom w:val="0"/>
      <w:divBdr>
        <w:top w:val="none" w:sz="0" w:space="0" w:color="auto"/>
        <w:left w:val="none" w:sz="0" w:space="0" w:color="auto"/>
        <w:bottom w:val="none" w:sz="0" w:space="0" w:color="auto"/>
        <w:right w:val="none" w:sz="0" w:space="0" w:color="auto"/>
      </w:divBdr>
      <w:divsChild>
        <w:div w:id="661932220">
          <w:marLeft w:val="0"/>
          <w:marRight w:val="0"/>
          <w:marTop w:val="0"/>
          <w:marBottom w:val="0"/>
          <w:divBdr>
            <w:top w:val="none" w:sz="0" w:space="0" w:color="auto"/>
            <w:left w:val="none" w:sz="0" w:space="0" w:color="auto"/>
            <w:bottom w:val="none" w:sz="0" w:space="0" w:color="auto"/>
            <w:right w:val="none" w:sz="0" w:space="0" w:color="auto"/>
          </w:divBdr>
          <w:divsChild>
            <w:div w:id="1750541413">
              <w:marLeft w:val="0"/>
              <w:marRight w:val="0"/>
              <w:marTop w:val="0"/>
              <w:marBottom w:val="0"/>
              <w:divBdr>
                <w:top w:val="none" w:sz="0" w:space="0" w:color="auto"/>
                <w:left w:val="none" w:sz="0" w:space="0" w:color="auto"/>
                <w:bottom w:val="none" w:sz="0" w:space="0" w:color="auto"/>
                <w:right w:val="none" w:sz="0" w:space="0" w:color="auto"/>
              </w:divBdr>
            </w:div>
            <w:div w:id="1152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expand-and-simplify-double-brackets-coefficient-of-greater-than-1-c8wp4e" TargetMode="External"/><Relationship Id="rId18" Type="http://schemas.openxmlformats.org/officeDocument/2006/relationships/hyperlink" Target="https://classroom.thenational.academy/lessons/combining-index-laws-chh64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expand-and-simplify-double-brackets-cdhkjc" TargetMode="External"/><Relationship Id="rId17" Type="http://schemas.openxmlformats.org/officeDocument/2006/relationships/hyperlink" Target="https://classroom.thenational.academy/lessons/power-law-for-indices-64w32r" TargetMode="External"/><Relationship Id="rId2" Type="http://schemas.openxmlformats.org/officeDocument/2006/relationships/customXml" Target="../customXml/item2.xml"/><Relationship Id="rId16" Type="http://schemas.openxmlformats.org/officeDocument/2006/relationships/hyperlink" Target="https://teachers.thenational.academy/lessons/power-law-for-indices-64w32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expand-2-brackets-and-simplify-expressions-part-1-crvk4c" TargetMode="External"/><Relationship Id="rId5" Type="http://schemas.openxmlformats.org/officeDocument/2006/relationships/styles" Target="styles.xml"/><Relationship Id="rId15" Type="http://schemas.openxmlformats.org/officeDocument/2006/relationships/hyperlink" Target="https://classroom.thenational.academy/lessons/division-law-for-indices-cru30d" TargetMode="External"/><Relationship Id="rId10" Type="http://schemas.openxmlformats.org/officeDocument/2006/relationships/hyperlink" Target="https://classroom.thenational.academy/lessons/expand-a-term-over-a-single-bracket-c8v62c" TargetMode="External"/><Relationship Id="rId19" Type="http://schemas.openxmlformats.org/officeDocument/2006/relationships/hyperlink" Target="https://www.drfrostmaths.com/index.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multiplication-law-for-indices-c9j68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RalphS</cp:lastModifiedBy>
  <cp:revision>3</cp:revision>
  <dcterms:created xsi:type="dcterms:W3CDTF">2021-02-26T11:35:00Z</dcterms:created>
  <dcterms:modified xsi:type="dcterms:W3CDTF">2021-02-26T11:37:00Z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