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9ADD2FB" w:rsidR="00591832" w:rsidRDefault="00591832" w:rsidP="00591832">
      <w:pPr>
        <w:jc w:val="center"/>
        <w:rPr>
          <w:b/>
          <w:bCs/>
          <w:u w:val="single"/>
        </w:rPr>
      </w:pPr>
      <w:r w:rsidRPr="00591832">
        <w:rPr>
          <w:b/>
          <w:bCs/>
          <w:u w:val="single"/>
        </w:rPr>
        <w:t>Independent Home Learning</w:t>
      </w:r>
      <w:r w:rsidR="000531F8">
        <w:rPr>
          <w:b/>
          <w:bCs/>
          <w:u w:val="single"/>
        </w:rPr>
        <w:t xml:space="preserve"> S</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0C97AF72" w:rsidR="00591832" w:rsidRDefault="00144952"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CB5DC71" w14:textId="38BBBADB" w:rsidR="00ED1756" w:rsidRDefault="008A06B8" w:rsidP="00591832">
            <w:pPr>
              <w:jc w:val="both"/>
              <w:rPr>
                <w:rFonts w:cstheme="minorHAnsi"/>
              </w:rPr>
            </w:pPr>
            <w:r>
              <w:rPr>
                <w:rFonts w:cstheme="minorHAnsi"/>
              </w:rPr>
              <w:t>Perimeter</w:t>
            </w:r>
          </w:p>
          <w:p w14:paraId="14FC3981" w14:textId="2B36CA74" w:rsidR="008A06B8" w:rsidRDefault="008A06B8" w:rsidP="00591832">
            <w:pPr>
              <w:jc w:val="both"/>
              <w:rPr>
                <w:rFonts w:cstheme="minorHAnsi"/>
              </w:rPr>
            </w:pPr>
          </w:p>
          <w:p w14:paraId="25DB641F" w14:textId="3D3FC0A6" w:rsidR="00591832" w:rsidRPr="002C489E" w:rsidRDefault="008A06B8" w:rsidP="00591832">
            <w:pPr>
              <w:jc w:val="both"/>
              <w:rPr>
                <w:rFonts w:cstheme="minorHAnsi"/>
              </w:rPr>
            </w:pPr>
            <w:hyperlink r:id="rId10" w:history="1">
              <w:r w:rsidRPr="008A06B8">
                <w:rPr>
                  <w:color w:val="0000FF"/>
                  <w:u w:val="single"/>
                </w:rPr>
                <w:t>Describing per</w:t>
              </w:r>
              <w:bookmarkStart w:id="0" w:name="_GoBack"/>
              <w:bookmarkEnd w:id="0"/>
              <w:r w:rsidRPr="008A06B8">
                <w:rPr>
                  <w:color w:val="0000FF"/>
                  <w:u w:val="single"/>
                </w:rPr>
                <w:t>imeters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35D05452" w14:textId="77777777" w:rsidR="00591832" w:rsidRDefault="008A06B8" w:rsidP="00591832">
            <w:pPr>
              <w:jc w:val="both"/>
              <w:rPr>
                <w:rFonts w:cstheme="minorHAnsi"/>
              </w:rPr>
            </w:pPr>
            <w:r>
              <w:rPr>
                <w:rFonts w:cstheme="minorHAnsi"/>
              </w:rPr>
              <w:t>Area</w:t>
            </w:r>
          </w:p>
          <w:p w14:paraId="66F23579" w14:textId="77777777" w:rsidR="008A06B8" w:rsidRDefault="008A06B8" w:rsidP="00591832">
            <w:pPr>
              <w:jc w:val="both"/>
              <w:rPr>
                <w:rFonts w:cstheme="minorHAnsi"/>
              </w:rPr>
            </w:pPr>
          </w:p>
          <w:p w14:paraId="28AB0A4E" w14:textId="46A0EDB6" w:rsidR="008A06B8" w:rsidRPr="002C489E" w:rsidRDefault="008A06B8" w:rsidP="00591832">
            <w:pPr>
              <w:jc w:val="both"/>
              <w:rPr>
                <w:rFonts w:cstheme="minorHAnsi"/>
              </w:rPr>
            </w:pPr>
            <w:hyperlink r:id="rId11" w:history="1">
              <w:r w:rsidRPr="008A06B8">
                <w:rPr>
                  <w:color w:val="0000FF"/>
                  <w:u w:val="single"/>
                </w:rPr>
                <w:t>Describing areas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2C716B6C" w14:textId="77777777" w:rsidTr="00591832">
        <w:trPr>
          <w:trHeight w:val="275"/>
        </w:trPr>
        <w:tc>
          <w:tcPr>
            <w:tcW w:w="1123" w:type="dxa"/>
          </w:tcPr>
          <w:p w14:paraId="38149F14" w14:textId="50E5B845" w:rsidR="00591832" w:rsidRDefault="00591832" w:rsidP="00591832">
            <w:pPr>
              <w:jc w:val="both"/>
            </w:pPr>
            <w:r>
              <w:t>3</w:t>
            </w:r>
          </w:p>
        </w:tc>
        <w:tc>
          <w:tcPr>
            <w:tcW w:w="7905" w:type="dxa"/>
          </w:tcPr>
          <w:p w14:paraId="40F08E46" w14:textId="27054DFD" w:rsidR="00ED1756" w:rsidRDefault="008A06B8" w:rsidP="00591832">
            <w:pPr>
              <w:jc w:val="both"/>
              <w:rPr>
                <w:rFonts w:cstheme="minorHAnsi"/>
              </w:rPr>
            </w:pPr>
            <w:r>
              <w:rPr>
                <w:rFonts w:cstheme="minorHAnsi"/>
              </w:rPr>
              <w:t>Combining Shapes</w:t>
            </w:r>
          </w:p>
          <w:p w14:paraId="118D9D48" w14:textId="77777777" w:rsidR="008A06B8" w:rsidRPr="002C489E" w:rsidRDefault="008A06B8" w:rsidP="00591832">
            <w:pPr>
              <w:jc w:val="both"/>
              <w:rPr>
                <w:rFonts w:cstheme="minorHAnsi"/>
              </w:rPr>
            </w:pPr>
          </w:p>
          <w:p w14:paraId="0A279AFC" w14:textId="7AB4249F" w:rsidR="00591832" w:rsidRPr="002C489E" w:rsidRDefault="008A06B8" w:rsidP="00591832">
            <w:pPr>
              <w:jc w:val="both"/>
              <w:rPr>
                <w:rFonts w:cstheme="minorHAnsi"/>
              </w:rPr>
            </w:pPr>
            <w:hyperlink r:id="rId12" w:history="1">
              <w:r w:rsidRPr="008A06B8">
                <w:rPr>
                  <w:color w:val="0000FF"/>
                  <w:u w:val="single"/>
                </w:rPr>
                <w:t>Cutting and combining shapes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60B71EA3" w14:textId="39AC3707" w:rsidR="000C1C77" w:rsidRDefault="008A06B8" w:rsidP="00591832">
            <w:pPr>
              <w:jc w:val="both"/>
              <w:rPr>
                <w:rFonts w:cstheme="minorHAnsi"/>
              </w:rPr>
            </w:pPr>
            <w:r>
              <w:rPr>
                <w:rFonts w:cstheme="minorHAnsi"/>
              </w:rPr>
              <w:t>Rectangles</w:t>
            </w:r>
          </w:p>
          <w:p w14:paraId="1EC7C7C2" w14:textId="77777777" w:rsidR="008A06B8" w:rsidRPr="002C489E" w:rsidRDefault="008A06B8" w:rsidP="00591832">
            <w:pPr>
              <w:jc w:val="both"/>
              <w:rPr>
                <w:rFonts w:cstheme="minorHAnsi"/>
              </w:rPr>
            </w:pPr>
          </w:p>
          <w:p w14:paraId="4056F491" w14:textId="3192BC1D" w:rsidR="00591832" w:rsidRPr="002C489E" w:rsidRDefault="008A06B8" w:rsidP="00591832">
            <w:pPr>
              <w:jc w:val="both"/>
              <w:rPr>
                <w:rFonts w:cstheme="minorHAnsi"/>
              </w:rPr>
            </w:pPr>
            <w:hyperlink r:id="rId13" w:history="1">
              <w:r w:rsidRPr="008A06B8">
                <w:rPr>
                  <w:color w:val="0000FF"/>
                  <w:u w:val="single"/>
                </w:rPr>
                <w:t>Exploring rectangles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2856C4F9" w14:textId="534B0F54" w:rsidR="00ED1756" w:rsidRPr="002C489E" w:rsidRDefault="008A06B8" w:rsidP="00591832">
            <w:pPr>
              <w:jc w:val="both"/>
              <w:rPr>
                <w:rFonts w:cstheme="minorHAnsi"/>
              </w:rPr>
            </w:pPr>
            <w:r>
              <w:rPr>
                <w:rFonts w:cstheme="minorHAnsi"/>
              </w:rPr>
              <w:t>Rectilinear Shapes</w:t>
            </w:r>
          </w:p>
          <w:p w14:paraId="3A9B2700" w14:textId="77777777" w:rsidR="00591832" w:rsidRDefault="00591832" w:rsidP="00591832">
            <w:pPr>
              <w:jc w:val="both"/>
              <w:rPr>
                <w:rFonts w:cstheme="minorHAnsi"/>
              </w:rPr>
            </w:pPr>
          </w:p>
          <w:p w14:paraId="45F83D5F" w14:textId="264130A5" w:rsidR="008A06B8" w:rsidRPr="002C489E" w:rsidRDefault="008A06B8" w:rsidP="00591832">
            <w:pPr>
              <w:jc w:val="both"/>
              <w:rPr>
                <w:rFonts w:cstheme="minorHAnsi"/>
              </w:rPr>
            </w:pPr>
            <w:hyperlink r:id="rId14" w:history="1">
              <w:r w:rsidRPr="008A06B8">
                <w:rPr>
                  <w:color w:val="0000FF"/>
                  <w:u w:val="single"/>
                </w:rPr>
                <w:t>Rectilinear shapes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1DC44B36" w14:textId="77777777" w:rsidTr="00591832">
        <w:trPr>
          <w:trHeight w:val="275"/>
        </w:trPr>
        <w:tc>
          <w:tcPr>
            <w:tcW w:w="1123" w:type="dxa"/>
          </w:tcPr>
          <w:p w14:paraId="6C85922D" w14:textId="0FB7E03B" w:rsidR="00591832" w:rsidRDefault="00591832" w:rsidP="00591832">
            <w:pPr>
              <w:jc w:val="both"/>
            </w:pPr>
            <w:r>
              <w:t xml:space="preserve">6 </w:t>
            </w:r>
          </w:p>
        </w:tc>
        <w:tc>
          <w:tcPr>
            <w:tcW w:w="7905" w:type="dxa"/>
          </w:tcPr>
          <w:p w14:paraId="1823BF93" w14:textId="672AF4B0" w:rsidR="00ED1756" w:rsidRDefault="008A06B8" w:rsidP="00591832">
            <w:pPr>
              <w:jc w:val="both"/>
              <w:rPr>
                <w:rFonts w:cstheme="minorHAnsi"/>
              </w:rPr>
            </w:pPr>
            <w:r>
              <w:rPr>
                <w:rFonts w:cstheme="minorHAnsi"/>
              </w:rPr>
              <w:t>Parallelograms</w:t>
            </w:r>
          </w:p>
          <w:p w14:paraId="75F9EFFB" w14:textId="77777777" w:rsidR="008A06B8" w:rsidRPr="002C489E" w:rsidRDefault="008A06B8" w:rsidP="00591832">
            <w:pPr>
              <w:jc w:val="both"/>
              <w:rPr>
                <w:rFonts w:cstheme="minorHAnsi"/>
              </w:rPr>
            </w:pPr>
          </w:p>
          <w:p w14:paraId="5B45BF2F" w14:textId="6DACEEB1" w:rsidR="00591832" w:rsidRPr="002C489E" w:rsidRDefault="008A06B8" w:rsidP="00591832">
            <w:pPr>
              <w:jc w:val="both"/>
              <w:rPr>
                <w:rFonts w:cstheme="minorHAnsi"/>
              </w:rPr>
            </w:pPr>
            <w:hyperlink r:id="rId15" w:history="1">
              <w:r w:rsidRPr="008A06B8">
                <w:rPr>
                  <w:color w:val="0000FF"/>
                  <w:u w:val="single"/>
                </w:rPr>
                <w:t>Area of parallelograms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r w:rsidR="00591832" w14:paraId="4F9AFF76" w14:textId="77777777" w:rsidTr="00591832">
        <w:trPr>
          <w:trHeight w:val="275"/>
        </w:trPr>
        <w:tc>
          <w:tcPr>
            <w:tcW w:w="1123" w:type="dxa"/>
          </w:tcPr>
          <w:p w14:paraId="5D4675F1" w14:textId="7CDAF816" w:rsidR="00591832" w:rsidRDefault="00591832" w:rsidP="00591832">
            <w:pPr>
              <w:jc w:val="both"/>
            </w:pPr>
            <w:r>
              <w:t xml:space="preserve">7 </w:t>
            </w:r>
          </w:p>
        </w:tc>
        <w:tc>
          <w:tcPr>
            <w:tcW w:w="7905" w:type="dxa"/>
          </w:tcPr>
          <w:p w14:paraId="0FD07C3F" w14:textId="131127A4" w:rsidR="00591832" w:rsidRDefault="008A06B8" w:rsidP="00ED1756">
            <w:pPr>
              <w:jc w:val="both"/>
            </w:pPr>
            <w:r>
              <w:t>Triangles</w:t>
            </w:r>
          </w:p>
          <w:p w14:paraId="00A00962" w14:textId="77777777" w:rsidR="00ED1756" w:rsidRDefault="00ED1756" w:rsidP="008A06B8">
            <w:pPr>
              <w:jc w:val="both"/>
            </w:pPr>
            <w:r>
              <w:rPr>
                <w:rFonts w:cstheme="minorHAnsi"/>
              </w:rPr>
              <w:t xml:space="preserve"> </w:t>
            </w:r>
          </w:p>
          <w:p w14:paraId="1A0D07D8" w14:textId="77777777" w:rsidR="008A06B8" w:rsidRDefault="008A06B8" w:rsidP="008A06B8">
            <w:pPr>
              <w:jc w:val="both"/>
            </w:pPr>
            <w:hyperlink r:id="rId16" w:history="1">
              <w:r w:rsidRPr="008A06B8">
                <w:rPr>
                  <w:color w:val="0000FF"/>
                  <w:u w:val="single"/>
                </w:rPr>
                <w:t>Area of triangles (</w:t>
              </w:r>
              <w:proofErr w:type="spellStart"/>
              <w:proofErr w:type="gramStart"/>
              <w:r w:rsidRPr="008A06B8">
                <w:rPr>
                  <w:color w:val="0000FF"/>
                  <w:u w:val="single"/>
                </w:rPr>
                <w:t>thenational.academy</w:t>
              </w:r>
              <w:proofErr w:type="spellEnd"/>
              <w:proofErr w:type="gramEnd"/>
              <w:r w:rsidRPr="008A06B8">
                <w:rPr>
                  <w:color w:val="0000FF"/>
                  <w:u w:val="single"/>
                </w:rPr>
                <w:t>)</w:t>
              </w:r>
            </w:hyperlink>
          </w:p>
          <w:p w14:paraId="73278EB7" w14:textId="31EB6927" w:rsidR="008A06B8" w:rsidRPr="002C489E" w:rsidRDefault="008A06B8" w:rsidP="008A06B8">
            <w:pPr>
              <w:jc w:val="both"/>
              <w:rPr>
                <w:rFonts w:cstheme="minorHAnsi"/>
              </w:rPr>
            </w:pPr>
            <w:hyperlink r:id="rId17" w:history="1">
              <w:r w:rsidRPr="008A06B8">
                <w:rPr>
                  <w:color w:val="0000FF"/>
                  <w:u w:val="single"/>
                </w:rPr>
                <w:t>Further triangles (</w:t>
              </w:r>
              <w:proofErr w:type="spellStart"/>
              <w:proofErr w:type="gramStart"/>
              <w:r w:rsidRPr="008A06B8">
                <w:rPr>
                  <w:color w:val="0000FF"/>
                  <w:u w:val="single"/>
                </w:rPr>
                <w:t>thenational.academy</w:t>
              </w:r>
              <w:proofErr w:type="spellEnd"/>
              <w:proofErr w:type="gramEnd"/>
              <w:r w:rsidRPr="008A06B8">
                <w:rPr>
                  <w:color w:val="0000FF"/>
                  <w:u w:val="single"/>
                </w:rPr>
                <w:t>)</w:t>
              </w:r>
            </w:hyperlink>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8"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531F8"/>
    <w:rsid w:val="000C1C77"/>
    <w:rsid w:val="00144952"/>
    <w:rsid w:val="002C489E"/>
    <w:rsid w:val="00311D1B"/>
    <w:rsid w:val="00357312"/>
    <w:rsid w:val="00591832"/>
    <w:rsid w:val="006078E2"/>
    <w:rsid w:val="00724034"/>
    <w:rsid w:val="008A06B8"/>
    <w:rsid w:val="00A05A4A"/>
    <w:rsid w:val="00A06103"/>
    <w:rsid w:val="00A81BD9"/>
    <w:rsid w:val="00BD6988"/>
    <w:rsid w:val="00C819AD"/>
    <w:rsid w:val="00ED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xploring-rectangles-69k64d" TargetMode="External"/><Relationship Id="rId18" Type="http://schemas.openxmlformats.org/officeDocument/2006/relationships/hyperlink" Target="https://www.drfrostmaths.com/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cutting-and-combining-shapes-c5j66d" TargetMode="External"/><Relationship Id="rId17" Type="http://schemas.openxmlformats.org/officeDocument/2006/relationships/hyperlink" Target="https://classroom.thenational.academy/lessons/further-triangles-68u6ae" TargetMode="External"/><Relationship Id="rId2" Type="http://schemas.openxmlformats.org/officeDocument/2006/relationships/customXml" Target="../customXml/item2.xml"/><Relationship Id="rId16" Type="http://schemas.openxmlformats.org/officeDocument/2006/relationships/hyperlink" Target="https://classroom.thenational.academy/lessons/area-of-triangles-6cwk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describing-areas-75h62r" TargetMode="External"/><Relationship Id="rId5" Type="http://schemas.openxmlformats.org/officeDocument/2006/relationships/styles" Target="styles.xml"/><Relationship Id="rId15" Type="http://schemas.openxmlformats.org/officeDocument/2006/relationships/hyperlink" Target="https://classroom.thenational.academy/lessons/area-of-parallelograms-6wup2e" TargetMode="External"/><Relationship Id="rId10" Type="http://schemas.openxmlformats.org/officeDocument/2006/relationships/hyperlink" Target="https://classroom.thenational.academy/lessons/describing-perimeters-74u30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rectilinear-shapes-6wr34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GaleE</cp:lastModifiedBy>
  <cp:revision>2</cp:revision>
  <dcterms:created xsi:type="dcterms:W3CDTF">2021-06-21T09:23:00Z</dcterms:created>
  <dcterms:modified xsi:type="dcterms:W3CDTF">2021-06-21T09:23:00Z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