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AF67" w14:textId="79930418" w:rsidR="00591832" w:rsidRDefault="00591832" w:rsidP="00591832">
      <w:pPr>
        <w:jc w:val="center"/>
        <w:rPr>
          <w:b/>
          <w:bCs/>
          <w:u w:val="single"/>
        </w:rPr>
      </w:pPr>
      <w:r w:rsidRPr="00591832">
        <w:rPr>
          <w:b/>
          <w:bCs/>
          <w:u w:val="single"/>
        </w:rPr>
        <w:t>Independent Home Learning</w:t>
      </w:r>
    </w:p>
    <w:p w14:paraId="31EADED6" w14:textId="4D9286D4" w:rsidR="00E709E1" w:rsidRPr="00E709E1" w:rsidRDefault="00E709E1" w:rsidP="00E709E1">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pPr w:leftFromText="180" w:rightFromText="180" w:vertAnchor="text" w:horzAnchor="margin" w:tblpY="602"/>
        <w:tblW w:w="15304" w:type="dxa"/>
        <w:tblLook w:val="04A0" w:firstRow="1" w:lastRow="0" w:firstColumn="1" w:lastColumn="0" w:noHBand="0" w:noVBand="1"/>
      </w:tblPr>
      <w:tblGrid>
        <w:gridCol w:w="1270"/>
        <w:gridCol w:w="2360"/>
        <w:gridCol w:w="3478"/>
        <w:gridCol w:w="8196"/>
      </w:tblGrid>
      <w:tr w:rsidR="00E709E1" w14:paraId="36AD32AE" w14:textId="77777777" w:rsidTr="00E709E1">
        <w:trPr>
          <w:trHeight w:val="275"/>
        </w:trPr>
        <w:tc>
          <w:tcPr>
            <w:tcW w:w="3630" w:type="dxa"/>
            <w:gridSpan w:val="2"/>
          </w:tcPr>
          <w:p w14:paraId="3D2B7401" w14:textId="77777777" w:rsidR="00E709E1" w:rsidRDefault="00E709E1" w:rsidP="00E709E1">
            <w:pPr>
              <w:jc w:val="both"/>
            </w:pPr>
            <w:r>
              <w:t>Year Group:</w:t>
            </w:r>
          </w:p>
        </w:tc>
        <w:tc>
          <w:tcPr>
            <w:tcW w:w="3478" w:type="dxa"/>
          </w:tcPr>
          <w:p w14:paraId="470E30CA" w14:textId="1A9DDFB4" w:rsidR="00E709E1" w:rsidRDefault="00CB6819" w:rsidP="00E709E1">
            <w:pPr>
              <w:jc w:val="both"/>
            </w:pPr>
            <w:r>
              <w:t>1</w:t>
            </w:r>
            <w:bookmarkStart w:id="0" w:name="_GoBack"/>
            <w:bookmarkEnd w:id="0"/>
          </w:p>
        </w:tc>
        <w:tc>
          <w:tcPr>
            <w:tcW w:w="8196" w:type="dxa"/>
          </w:tcPr>
          <w:p w14:paraId="75AADB55" w14:textId="77777777" w:rsidR="00E709E1" w:rsidRDefault="00E709E1" w:rsidP="00E709E1">
            <w:pPr>
              <w:jc w:val="both"/>
            </w:pPr>
          </w:p>
        </w:tc>
      </w:tr>
      <w:tr w:rsidR="00E709E1" w14:paraId="1E40EB46" w14:textId="77777777" w:rsidTr="00E709E1">
        <w:trPr>
          <w:trHeight w:val="275"/>
        </w:trPr>
        <w:tc>
          <w:tcPr>
            <w:tcW w:w="1270" w:type="dxa"/>
          </w:tcPr>
          <w:p w14:paraId="2D7E1F25" w14:textId="77777777" w:rsidR="00E709E1" w:rsidRDefault="00E709E1" w:rsidP="00E709E1">
            <w:pPr>
              <w:jc w:val="both"/>
            </w:pPr>
            <w:r>
              <w:t>Monday</w:t>
            </w:r>
          </w:p>
        </w:tc>
        <w:tc>
          <w:tcPr>
            <w:tcW w:w="14034" w:type="dxa"/>
            <w:gridSpan w:val="3"/>
          </w:tcPr>
          <w:p w14:paraId="5A7D916D" w14:textId="77777777" w:rsidR="00E709E1" w:rsidRDefault="00E709E1" w:rsidP="00E709E1">
            <w:pPr>
              <w:jc w:val="both"/>
            </w:pPr>
            <w:r>
              <w:t>Description and link</w:t>
            </w:r>
          </w:p>
        </w:tc>
      </w:tr>
      <w:tr w:rsidR="00E709E1" w14:paraId="525FE958" w14:textId="77777777" w:rsidTr="00E709E1">
        <w:trPr>
          <w:trHeight w:val="275"/>
        </w:trPr>
        <w:tc>
          <w:tcPr>
            <w:tcW w:w="1270" w:type="dxa"/>
          </w:tcPr>
          <w:p w14:paraId="3B8EACC1" w14:textId="77777777" w:rsidR="00E709E1" w:rsidRDefault="00E709E1" w:rsidP="00E709E1">
            <w:pPr>
              <w:jc w:val="both"/>
            </w:pPr>
            <w:r>
              <w:t>Maths</w:t>
            </w:r>
          </w:p>
        </w:tc>
        <w:tc>
          <w:tcPr>
            <w:tcW w:w="14034" w:type="dxa"/>
            <w:gridSpan w:val="3"/>
          </w:tcPr>
          <w:p w14:paraId="0734F353" w14:textId="35611C70" w:rsidR="00E709E1" w:rsidRDefault="00E709E1" w:rsidP="00E709E1">
            <w:pPr>
              <w:jc w:val="both"/>
            </w:pPr>
            <w:r>
              <w:t xml:space="preserve"> </w:t>
            </w:r>
            <w:r w:rsidR="00ED24B6">
              <w:t>Understanding Commuta</w:t>
            </w:r>
            <w:r w:rsidR="00E30942">
              <w:t xml:space="preserve">tive </w:t>
            </w:r>
          </w:p>
          <w:p w14:paraId="16FF11F0" w14:textId="22F95584" w:rsidR="00ED24B6" w:rsidRDefault="00ED24B6" w:rsidP="00E709E1">
            <w:pPr>
              <w:jc w:val="both"/>
            </w:pPr>
            <w:hyperlink r:id="rId11" w:history="1">
              <w:r w:rsidRPr="008F5C44">
                <w:rPr>
                  <w:rStyle w:val="Hyperlink"/>
                </w:rPr>
                <w:t>https://classroom.thenational.academy/lessons/understanding-commutativity-c5gk8c</w:t>
              </w:r>
            </w:hyperlink>
            <w:r>
              <w:t xml:space="preserve"> </w:t>
            </w:r>
          </w:p>
        </w:tc>
      </w:tr>
      <w:tr w:rsidR="00E709E1" w14:paraId="46DF5192" w14:textId="77777777" w:rsidTr="00E709E1">
        <w:trPr>
          <w:trHeight w:val="275"/>
        </w:trPr>
        <w:tc>
          <w:tcPr>
            <w:tcW w:w="1270" w:type="dxa"/>
          </w:tcPr>
          <w:p w14:paraId="4487C7E9" w14:textId="15676CA7" w:rsidR="00E709E1" w:rsidRDefault="00E709E1" w:rsidP="00E709E1">
            <w:pPr>
              <w:jc w:val="both"/>
            </w:pPr>
            <w:r>
              <w:t>English</w:t>
            </w:r>
          </w:p>
        </w:tc>
        <w:tc>
          <w:tcPr>
            <w:tcW w:w="14034" w:type="dxa"/>
            <w:gridSpan w:val="3"/>
          </w:tcPr>
          <w:p w14:paraId="1E065DDF" w14:textId="77777777" w:rsidR="00E709E1" w:rsidRDefault="00E709E1" w:rsidP="00E709E1">
            <w:pPr>
              <w:jc w:val="both"/>
            </w:pPr>
            <w:r>
              <w:t xml:space="preserve"> </w:t>
            </w:r>
            <w:r w:rsidR="00392E50">
              <w:t>To use the conjunction ‘and’ to join clauses</w:t>
            </w:r>
          </w:p>
          <w:p w14:paraId="160131C7" w14:textId="05EEE569" w:rsidR="00392E50" w:rsidRDefault="00392E50" w:rsidP="00E709E1">
            <w:pPr>
              <w:jc w:val="both"/>
            </w:pPr>
            <w:hyperlink r:id="rId12" w:history="1">
              <w:r w:rsidRPr="008F5C44">
                <w:rPr>
                  <w:rStyle w:val="Hyperlink"/>
                </w:rPr>
                <w:t>https://classroom.thenational.academy/lessons/to-use-the-conjunction-and-to-join-clauses-chjk6t</w:t>
              </w:r>
            </w:hyperlink>
            <w:r>
              <w:t xml:space="preserve"> </w:t>
            </w:r>
          </w:p>
        </w:tc>
      </w:tr>
      <w:tr w:rsidR="00E709E1" w14:paraId="2006BCFF" w14:textId="77777777" w:rsidTr="00E709E1">
        <w:trPr>
          <w:trHeight w:val="275"/>
        </w:trPr>
        <w:tc>
          <w:tcPr>
            <w:tcW w:w="1270" w:type="dxa"/>
          </w:tcPr>
          <w:p w14:paraId="00492350" w14:textId="754BEEC1" w:rsidR="00E709E1" w:rsidRDefault="00E709E1" w:rsidP="00E709E1">
            <w:pPr>
              <w:jc w:val="both"/>
            </w:pPr>
            <w:r>
              <w:t>Reading</w:t>
            </w:r>
          </w:p>
        </w:tc>
        <w:tc>
          <w:tcPr>
            <w:tcW w:w="14034" w:type="dxa"/>
            <w:gridSpan w:val="3"/>
          </w:tcPr>
          <w:p w14:paraId="6B20A179" w14:textId="77777777" w:rsidR="00E709E1" w:rsidRDefault="00E709E1" w:rsidP="00E709E1">
            <w:pPr>
              <w:jc w:val="both"/>
            </w:pPr>
            <w:r>
              <w:t xml:space="preserve"> </w:t>
            </w:r>
            <w:r w:rsidR="00177D37">
              <w:t>To listen to and respond to a story</w:t>
            </w:r>
          </w:p>
          <w:p w14:paraId="70CDBE34" w14:textId="1C7B1D70" w:rsidR="00177D37" w:rsidRDefault="00177D37" w:rsidP="00E709E1">
            <w:pPr>
              <w:jc w:val="both"/>
            </w:pPr>
            <w:hyperlink r:id="rId13" w:history="1">
              <w:r w:rsidRPr="008F5C44">
                <w:rPr>
                  <w:rStyle w:val="Hyperlink"/>
                </w:rPr>
                <w:t>https://classroom.thenational.academy/lessons/to-listen-to-and-respond-to-a-story-6gvpad</w:t>
              </w:r>
            </w:hyperlink>
            <w:r>
              <w:t xml:space="preserve"> </w:t>
            </w:r>
          </w:p>
        </w:tc>
      </w:tr>
      <w:tr w:rsidR="00E709E1" w14:paraId="61CF12AF" w14:textId="77777777" w:rsidTr="00E709E1">
        <w:trPr>
          <w:trHeight w:val="275"/>
        </w:trPr>
        <w:tc>
          <w:tcPr>
            <w:tcW w:w="1270" w:type="dxa"/>
          </w:tcPr>
          <w:p w14:paraId="3D8D421A" w14:textId="5DDF8DC6" w:rsidR="00E709E1" w:rsidRDefault="00E709E1" w:rsidP="00E709E1">
            <w:pPr>
              <w:jc w:val="both"/>
            </w:pPr>
            <w:r>
              <w:t>Topic</w:t>
            </w:r>
          </w:p>
        </w:tc>
        <w:tc>
          <w:tcPr>
            <w:tcW w:w="14034" w:type="dxa"/>
            <w:gridSpan w:val="3"/>
          </w:tcPr>
          <w:p w14:paraId="371C1263" w14:textId="0D8BAACA" w:rsidR="00E709E1" w:rsidRDefault="00E709E1" w:rsidP="00E709E1">
            <w:pPr>
              <w:jc w:val="both"/>
            </w:pPr>
            <w:r>
              <w:t xml:space="preserve"> </w:t>
            </w:r>
            <w:r w:rsidR="004C6440">
              <w:t>Observational Drawing (Art)</w:t>
            </w:r>
          </w:p>
          <w:p w14:paraId="474CA126" w14:textId="1203E12A" w:rsidR="004C6440" w:rsidRDefault="004C6440" w:rsidP="00E709E1">
            <w:pPr>
              <w:jc w:val="both"/>
            </w:pPr>
            <w:hyperlink r:id="rId14" w:history="1">
              <w:r w:rsidRPr="008F5C44">
                <w:rPr>
                  <w:rStyle w:val="Hyperlink"/>
                </w:rPr>
                <w:t>https://classroom.thenational.academy/lessons/observational-drawing-6th3ac</w:t>
              </w:r>
            </w:hyperlink>
            <w:r>
              <w:t xml:space="preserve"> </w:t>
            </w:r>
          </w:p>
        </w:tc>
      </w:tr>
      <w:tr w:rsidR="00E709E1" w14:paraId="1E257BDA" w14:textId="77777777" w:rsidTr="00E709E1">
        <w:trPr>
          <w:trHeight w:val="275"/>
        </w:trPr>
        <w:tc>
          <w:tcPr>
            <w:tcW w:w="1270" w:type="dxa"/>
          </w:tcPr>
          <w:p w14:paraId="600CA248" w14:textId="4AFA2D71" w:rsidR="00E709E1" w:rsidRDefault="00E709E1" w:rsidP="00E709E1">
            <w:pPr>
              <w:jc w:val="both"/>
            </w:pPr>
            <w:r>
              <w:t>Other</w:t>
            </w:r>
          </w:p>
        </w:tc>
        <w:tc>
          <w:tcPr>
            <w:tcW w:w="14034" w:type="dxa"/>
            <w:gridSpan w:val="3"/>
          </w:tcPr>
          <w:p w14:paraId="13EA49FF" w14:textId="55D3952A" w:rsidR="00E709E1" w:rsidRPr="00213992" w:rsidRDefault="00E709E1" w:rsidP="00E709E1">
            <w:pPr>
              <w:rPr>
                <w:b/>
                <w:bCs/>
              </w:rPr>
            </w:pPr>
            <w:r>
              <w:t xml:space="preserve"> </w:t>
            </w:r>
          </w:p>
        </w:tc>
      </w:tr>
      <w:tr w:rsidR="00E709E1" w14:paraId="4D4B51A3" w14:textId="77777777" w:rsidTr="00E709E1">
        <w:trPr>
          <w:trHeight w:val="275"/>
        </w:trPr>
        <w:tc>
          <w:tcPr>
            <w:tcW w:w="1270" w:type="dxa"/>
          </w:tcPr>
          <w:p w14:paraId="1F0D2739" w14:textId="77777777" w:rsidR="00E709E1" w:rsidRDefault="00E709E1" w:rsidP="00E709E1">
            <w:pPr>
              <w:jc w:val="both"/>
            </w:pPr>
            <w:r>
              <w:t>Tuesday</w:t>
            </w:r>
          </w:p>
        </w:tc>
        <w:tc>
          <w:tcPr>
            <w:tcW w:w="14034" w:type="dxa"/>
            <w:gridSpan w:val="3"/>
          </w:tcPr>
          <w:p w14:paraId="56A6850E" w14:textId="77777777" w:rsidR="00E709E1" w:rsidRDefault="00E709E1" w:rsidP="00E709E1">
            <w:pPr>
              <w:jc w:val="both"/>
            </w:pPr>
            <w:r>
              <w:t>Description and link</w:t>
            </w:r>
          </w:p>
        </w:tc>
      </w:tr>
      <w:tr w:rsidR="00E709E1" w14:paraId="6C3512B6" w14:textId="77777777" w:rsidTr="00E709E1">
        <w:trPr>
          <w:trHeight w:val="275"/>
        </w:trPr>
        <w:tc>
          <w:tcPr>
            <w:tcW w:w="1270" w:type="dxa"/>
          </w:tcPr>
          <w:p w14:paraId="5D87B51A" w14:textId="77777777" w:rsidR="00E709E1" w:rsidRDefault="00E709E1" w:rsidP="00E709E1">
            <w:pPr>
              <w:jc w:val="both"/>
            </w:pPr>
            <w:r>
              <w:t>Maths</w:t>
            </w:r>
          </w:p>
        </w:tc>
        <w:tc>
          <w:tcPr>
            <w:tcW w:w="14034" w:type="dxa"/>
            <w:gridSpan w:val="3"/>
          </w:tcPr>
          <w:p w14:paraId="52526EEF" w14:textId="77777777" w:rsidR="00E709E1" w:rsidRDefault="00E709E1" w:rsidP="00E709E1">
            <w:pPr>
              <w:jc w:val="both"/>
            </w:pPr>
            <w:r>
              <w:t xml:space="preserve"> </w:t>
            </w:r>
            <w:r w:rsidR="00ED24B6">
              <w:t>Recognising the relationship between addition and subtraction</w:t>
            </w:r>
          </w:p>
          <w:p w14:paraId="199B0C57" w14:textId="5372F3DE" w:rsidR="00ED24B6" w:rsidRDefault="00ED24B6" w:rsidP="00E709E1">
            <w:pPr>
              <w:jc w:val="both"/>
            </w:pPr>
            <w:hyperlink r:id="rId15" w:history="1">
              <w:r w:rsidRPr="008F5C44">
                <w:rPr>
                  <w:rStyle w:val="Hyperlink"/>
                </w:rPr>
                <w:t>https://classroom.thenational.academy/lessons/recognising-the-relationship-between-addition-and-subtraction-60tp4t</w:t>
              </w:r>
            </w:hyperlink>
            <w:r>
              <w:t xml:space="preserve"> </w:t>
            </w:r>
          </w:p>
        </w:tc>
      </w:tr>
      <w:tr w:rsidR="00E709E1" w14:paraId="34C4235F" w14:textId="77777777" w:rsidTr="00E709E1">
        <w:trPr>
          <w:trHeight w:val="275"/>
        </w:trPr>
        <w:tc>
          <w:tcPr>
            <w:tcW w:w="1270" w:type="dxa"/>
          </w:tcPr>
          <w:p w14:paraId="4B1BB74B" w14:textId="3F76B9B1" w:rsidR="00E709E1" w:rsidRDefault="00E709E1" w:rsidP="00E709E1">
            <w:pPr>
              <w:jc w:val="both"/>
            </w:pPr>
            <w:r>
              <w:t>English</w:t>
            </w:r>
          </w:p>
        </w:tc>
        <w:tc>
          <w:tcPr>
            <w:tcW w:w="14034" w:type="dxa"/>
            <w:gridSpan w:val="3"/>
          </w:tcPr>
          <w:p w14:paraId="11BDAC9B" w14:textId="77777777" w:rsidR="00E709E1" w:rsidRDefault="00E709E1" w:rsidP="00E709E1">
            <w:pPr>
              <w:jc w:val="both"/>
            </w:pPr>
            <w:r>
              <w:t xml:space="preserve"> </w:t>
            </w:r>
            <w:r w:rsidR="00392E50">
              <w:t>To retrieve information</w:t>
            </w:r>
          </w:p>
          <w:p w14:paraId="7ECA5FA4" w14:textId="725EB9B6" w:rsidR="00392E50" w:rsidRDefault="00392E50" w:rsidP="00E709E1">
            <w:pPr>
              <w:jc w:val="both"/>
            </w:pPr>
            <w:hyperlink r:id="rId16" w:history="1">
              <w:r w:rsidRPr="008F5C44">
                <w:rPr>
                  <w:rStyle w:val="Hyperlink"/>
                </w:rPr>
                <w:t>https://classroom.thenational.academy/lessons/to-retrieve-information-61jk4t</w:t>
              </w:r>
            </w:hyperlink>
            <w:r>
              <w:t xml:space="preserve"> </w:t>
            </w:r>
          </w:p>
        </w:tc>
      </w:tr>
      <w:tr w:rsidR="00E709E1" w14:paraId="6F574566" w14:textId="77777777" w:rsidTr="00E709E1">
        <w:trPr>
          <w:trHeight w:val="275"/>
        </w:trPr>
        <w:tc>
          <w:tcPr>
            <w:tcW w:w="1270" w:type="dxa"/>
          </w:tcPr>
          <w:p w14:paraId="638DBE37" w14:textId="349377B9" w:rsidR="00E709E1" w:rsidRDefault="00E709E1" w:rsidP="00E709E1">
            <w:pPr>
              <w:jc w:val="both"/>
            </w:pPr>
            <w:r>
              <w:t>Reading</w:t>
            </w:r>
          </w:p>
        </w:tc>
        <w:tc>
          <w:tcPr>
            <w:tcW w:w="14034" w:type="dxa"/>
            <w:gridSpan w:val="3"/>
          </w:tcPr>
          <w:p w14:paraId="3BADF220" w14:textId="77777777" w:rsidR="00E709E1" w:rsidRDefault="00E709E1" w:rsidP="00E709E1">
            <w:pPr>
              <w:jc w:val="both"/>
            </w:pPr>
            <w:r>
              <w:t xml:space="preserve"> </w:t>
            </w:r>
            <w:r w:rsidR="00177D37">
              <w:t>To tell a story from memory</w:t>
            </w:r>
          </w:p>
          <w:p w14:paraId="255CACA0" w14:textId="1BD23B81" w:rsidR="00177D37" w:rsidRDefault="00177D37" w:rsidP="00E709E1">
            <w:pPr>
              <w:jc w:val="both"/>
            </w:pPr>
            <w:hyperlink r:id="rId17" w:history="1">
              <w:r w:rsidRPr="008F5C44">
                <w:rPr>
                  <w:rStyle w:val="Hyperlink"/>
                </w:rPr>
                <w:t>https://classroom.thenational.academy/lessons/to-tell-a-story-from-memory-60uk2t</w:t>
              </w:r>
            </w:hyperlink>
            <w:r>
              <w:t xml:space="preserve"> </w:t>
            </w:r>
          </w:p>
        </w:tc>
      </w:tr>
      <w:tr w:rsidR="00E709E1" w14:paraId="11D8DA4B" w14:textId="77777777" w:rsidTr="00E709E1">
        <w:trPr>
          <w:trHeight w:val="275"/>
        </w:trPr>
        <w:tc>
          <w:tcPr>
            <w:tcW w:w="1270" w:type="dxa"/>
          </w:tcPr>
          <w:p w14:paraId="020E3AA4" w14:textId="1B2E8B58" w:rsidR="00E709E1" w:rsidRDefault="00E709E1" w:rsidP="00E709E1">
            <w:pPr>
              <w:jc w:val="both"/>
            </w:pPr>
            <w:r>
              <w:t>Topic</w:t>
            </w:r>
          </w:p>
        </w:tc>
        <w:tc>
          <w:tcPr>
            <w:tcW w:w="14034" w:type="dxa"/>
            <w:gridSpan w:val="3"/>
          </w:tcPr>
          <w:p w14:paraId="269DCDEF" w14:textId="5C539518" w:rsidR="00E709E1" w:rsidRDefault="00E709E1" w:rsidP="00E709E1">
            <w:pPr>
              <w:jc w:val="both"/>
            </w:pPr>
            <w:r>
              <w:t xml:space="preserve"> </w:t>
            </w:r>
            <w:r w:rsidR="004C6440">
              <w:t>What is Africa like? (Geography)</w:t>
            </w:r>
          </w:p>
          <w:p w14:paraId="64EA76B5" w14:textId="5F733881" w:rsidR="004C6440" w:rsidRDefault="004C6440" w:rsidP="00E709E1">
            <w:pPr>
              <w:jc w:val="both"/>
            </w:pPr>
            <w:hyperlink r:id="rId18" w:history="1">
              <w:r w:rsidRPr="008F5C44">
                <w:rPr>
                  <w:rStyle w:val="Hyperlink"/>
                </w:rPr>
                <w:t>https://classroom.thenational.academy/lessons/what-is-africa-like-cmv38c</w:t>
              </w:r>
            </w:hyperlink>
            <w:r>
              <w:t xml:space="preserve"> </w:t>
            </w:r>
          </w:p>
        </w:tc>
      </w:tr>
      <w:tr w:rsidR="00E709E1" w14:paraId="5EB8C313" w14:textId="77777777" w:rsidTr="00E709E1">
        <w:trPr>
          <w:trHeight w:val="275"/>
        </w:trPr>
        <w:tc>
          <w:tcPr>
            <w:tcW w:w="1270" w:type="dxa"/>
          </w:tcPr>
          <w:p w14:paraId="473B2F3C" w14:textId="0EF2053F" w:rsidR="00E709E1" w:rsidRDefault="00E709E1" w:rsidP="00E709E1">
            <w:pPr>
              <w:jc w:val="both"/>
            </w:pPr>
            <w:r>
              <w:t>Other</w:t>
            </w:r>
          </w:p>
        </w:tc>
        <w:tc>
          <w:tcPr>
            <w:tcW w:w="14034" w:type="dxa"/>
            <w:gridSpan w:val="3"/>
          </w:tcPr>
          <w:p w14:paraId="60DB78DE" w14:textId="77777777" w:rsidR="00E709E1" w:rsidRDefault="00E709E1" w:rsidP="007E3E8C">
            <w:pPr>
              <w:jc w:val="both"/>
            </w:pPr>
          </w:p>
        </w:tc>
      </w:tr>
      <w:tr w:rsidR="00E709E1" w14:paraId="3DD09E16" w14:textId="77777777" w:rsidTr="00E709E1">
        <w:trPr>
          <w:trHeight w:val="275"/>
        </w:trPr>
        <w:tc>
          <w:tcPr>
            <w:tcW w:w="1270" w:type="dxa"/>
          </w:tcPr>
          <w:p w14:paraId="0F8BD519" w14:textId="4DB015B9" w:rsidR="00E709E1" w:rsidRDefault="00E709E1" w:rsidP="00E709E1">
            <w:pPr>
              <w:jc w:val="both"/>
            </w:pPr>
            <w:r>
              <w:t>Wednesday</w:t>
            </w:r>
          </w:p>
        </w:tc>
        <w:tc>
          <w:tcPr>
            <w:tcW w:w="14034" w:type="dxa"/>
            <w:gridSpan w:val="3"/>
          </w:tcPr>
          <w:p w14:paraId="027AD882" w14:textId="773E3D8F" w:rsidR="00E709E1" w:rsidRDefault="00E709E1" w:rsidP="00E709E1">
            <w:pPr>
              <w:jc w:val="both"/>
            </w:pPr>
            <w:r>
              <w:t>Description and link</w:t>
            </w:r>
          </w:p>
        </w:tc>
      </w:tr>
      <w:tr w:rsidR="00E709E1" w14:paraId="42DE99BB" w14:textId="77777777" w:rsidTr="00E709E1">
        <w:trPr>
          <w:trHeight w:val="275"/>
        </w:trPr>
        <w:tc>
          <w:tcPr>
            <w:tcW w:w="1270" w:type="dxa"/>
          </w:tcPr>
          <w:p w14:paraId="6C038E18" w14:textId="29CC919C" w:rsidR="00E709E1" w:rsidRDefault="00E709E1" w:rsidP="00E709E1">
            <w:pPr>
              <w:jc w:val="both"/>
            </w:pPr>
            <w:r>
              <w:t>Maths</w:t>
            </w:r>
          </w:p>
        </w:tc>
        <w:tc>
          <w:tcPr>
            <w:tcW w:w="14034" w:type="dxa"/>
            <w:gridSpan w:val="3"/>
          </w:tcPr>
          <w:p w14:paraId="04974B98" w14:textId="77777777" w:rsidR="00E709E1" w:rsidRDefault="00E709E1" w:rsidP="00E709E1">
            <w:pPr>
              <w:jc w:val="both"/>
            </w:pPr>
            <w:r>
              <w:t xml:space="preserve"> </w:t>
            </w:r>
            <w:r w:rsidR="00ED24B6">
              <w:t>Sequencing Numbers to 50</w:t>
            </w:r>
          </w:p>
          <w:p w14:paraId="5F6F10A6" w14:textId="28AD26E3" w:rsidR="00ED24B6" w:rsidRDefault="00ED24B6" w:rsidP="00E709E1">
            <w:pPr>
              <w:jc w:val="both"/>
            </w:pPr>
            <w:hyperlink r:id="rId19" w:history="1">
              <w:r w:rsidRPr="008F5C44">
                <w:rPr>
                  <w:rStyle w:val="Hyperlink"/>
                </w:rPr>
                <w:t>https://classroom.thenational.academy/lessons/sequencing-numbers-to-50-cmtkjt</w:t>
              </w:r>
            </w:hyperlink>
            <w:r>
              <w:t xml:space="preserve"> </w:t>
            </w:r>
          </w:p>
        </w:tc>
      </w:tr>
      <w:tr w:rsidR="00E709E1" w14:paraId="3E57CBB0" w14:textId="77777777" w:rsidTr="00E709E1">
        <w:trPr>
          <w:trHeight w:val="275"/>
        </w:trPr>
        <w:tc>
          <w:tcPr>
            <w:tcW w:w="1270" w:type="dxa"/>
          </w:tcPr>
          <w:p w14:paraId="46F30093" w14:textId="3B3BAB75" w:rsidR="00E709E1" w:rsidRDefault="00E709E1" w:rsidP="00E709E1">
            <w:pPr>
              <w:jc w:val="both"/>
            </w:pPr>
            <w:r>
              <w:t>English</w:t>
            </w:r>
          </w:p>
        </w:tc>
        <w:tc>
          <w:tcPr>
            <w:tcW w:w="14034" w:type="dxa"/>
            <w:gridSpan w:val="3"/>
          </w:tcPr>
          <w:p w14:paraId="355AA73B" w14:textId="77777777" w:rsidR="00E709E1" w:rsidRDefault="00E709E1" w:rsidP="00E709E1">
            <w:pPr>
              <w:jc w:val="both"/>
            </w:pPr>
            <w:r>
              <w:t xml:space="preserve"> </w:t>
            </w:r>
            <w:r w:rsidR="00392E50">
              <w:t>To use capital letters for names</w:t>
            </w:r>
          </w:p>
          <w:p w14:paraId="7369D686" w14:textId="0219B54A" w:rsidR="00392E50" w:rsidRDefault="00392E50" w:rsidP="00E709E1">
            <w:pPr>
              <w:jc w:val="both"/>
            </w:pPr>
            <w:hyperlink r:id="rId20" w:history="1">
              <w:r w:rsidRPr="008F5C44">
                <w:rPr>
                  <w:rStyle w:val="Hyperlink"/>
                </w:rPr>
                <w:t>https://classroom.thenational.academy/lessons/to-use-capital-letters-for-names-cmt3ee</w:t>
              </w:r>
            </w:hyperlink>
            <w:r>
              <w:t xml:space="preserve"> </w:t>
            </w:r>
          </w:p>
        </w:tc>
      </w:tr>
      <w:tr w:rsidR="00E709E1" w14:paraId="2B6BE895" w14:textId="77777777" w:rsidTr="00E709E1">
        <w:trPr>
          <w:trHeight w:val="275"/>
        </w:trPr>
        <w:tc>
          <w:tcPr>
            <w:tcW w:w="1270" w:type="dxa"/>
          </w:tcPr>
          <w:p w14:paraId="44934070" w14:textId="71CE4185" w:rsidR="00E709E1" w:rsidRDefault="00E709E1" w:rsidP="00E709E1">
            <w:pPr>
              <w:jc w:val="both"/>
            </w:pPr>
            <w:r>
              <w:t>Reading</w:t>
            </w:r>
          </w:p>
        </w:tc>
        <w:tc>
          <w:tcPr>
            <w:tcW w:w="14034" w:type="dxa"/>
            <w:gridSpan w:val="3"/>
          </w:tcPr>
          <w:p w14:paraId="4CC2314A" w14:textId="77777777" w:rsidR="00E709E1" w:rsidRDefault="00177D37" w:rsidP="00E709E1">
            <w:pPr>
              <w:jc w:val="both"/>
            </w:pPr>
            <w:r>
              <w:t>To listen and respond to a story</w:t>
            </w:r>
          </w:p>
          <w:p w14:paraId="601BF3FC" w14:textId="4AE3D6C5" w:rsidR="00177D37" w:rsidRDefault="00177D37" w:rsidP="00E709E1">
            <w:pPr>
              <w:jc w:val="both"/>
            </w:pPr>
            <w:hyperlink r:id="rId21" w:history="1">
              <w:r w:rsidRPr="008F5C44">
                <w:rPr>
                  <w:rStyle w:val="Hyperlink"/>
                </w:rPr>
                <w:t>https://classroom.thenational.academy/lessons/to-listen-and-respond-to-a-story-6mw3ad</w:t>
              </w:r>
            </w:hyperlink>
            <w:r>
              <w:t xml:space="preserve"> </w:t>
            </w:r>
          </w:p>
        </w:tc>
      </w:tr>
      <w:tr w:rsidR="00E709E1" w14:paraId="009FBB6C" w14:textId="77777777" w:rsidTr="00E709E1">
        <w:trPr>
          <w:trHeight w:val="275"/>
        </w:trPr>
        <w:tc>
          <w:tcPr>
            <w:tcW w:w="1270" w:type="dxa"/>
          </w:tcPr>
          <w:p w14:paraId="140094E4" w14:textId="50E9C7E9" w:rsidR="00E709E1" w:rsidRDefault="00E709E1" w:rsidP="00E709E1">
            <w:pPr>
              <w:jc w:val="both"/>
            </w:pPr>
            <w:r>
              <w:lastRenderedPageBreak/>
              <w:t>Topic</w:t>
            </w:r>
          </w:p>
        </w:tc>
        <w:tc>
          <w:tcPr>
            <w:tcW w:w="14034" w:type="dxa"/>
            <w:gridSpan w:val="3"/>
          </w:tcPr>
          <w:p w14:paraId="0855C3BA" w14:textId="3D1EA959" w:rsidR="00E709E1" w:rsidRDefault="004C6440" w:rsidP="00E709E1">
            <w:pPr>
              <w:jc w:val="both"/>
            </w:pPr>
            <w:r>
              <w:t>Jack and he Beanstalk: an introduction to storytelling through dance (PE)</w:t>
            </w:r>
          </w:p>
          <w:p w14:paraId="755CB52F" w14:textId="71FCA53C" w:rsidR="004C6440" w:rsidRDefault="004C6440" w:rsidP="00E709E1">
            <w:pPr>
              <w:jc w:val="both"/>
            </w:pPr>
            <w:hyperlink r:id="rId22" w:history="1">
              <w:r w:rsidRPr="008F5C44">
                <w:rPr>
                  <w:rStyle w:val="Hyperlink"/>
                </w:rPr>
                <w:t>https://classroom.thenational.academy/lessons/jack-and-the-beanstalk-an-introduction-to-storytelling-through-dance-70upcd</w:t>
              </w:r>
            </w:hyperlink>
            <w:r>
              <w:t xml:space="preserve"> </w:t>
            </w:r>
          </w:p>
        </w:tc>
      </w:tr>
      <w:tr w:rsidR="00E709E1" w14:paraId="352B95B4" w14:textId="77777777" w:rsidTr="00E709E1">
        <w:trPr>
          <w:trHeight w:val="275"/>
        </w:trPr>
        <w:tc>
          <w:tcPr>
            <w:tcW w:w="1270" w:type="dxa"/>
          </w:tcPr>
          <w:p w14:paraId="59E312A5" w14:textId="5D427429" w:rsidR="00E709E1" w:rsidRDefault="00E709E1" w:rsidP="00E709E1">
            <w:pPr>
              <w:jc w:val="both"/>
            </w:pPr>
            <w:r>
              <w:t>Other</w:t>
            </w:r>
          </w:p>
        </w:tc>
        <w:tc>
          <w:tcPr>
            <w:tcW w:w="14034" w:type="dxa"/>
            <w:gridSpan w:val="3"/>
          </w:tcPr>
          <w:p w14:paraId="774F3831" w14:textId="77777777" w:rsidR="00E709E1" w:rsidRDefault="00E709E1" w:rsidP="007E3E8C">
            <w:pPr>
              <w:jc w:val="both"/>
            </w:pPr>
          </w:p>
        </w:tc>
      </w:tr>
      <w:tr w:rsidR="00E709E1" w14:paraId="4989C5A4" w14:textId="77777777" w:rsidTr="00E709E1">
        <w:trPr>
          <w:trHeight w:val="275"/>
        </w:trPr>
        <w:tc>
          <w:tcPr>
            <w:tcW w:w="1270" w:type="dxa"/>
          </w:tcPr>
          <w:p w14:paraId="18B97C74" w14:textId="137DB180" w:rsidR="00E709E1" w:rsidRDefault="00E709E1" w:rsidP="00E709E1">
            <w:pPr>
              <w:jc w:val="both"/>
            </w:pPr>
            <w:r>
              <w:t>Thursday</w:t>
            </w:r>
          </w:p>
        </w:tc>
        <w:tc>
          <w:tcPr>
            <w:tcW w:w="14034" w:type="dxa"/>
            <w:gridSpan w:val="3"/>
          </w:tcPr>
          <w:p w14:paraId="1EE81C13" w14:textId="580F25FC" w:rsidR="00E709E1" w:rsidRDefault="00E709E1" w:rsidP="00E709E1">
            <w:pPr>
              <w:jc w:val="both"/>
            </w:pPr>
            <w:r>
              <w:t>Description and link</w:t>
            </w:r>
          </w:p>
        </w:tc>
      </w:tr>
      <w:tr w:rsidR="00E709E1" w14:paraId="16E8051E" w14:textId="77777777" w:rsidTr="00E709E1">
        <w:trPr>
          <w:trHeight w:val="275"/>
        </w:trPr>
        <w:tc>
          <w:tcPr>
            <w:tcW w:w="1270" w:type="dxa"/>
          </w:tcPr>
          <w:p w14:paraId="29A01163" w14:textId="58310E03" w:rsidR="00E709E1" w:rsidRDefault="00E709E1" w:rsidP="00E709E1">
            <w:pPr>
              <w:jc w:val="both"/>
            </w:pPr>
            <w:r>
              <w:t>Maths</w:t>
            </w:r>
          </w:p>
        </w:tc>
        <w:tc>
          <w:tcPr>
            <w:tcW w:w="14034" w:type="dxa"/>
            <w:gridSpan w:val="3"/>
          </w:tcPr>
          <w:p w14:paraId="0E5EE629" w14:textId="77777777" w:rsidR="00E709E1" w:rsidRDefault="00ED24B6" w:rsidP="007E3E8C">
            <w:pPr>
              <w:jc w:val="both"/>
            </w:pPr>
            <w:r>
              <w:t>Comparing and Ordering Numbers within 50</w:t>
            </w:r>
          </w:p>
          <w:p w14:paraId="7CC7C546" w14:textId="11A43C3E" w:rsidR="00ED24B6" w:rsidRDefault="00ED24B6" w:rsidP="007E3E8C">
            <w:pPr>
              <w:jc w:val="both"/>
            </w:pPr>
            <w:hyperlink r:id="rId23" w:history="1">
              <w:r w:rsidRPr="008F5C44">
                <w:rPr>
                  <w:rStyle w:val="Hyperlink"/>
                </w:rPr>
                <w:t>https://classroom.thenational.academy/lessons/comparing-and-ordering-numbers-within-50-part-2-70vkjc</w:t>
              </w:r>
            </w:hyperlink>
            <w:r>
              <w:t xml:space="preserve"> </w:t>
            </w:r>
          </w:p>
        </w:tc>
      </w:tr>
      <w:tr w:rsidR="00E709E1" w14:paraId="265147DD" w14:textId="77777777" w:rsidTr="00E709E1">
        <w:trPr>
          <w:trHeight w:val="275"/>
        </w:trPr>
        <w:tc>
          <w:tcPr>
            <w:tcW w:w="1270" w:type="dxa"/>
          </w:tcPr>
          <w:p w14:paraId="18CE4B04" w14:textId="69B05D01" w:rsidR="00E709E1" w:rsidRDefault="00E709E1" w:rsidP="00E709E1">
            <w:pPr>
              <w:jc w:val="both"/>
            </w:pPr>
            <w:r>
              <w:t>English</w:t>
            </w:r>
          </w:p>
        </w:tc>
        <w:tc>
          <w:tcPr>
            <w:tcW w:w="14034" w:type="dxa"/>
            <w:gridSpan w:val="3"/>
          </w:tcPr>
          <w:p w14:paraId="649E546C" w14:textId="77777777" w:rsidR="00E709E1" w:rsidRDefault="00E709E1" w:rsidP="00E709E1">
            <w:pPr>
              <w:jc w:val="both"/>
            </w:pPr>
            <w:r>
              <w:t xml:space="preserve"> </w:t>
            </w:r>
            <w:r w:rsidR="00FC757C">
              <w:t>To use the past tense</w:t>
            </w:r>
          </w:p>
          <w:p w14:paraId="3D209718" w14:textId="640EC4B7" w:rsidR="00FC757C" w:rsidRDefault="00FC757C" w:rsidP="00E709E1">
            <w:pPr>
              <w:jc w:val="both"/>
            </w:pPr>
            <w:hyperlink r:id="rId24" w:history="1">
              <w:r w:rsidRPr="008F5C44">
                <w:rPr>
                  <w:rStyle w:val="Hyperlink"/>
                </w:rPr>
                <w:t>https://classroom.thenational.academy/lessons/to-use-the-past-tense-69k30d</w:t>
              </w:r>
            </w:hyperlink>
            <w:r>
              <w:t xml:space="preserve"> </w:t>
            </w:r>
          </w:p>
        </w:tc>
      </w:tr>
      <w:tr w:rsidR="00E709E1" w14:paraId="136BE981" w14:textId="77777777" w:rsidTr="00E709E1">
        <w:trPr>
          <w:trHeight w:val="275"/>
        </w:trPr>
        <w:tc>
          <w:tcPr>
            <w:tcW w:w="1270" w:type="dxa"/>
          </w:tcPr>
          <w:p w14:paraId="4090A7FC" w14:textId="2919A44E" w:rsidR="00E709E1" w:rsidRDefault="00E709E1" w:rsidP="00E709E1">
            <w:pPr>
              <w:jc w:val="both"/>
            </w:pPr>
            <w:r>
              <w:t>Reading</w:t>
            </w:r>
          </w:p>
        </w:tc>
        <w:tc>
          <w:tcPr>
            <w:tcW w:w="14034" w:type="dxa"/>
            <w:gridSpan w:val="3"/>
          </w:tcPr>
          <w:p w14:paraId="6F427309" w14:textId="77777777" w:rsidR="00E709E1" w:rsidRDefault="00E709E1" w:rsidP="00E709E1">
            <w:pPr>
              <w:jc w:val="both"/>
            </w:pPr>
            <w:r>
              <w:t xml:space="preserve"> </w:t>
            </w:r>
            <w:r w:rsidR="00177D37">
              <w:t>To retell the main events in a story</w:t>
            </w:r>
          </w:p>
          <w:p w14:paraId="08893967" w14:textId="092DE856" w:rsidR="00177D37" w:rsidRDefault="00177D37" w:rsidP="00E709E1">
            <w:pPr>
              <w:jc w:val="both"/>
            </w:pPr>
            <w:hyperlink r:id="rId25" w:history="1">
              <w:r w:rsidRPr="008F5C44">
                <w:rPr>
                  <w:rStyle w:val="Hyperlink"/>
                </w:rPr>
                <w:t>https://classroom.thenational.academy/lessons/to-retell-the-main-events-in-a-story-ccw3cd</w:t>
              </w:r>
            </w:hyperlink>
            <w:r>
              <w:t xml:space="preserve"> </w:t>
            </w:r>
          </w:p>
        </w:tc>
      </w:tr>
      <w:tr w:rsidR="00E709E1" w14:paraId="63474AE4" w14:textId="77777777" w:rsidTr="00E709E1">
        <w:trPr>
          <w:trHeight w:val="275"/>
        </w:trPr>
        <w:tc>
          <w:tcPr>
            <w:tcW w:w="1270" w:type="dxa"/>
          </w:tcPr>
          <w:p w14:paraId="2CBFFAB9" w14:textId="634425B7" w:rsidR="00E709E1" w:rsidRDefault="00E709E1" w:rsidP="00E709E1">
            <w:pPr>
              <w:jc w:val="both"/>
            </w:pPr>
            <w:r>
              <w:t>Topic</w:t>
            </w:r>
          </w:p>
        </w:tc>
        <w:tc>
          <w:tcPr>
            <w:tcW w:w="14034" w:type="dxa"/>
            <w:gridSpan w:val="3"/>
          </w:tcPr>
          <w:p w14:paraId="4F7B632E" w14:textId="5822763B" w:rsidR="00E709E1" w:rsidRDefault="00E709E1" w:rsidP="00E709E1">
            <w:pPr>
              <w:jc w:val="both"/>
            </w:pPr>
            <w:r>
              <w:t xml:space="preserve"> </w:t>
            </w:r>
            <w:r w:rsidR="004C6440">
              <w:t>Don’t worry about a thing (PSHE)</w:t>
            </w:r>
          </w:p>
          <w:p w14:paraId="5C026771" w14:textId="7D203872" w:rsidR="004C6440" w:rsidRDefault="004C6440" w:rsidP="00E709E1">
            <w:pPr>
              <w:jc w:val="both"/>
            </w:pPr>
            <w:hyperlink r:id="rId26" w:history="1">
              <w:r w:rsidRPr="008F5C44">
                <w:rPr>
                  <w:rStyle w:val="Hyperlink"/>
                </w:rPr>
                <w:t>https://classroom.thenational.academy/lessons/dont-worry-about-a-thing-68u32d</w:t>
              </w:r>
            </w:hyperlink>
            <w:r>
              <w:t xml:space="preserve"> </w:t>
            </w:r>
          </w:p>
        </w:tc>
      </w:tr>
      <w:tr w:rsidR="00E709E1" w14:paraId="0BFCAB5D" w14:textId="77777777" w:rsidTr="00E709E1">
        <w:trPr>
          <w:trHeight w:val="275"/>
        </w:trPr>
        <w:tc>
          <w:tcPr>
            <w:tcW w:w="1270" w:type="dxa"/>
          </w:tcPr>
          <w:p w14:paraId="508B8D4D" w14:textId="4B98B8FF" w:rsidR="00E709E1" w:rsidRDefault="00E709E1" w:rsidP="00E709E1">
            <w:pPr>
              <w:jc w:val="both"/>
            </w:pPr>
            <w:r>
              <w:t>Other</w:t>
            </w:r>
          </w:p>
        </w:tc>
        <w:tc>
          <w:tcPr>
            <w:tcW w:w="14034" w:type="dxa"/>
            <w:gridSpan w:val="3"/>
          </w:tcPr>
          <w:p w14:paraId="14B8AE20" w14:textId="6575BD3B" w:rsidR="00E709E1" w:rsidRDefault="00E709E1" w:rsidP="00E709E1">
            <w:pPr>
              <w:jc w:val="both"/>
            </w:pPr>
            <w:r>
              <w:t xml:space="preserve"> </w:t>
            </w:r>
          </w:p>
        </w:tc>
      </w:tr>
      <w:tr w:rsidR="00E709E1" w14:paraId="675605FF" w14:textId="77777777" w:rsidTr="00E709E1">
        <w:trPr>
          <w:trHeight w:val="275"/>
        </w:trPr>
        <w:tc>
          <w:tcPr>
            <w:tcW w:w="1270" w:type="dxa"/>
          </w:tcPr>
          <w:p w14:paraId="4F465AD3" w14:textId="16812968" w:rsidR="00E709E1" w:rsidRDefault="00E709E1" w:rsidP="00E709E1">
            <w:pPr>
              <w:jc w:val="both"/>
            </w:pPr>
            <w:r>
              <w:t>Friday</w:t>
            </w:r>
          </w:p>
        </w:tc>
        <w:tc>
          <w:tcPr>
            <w:tcW w:w="14034" w:type="dxa"/>
            <w:gridSpan w:val="3"/>
          </w:tcPr>
          <w:p w14:paraId="591720E6" w14:textId="741E4110" w:rsidR="00E709E1" w:rsidRDefault="00E709E1" w:rsidP="00E709E1">
            <w:pPr>
              <w:jc w:val="both"/>
            </w:pPr>
            <w:r>
              <w:t>Description and link</w:t>
            </w:r>
          </w:p>
        </w:tc>
      </w:tr>
      <w:tr w:rsidR="00E709E1" w14:paraId="22B55AA7" w14:textId="77777777" w:rsidTr="00E709E1">
        <w:trPr>
          <w:trHeight w:val="275"/>
        </w:trPr>
        <w:tc>
          <w:tcPr>
            <w:tcW w:w="1270" w:type="dxa"/>
          </w:tcPr>
          <w:p w14:paraId="3CAB0256" w14:textId="47B2EB30" w:rsidR="00E709E1" w:rsidRDefault="00E709E1" w:rsidP="00E709E1">
            <w:pPr>
              <w:jc w:val="both"/>
            </w:pPr>
            <w:r>
              <w:t>Maths</w:t>
            </w:r>
          </w:p>
        </w:tc>
        <w:tc>
          <w:tcPr>
            <w:tcW w:w="14034" w:type="dxa"/>
            <w:gridSpan w:val="3"/>
          </w:tcPr>
          <w:p w14:paraId="125F464C" w14:textId="77777777" w:rsidR="00E709E1" w:rsidRDefault="00E709E1" w:rsidP="00E709E1">
            <w:pPr>
              <w:jc w:val="both"/>
            </w:pPr>
            <w:r>
              <w:t xml:space="preserve"> </w:t>
            </w:r>
            <w:r w:rsidR="00ED24B6">
              <w:t>Counting in 2s, 5s and 10s</w:t>
            </w:r>
          </w:p>
          <w:p w14:paraId="07855FB5" w14:textId="38B24B54" w:rsidR="00ED24B6" w:rsidRDefault="00ED24B6" w:rsidP="00E709E1">
            <w:pPr>
              <w:jc w:val="both"/>
            </w:pPr>
            <w:hyperlink r:id="rId27" w:history="1">
              <w:r w:rsidRPr="008F5C44">
                <w:rPr>
                  <w:rStyle w:val="Hyperlink"/>
                </w:rPr>
                <w:t>https://classroom.thenational.academy/lessons/counting-in-twos-fives-and-tens-65k34d</w:t>
              </w:r>
            </w:hyperlink>
            <w:r>
              <w:t xml:space="preserve"> </w:t>
            </w:r>
          </w:p>
        </w:tc>
      </w:tr>
      <w:tr w:rsidR="00E709E1" w14:paraId="713B891A" w14:textId="77777777" w:rsidTr="00E709E1">
        <w:trPr>
          <w:trHeight w:val="275"/>
        </w:trPr>
        <w:tc>
          <w:tcPr>
            <w:tcW w:w="1270" w:type="dxa"/>
          </w:tcPr>
          <w:p w14:paraId="484D7EB7" w14:textId="6C18969E" w:rsidR="00E709E1" w:rsidRDefault="00E709E1" w:rsidP="00E709E1">
            <w:pPr>
              <w:jc w:val="both"/>
            </w:pPr>
            <w:r>
              <w:t>English</w:t>
            </w:r>
          </w:p>
        </w:tc>
        <w:tc>
          <w:tcPr>
            <w:tcW w:w="14034" w:type="dxa"/>
            <w:gridSpan w:val="3"/>
          </w:tcPr>
          <w:p w14:paraId="2A07EF50" w14:textId="77777777" w:rsidR="00E709E1" w:rsidRDefault="00E709E1" w:rsidP="00E709E1">
            <w:pPr>
              <w:jc w:val="both"/>
            </w:pPr>
            <w:r>
              <w:t xml:space="preserve"> </w:t>
            </w:r>
            <w:r w:rsidR="00FC757C">
              <w:t>To write a recount</w:t>
            </w:r>
          </w:p>
          <w:p w14:paraId="600314A3" w14:textId="2DC105EB" w:rsidR="00FC757C" w:rsidRDefault="00FC757C" w:rsidP="00E709E1">
            <w:pPr>
              <w:jc w:val="both"/>
            </w:pPr>
            <w:hyperlink r:id="rId28" w:history="1">
              <w:r w:rsidRPr="008F5C44">
                <w:rPr>
                  <w:rStyle w:val="Hyperlink"/>
                </w:rPr>
                <w:t>https://classroom.thenational.academy/lessons/to-write-a-recount-c8u3er</w:t>
              </w:r>
            </w:hyperlink>
            <w:r>
              <w:t xml:space="preserve"> </w:t>
            </w:r>
          </w:p>
        </w:tc>
      </w:tr>
      <w:tr w:rsidR="00E709E1" w14:paraId="22BB2D7A" w14:textId="77777777" w:rsidTr="00E709E1">
        <w:trPr>
          <w:trHeight w:val="275"/>
        </w:trPr>
        <w:tc>
          <w:tcPr>
            <w:tcW w:w="1270" w:type="dxa"/>
          </w:tcPr>
          <w:p w14:paraId="7FC3BD99" w14:textId="0D749A9F" w:rsidR="00E709E1" w:rsidRDefault="00E709E1" w:rsidP="00E709E1">
            <w:pPr>
              <w:jc w:val="both"/>
            </w:pPr>
            <w:r>
              <w:t>Reading</w:t>
            </w:r>
          </w:p>
        </w:tc>
        <w:tc>
          <w:tcPr>
            <w:tcW w:w="14034" w:type="dxa"/>
            <w:gridSpan w:val="3"/>
          </w:tcPr>
          <w:p w14:paraId="0A8A77F8" w14:textId="77777777" w:rsidR="00E709E1" w:rsidRDefault="00E709E1" w:rsidP="00E709E1">
            <w:pPr>
              <w:jc w:val="both"/>
            </w:pPr>
            <w:r>
              <w:t xml:space="preserve"> </w:t>
            </w:r>
            <w:r w:rsidR="00360EAC">
              <w:t>To listen and respond to a story</w:t>
            </w:r>
          </w:p>
          <w:p w14:paraId="134D9789" w14:textId="62373DCD" w:rsidR="00360EAC" w:rsidRDefault="00360EAC" w:rsidP="00E709E1">
            <w:pPr>
              <w:jc w:val="both"/>
            </w:pPr>
            <w:hyperlink r:id="rId29" w:history="1">
              <w:r w:rsidRPr="008F5C44">
                <w:rPr>
                  <w:rStyle w:val="Hyperlink"/>
                </w:rPr>
                <w:t>https://classroom.thenational.academy/lessons/to-listen-and-respond-to-a-story-70tked</w:t>
              </w:r>
            </w:hyperlink>
            <w:r>
              <w:t xml:space="preserve"> </w:t>
            </w:r>
          </w:p>
        </w:tc>
      </w:tr>
      <w:tr w:rsidR="00E709E1" w14:paraId="35FF4EA0" w14:textId="77777777" w:rsidTr="00E709E1">
        <w:trPr>
          <w:trHeight w:val="275"/>
        </w:trPr>
        <w:tc>
          <w:tcPr>
            <w:tcW w:w="1270" w:type="dxa"/>
          </w:tcPr>
          <w:p w14:paraId="758C01B0" w14:textId="7D290D40" w:rsidR="00E709E1" w:rsidRDefault="00E709E1" w:rsidP="00E709E1">
            <w:pPr>
              <w:jc w:val="both"/>
            </w:pPr>
            <w:r>
              <w:t>Topic</w:t>
            </w:r>
          </w:p>
        </w:tc>
        <w:tc>
          <w:tcPr>
            <w:tcW w:w="14034" w:type="dxa"/>
            <w:gridSpan w:val="3"/>
          </w:tcPr>
          <w:p w14:paraId="1149B978" w14:textId="77777777" w:rsidR="00E709E1" w:rsidRDefault="00E709E1" w:rsidP="00E709E1">
            <w:pPr>
              <w:jc w:val="both"/>
            </w:pPr>
            <w:r>
              <w:t xml:space="preserve"> </w:t>
            </w:r>
            <w:r w:rsidR="00FC6B53">
              <w:t>What types of food do living things eat? (Science)</w:t>
            </w:r>
          </w:p>
          <w:p w14:paraId="1729B487" w14:textId="5C82CA7B" w:rsidR="00FC6B53" w:rsidRDefault="00FC6B53" w:rsidP="00E709E1">
            <w:pPr>
              <w:jc w:val="both"/>
            </w:pPr>
            <w:hyperlink r:id="rId30" w:history="1">
              <w:r w:rsidRPr="008F5C44">
                <w:rPr>
                  <w:rStyle w:val="Hyperlink"/>
                </w:rPr>
                <w:t>https://classroom.thenational.academy/lessons/what-types-of-food-do-living-things-eat-c4wkje</w:t>
              </w:r>
            </w:hyperlink>
            <w:r>
              <w:t xml:space="preserve"> </w:t>
            </w:r>
          </w:p>
        </w:tc>
      </w:tr>
      <w:tr w:rsidR="00E709E1" w14:paraId="01F56F14" w14:textId="77777777" w:rsidTr="00E709E1">
        <w:trPr>
          <w:trHeight w:val="275"/>
        </w:trPr>
        <w:tc>
          <w:tcPr>
            <w:tcW w:w="1270" w:type="dxa"/>
          </w:tcPr>
          <w:p w14:paraId="70C075A7" w14:textId="545CE7AA" w:rsidR="00E709E1" w:rsidRDefault="00E709E1" w:rsidP="00E709E1">
            <w:pPr>
              <w:jc w:val="both"/>
            </w:pPr>
            <w:r>
              <w:t>Other</w:t>
            </w:r>
          </w:p>
        </w:tc>
        <w:tc>
          <w:tcPr>
            <w:tcW w:w="14034" w:type="dxa"/>
            <w:gridSpan w:val="3"/>
          </w:tcPr>
          <w:p w14:paraId="226E7118" w14:textId="19E73F3A" w:rsidR="00E709E1" w:rsidRDefault="00E709E1" w:rsidP="00E709E1">
            <w:pPr>
              <w:jc w:val="both"/>
            </w:pPr>
            <w:r>
              <w:t xml:space="preserve"> </w:t>
            </w:r>
          </w:p>
        </w:tc>
      </w:tr>
    </w:tbl>
    <w:p w14:paraId="036129F1" w14:textId="383FB030" w:rsidR="00732637" w:rsidRPr="00591832" w:rsidRDefault="00591832" w:rsidP="00E709E1">
      <w:r>
        <w:t>If you have any questions, please email your class teacher</w:t>
      </w:r>
    </w:p>
    <w:sectPr w:rsidR="00732637" w:rsidRPr="00591832" w:rsidSect="00732637">
      <w:head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E389" w14:textId="63817628" w:rsidR="00311D1B" w:rsidRDefault="00311D1B">
    <w:pPr>
      <w:pStyle w:val="Header"/>
    </w:pPr>
    <w:r>
      <w:rPr>
        <w:noProof/>
        <w:lang w:val="en-US"/>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2"/>
    <w:rsid w:val="00177D37"/>
    <w:rsid w:val="00213992"/>
    <w:rsid w:val="00226093"/>
    <w:rsid w:val="00311D1B"/>
    <w:rsid w:val="00357312"/>
    <w:rsid w:val="00360EAC"/>
    <w:rsid w:val="00392E50"/>
    <w:rsid w:val="004C6440"/>
    <w:rsid w:val="00591832"/>
    <w:rsid w:val="006078E2"/>
    <w:rsid w:val="00732637"/>
    <w:rsid w:val="007E3E8C"/>
    <w:rsid w:val="007F2AF4"/>
    <w:rsid w:val="0090337E"/>
    <w:rsid w:val="00A05A4A"/>
    <w:rsid w:val="00CB6819"/>
    <w:rsid w:val="00DF2F9C"/>
    <w:rsid w:val="00E30942"/>
    <w:rsid w:val="00E709E1"/>
    <w:rsid w:val="00ED24B6"/>
    <w:rsid w:val="00FC6B53"/>
    <w:rsid w:val="00FC7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67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0337E"/>
    <w:rPr>
      <w:color w:val="0563C1" w:themeColor="hyperlink"/>
      <w:u w:val="single"/>
    </w:rPr>
  </w:style>
  <w:style w:type="character" w:customStyle="1" w:styleId="UnresolvedMention">
    <w:name w:val="Unresolved Mention"/>
    <w:basedOn w:val="DefaultParagraphFont"/>
    <w:uiPriority w:val="99"/>
    <w:semiHidden/>
    <w:unhideWhenUsed/>
    <w:rsid w:val="0090337E"/>
    <w:rPr>
      <w:color w:val="605E5C"/>
      <w:shd w:val="clear" w:color="auto" w:fill="E1DFDD"/>
    </w:rPr>
  </w:style>
  <w:style w:type="character" w:styleId="FollowedHyperlink">
    <w:name w:val="FollowedHyperlink"/>
    <w:basedOn w:val="DefaultParagraphFont"/>
    <w:uiPriority w:val="99"/>
    <w:semiHidden/>
    <w:unhideWhenUsed/>
    <w:rsid w:val="00213992"/>
    <w:rPr>
      <w:color w:val="954F72" w:themeColor="followedHyperlink"/>
      <w:u w:val="single"/>
    </w:rPr>
  </w:style>
  <w:style w:type="paragraph" w:styleId="BalloonText">
    <w:name w:val="Balloon Text"/>
    <w:basedOn w:val="Normal"/>
    <w:link w:val="BalloonTextChar"/>
    <w:uiPriority w:val="99"/>
    <w:semiHidden/>
    <w:unhideWhenUsed/>
    <w:rsid w:val="00ED24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4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0337E"/>
    <w:rPr>
      <w:color w:val="0563C1" w:themeColor="hyperlink"/>
      <w:u w:val="single"/>
    </w:rPr>
  </w:style>
  <w:style w:type="character" w:customStyle="1" w:styleId="UnresolvedMention">
    <w:name w:val="Unresolved Mention"/>
    <w:basedOn w:val="DefaultParagraphFont"/>
    <w:uiPriority w:val="99"/>
    <w:semiHidden/>
    <w:unhideWhenUsed/>
    <w:rsid w:val="0090337E"/>
    <w:rPr>
      <w:color w:val="605E5C"/>
      <w:shd w:val="clear" w:color="auto" w:fill="E1DFDD"/>
    </w:rPr>
  </w:style>
  <w:style w:type="character" w:styleId="FollowedHyperlink">
    <w:name w:val="FollowedHyperlink"/>
    <w:basedOn w:val="DefaultParagraphFont"/>
    <w:uiPriority w:val="99"/>
    <w:semiHidden/>
    <w:unhideWhenUsed/>
    <w:rsid w:val="00213992"/>
    <w:rPr>
      <w:color w:val="954F72" w:themeColor="followedHyperlink"/>
      <w:u w:val="single"/>
    </w:rPr>
  </w:style>
  <w:style w:type="paragraph" w:styleId="BalloonText">
    <w:name w:val="Balloon Text"/>
    <w:basedOn w:val="Normal"/>
    <w:link w:val="BalloonTextChar"/>
    <w:uiPriority w:val="99"/>
    <w:semiHidden/>
    <w:unhideWhenUsed/>
    <w:rsid w:val="00ED24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4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lassroom.thenational.academy/lessons/to-use-capital-letters-for-names-cmt3ee" TargetMode="External"/><Relationship Id="rId21" Type="http://schemas.openxmlformats.org/officeDocument/2006/relationships/hyperlink" Target="https://classroom.thenational.academy/lessons/to-listen-and-respond-to-a-story-6mw3ad" TargetMode="External"/><Relationship Id="rId22" Type="http://schemas.openxmlformats.org/officeDocument/2006/relationships/hyperlink" Target="https://classroom.thenational.academy/lessons/jack-and-the-beanstalk-an-introduction-to-storytelling-through-dance-70upcd" TargetMode="External"/><Relationship Id="rId23" Type="http://schemas.openxmlformats.org/officeDocument/2006/relationships/hyperlink" Target="https://classroom.thenational.academy/lessons/comparing-and-ordering-numbers-within-50-part-2-70vkjc" TargetMode="External"/><Relationship Id="rId24" Type="http://schemas.openxmlformats.org/officeDocument/2006/relationships/hyperlink" Target="https://classroom.thenational.academy/lessons/to-use-the-past-tense-69k30d" TargetMode="External"/><Relationship Id="rId25" Type="http://schemas.openxmlformats.org/officeDocument/2006/relationships/hyperlink" Target="https://classroom.thenational.academy/lessons/to-retell-the-main-events-in-a-story-ccw3cd" TargetMode="External"/><Relationship Id="rId26" Type="http://schemas.openxmlformats.org/officeDocument/2006/relationships/hyperlink" Target="https://classroom.thenational.academy/lessons/dont-worry-about-a-thing-68u32d" TargetMode="External"/><Relationship Id="rId27" Type="http://schemas.openxmlformats.org/officeDocument/2006/relationships/hyperlink" Target="https://classroom.thenational.academy/lessons/counting-in-twos-fives-and-tens-65k34d" TargetMode="External"/><Relationship Id="rId28" Type="http://schemas.openxmlformats.org/officeDocument/2006/relationships/hyperlink" Target="https://classroom.thenational.academy/lessons/to-write-a-recount-c8u3er" TargetMode="External"/><Relationship Id="rId29" Type="http://schemas.openxmlformats.org/officeDocument/2006/relationships/hyperlink" Target="https://classroom.thenational.academy/lessons/to-listen-and-respond-to-a-story-70tke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classroom.thenational.academy/lessons/what-types-of-food-do-living-things-eat-c4wkje"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classroom.thenational.academy/lessons/understanding-commutativity-c5gk8c" TargetMode="External"/><Relationship Id="rId12" Type="http://schemas.openxmlformats.org/officeDocument/2006/relationships/hyperlink" Target="https://classroom.thenational.academy/lessons/to-use-the-conjunction-and-to-join-clauses-chjk6t" TargetMode="External"/><Relationship Id="rId13" Type="http://schemas.openxmlformats.org/officeDocument/2006/relationships/hyperlink" Target="https://classroom.thenational.academy/lessons/to-listen-to-and-respond-to-a-story-6gvpad" TargetMode="External"/><Relationship Id="rId14" Type="http://schemas.openxmlformats.org/officeDocument/2006/relationships/hyperlink" Target="https://classroom.thenational.academy/lessons/observational-drawing-6th3ac" TargetMode="External"/><Relationship Id="rId15" Type="http://schemas.openxmlformats.org/officeDocument/2006/relationships/hyperlink" Target="https://classroom.thenational.academy/lessons/recognising-the-relationship-between-addition-and-subtraction-60tp4t" TargetMode="External"/><Relationship Id="rId16" Type="http://schemas.openxmlformats.org/officeDocument/2006/relationships/hyperlink" Target="https://classroom.thenational.academy/lessons/to-retrieve-information-61jk4t" TargetMode="External"/><Relationship Id="rId17" Type="http://schemas.openxmlformats.org/officeDocument/2006/relationships/hyperlink" Target="https://classroom.thenational.academy/lessons/to-tell-a-story-from-memory-60uk2t" TargetMode="External"/><Relationship Id="rId18" Type="http://schemas.openxmlformats.org/officeDocument/2006/relationships/hyperlink" Target="https://classroom.thenational.academy/lessons/what-is-africa-like-cmv38c" TargetMode="External"/><Relationship Id="rId19" Type="http://schemas.openxmlformats.org/officeDocument/2006/relationships/hyperlink" Target="https://classroom.thenational.academy/lessons/sequencing-numbers-to-50-cmtkj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4501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PAUL HATTON</cp:lastModifiedBy>
  <cp:revision>10</cp:revision>
  <dcterms:created xsi:type="dcterms:W3CDTF">2022-04-02T16:06:00Z</dcterms:created>
  <dcterms:modified xsi:type="dcterms:W3CDTF">2022-04-02T16:16:00Z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