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4203F4" w14:textId="77777777" w:rsidR="003D2C3E" w:rsidRPr="000D3589" w:rsidRDefault="003D2C3E">
      <w:pPr>
        <w:rPr>
          <w:rFonts w:ascii="Comic Sans MS" w:hAnsi="Comic Sans MS"/>
          <w:u w:val="single"/>
        </w:rPr>
      </w:pPr>
    </w:p>
    <w:p w14:paraId="159E5B6B" w14:textId="77777777" w:rsidR="003D2C3E" w:rsidRPr="003D2C3E" w:rsidRDefault="003D2C3E" w:rsidP="003D2C3E">
      <w:pPr>
        <w:pStyle w:val="NoSpacing"/>
        <w:rPr>
          <w:b/>
        </w:rPr>
      </w:pPr>
      <w:r w:rsidRPr="003D2C3E">
        <w:rPr>
          <w:b/>
        </w:rPr>
        <w:t xml:space="preserve">Moredon Primary and Nursery School </w:t>
      </w:r>
      <w:r>
        <w:rPr>
          <w:b/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80E1B99" wp14:editId="0045B452">
            <wp:simplePos x="3131820" y="533400"/>
            <wp:positionH relativeFrom="margin">
              <wp:align>right</wp:align>
            </wp:positionH>
            <wp:positionV relativeFrom="margin">
              <wp:align>top</wp:align>
            </wp:positionV>
            <wp:extent cx="847725" cy="11144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725DF0D" w14:textId="16492C7B" w:rsidR="003D2C3E" w:rsidRPr="003D2C3E" w:rsidRDefault="003D2C3E" w:rsidP="003D2C3E">
      <w:pPr>
        <w:pStyle w:val="NoSpacing"/>
        <w:rPr>
          <w:b/>
        </w:rPr>
      </w:pPr>
      <w:r w:rsidRPr="003D2C3E">
        <w:rPr>
          <w:b/>
        </w:rPr>
        <w:t>Subject O</w:t>
      </w:r>
      <w:r w:rsidR="001B6440">
        <w:rPr>
          <w:b/>
        </w:rPr>
        <w:t xml:space="preserve">verviews, Long term planning </w:t>
      </w:r>
    </w:p>
    <w:p w14:paraId="02EAE4FF" w14:textId="77777777" w:rsidR="003D2C3E" w:rsidRDefault="003D2C3E" w:rsidP="003D2C3E">
      <w:pPr>
        <w:pStyle w:val="NoSpacing"/>
        <w:rPr>
          <w:b/>
        </w:rPr>
      </w:pPr>
    </w:p>
    <w:p w14:paraId="085FB413" w14:textId="2FA8E939" w:rsidR="00EA4FAE" w:rsidRDefault="003D2C3E" w:rsidP="003D2C3E">
      <w:pPr>
        <w:pStyle w:val="NoSpacing"/>
      </w:pPr>
      <w:r w:rsidRPr="003D2C3E">
        <w:rPr>
          <w:b/>
        </w:rPr>
        <w:t>Subject area</w:t>
      </w:r>
      <w:r>
        <w:t xml:space="preserve">: </w:t>
      </w:r>
      <w:r w:rsidR="00313A4F">
        <w:t>History</w:t>
      </w:r>
    </w:p>
    <w:p w14:paraId="4823E44A" w14:textId="77777777" w:rsidR="003D2C3E" w:rsidRDefault="003D2C3E" w:rsidP="003D2C3E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3"/>
        <w:gridCol w:w="2275"/>
        <w:gridCol w:w="2202"/>
        <w:gridCol w:w="1902"/>
        <w:gridCol w:w="1984"/>
        <w:gridCol w:w="4253"/>
      </w:tblGrid>
      <w:tr w:rsidR="00313A4F" w:rsidRPr="00313A4F" w14:paraId="18D8B921" w14:textId="77777777" w:rsidTr="00313A4F">
        <w:tc>
          <w:tcPr>
            <w:tcW w:w="763" w:type="dxa"/>
            <w:shd w:val="clear" w:color="auto" w:fill="F2DBDB" w:themeFill="accent2" w:themeFillTint="33"/>
          </w:tcPr>
          <w:p w14:paraId="7445E86F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bookmarkStart w:id="0" w:name="_Hlk221073745"/>
            <w:r w:rsidRPr="00313A4F">
              <w:rPr>
                <w:rFonts w:ascii="Comic Sans MS" w:hAnsi="Comic Sans MS"/>
                <w:u w:val="single"/>
              </w:rPr>
              <w:t>Term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38F2D134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R/Y1</w:t>
            </w:r>
          </w:p>
        </w:tc>
        <w:tc>
          <w:tcPr>
            <w:tcW w:w="2202" w:type="dxa"/>
            <w:shd w:val="clear" w:color="auto" w:fill="DBE5F1" w:themeFill="accent1" w:themeFillTint="33"/>
          </w:tcPr>
          <w:p w14:paraId="56507A80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Y2</w:t>
            </w:r>
          </w:p>
        </w:tc>
        <w:tc>
          <w:tcPr>
            <w:tcW w:w="1902" w:type="dxa"/>
            <w:shd w:val="clear" w:color="auto" w:fill="B2A1C7" w:themeFill="accent4" w:themeFillTint="99"/>
          </w:tcPr>
          <w:p w14:paraId="68786CB2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Y3/4</w:t>
            </w:r>
          </w:p>
        </w:tc>
        <w:tc>
          <w:tcPr>
            <w:tcW w:w="1984" w:type="dxa"/>
            <w:shd w:val="clear" w:color="auto" w:fill="FBD4B4" w:themeFill="accent6" w:themeFillTint="66"/>
          </w:tcPr>
          <w:p w14:paraId="6EEECD97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Y5</w:t>
            </w:r>
          </w:p>
        </w:tc>
        <w:tc>
          <w:tcPr>
            <w:tcW w:w="4253" w:type="dxa"/>
            <w:shd w:val="clear" w:color="auto" w:fill="00B0F0"/>
          </w:tcPr>
          <w:p w14:paraId="5A520D65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Y6</w:t>
            </w:r>
          </w:p>
        </w:tc>
      </w:tr>
      <w:tr w:rsidR="00313A4F" w:rsidRPr="00313A4F" w14:paraId="5C36AB0C" w14:textId="77777777" w:rsidTr="00FD4A8B">
        <w:trPr>
          <w:trHeight w:val="2345"/>
        </w:trPr>
        <w:tc>
          <w:tcPr>
            <w:tcW w:w="763" w:type="dxa"/>
            <w:shd w:val="clear" w:color="auto" w:fill="F2DBDB" w:themeFill="accent2" w:themeFillTint="33"/>
          </w:tcPr>
          <w:p w14:paraId="4D42EDDF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1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1BAC5769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 xml:space="preserve">All About Me </w:t>
            </w:r>
          </w:p>
          <w:p w14:paraId="00E86F6D" w14:textId="1BC282AB" w:rsidR="00313A4F" w:rsidRPr="009015D3" w:rsidRDefault="00313A4F" w:rsidP="009015D3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t>History – sequencing life events</w:t>
            </w:r>
          </w:p>
        </w:tc>
        <w:tc>
          <w:tcPr>
            <w:tcW w:w="2202" w:type="dxa"/>
            <w:shd w:val="clear" w:color="auto" w:fill="DBE5F1" w:themeFill="accent1" w:themeFillTint="33"/>
          </w:tcPr>
          <w:p w14:paraId="700749F0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Marvellous me!</w:t>
            </w:r>
          </w:p>
          <w:p w14:paraId="0B5360EC" w14:textId="77777777" w:rsid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t>Past events in own life</w:t>
            </w:r>
          </w:p>
          <w:p w14:paraId="62AC75DF" w14:textId="18B9F855" w:rsidR="009015D3" w:rsidRPr="009015D3" w:rsidRDefault="009015D3" w:rsidP="009015D3">
            <w:pPr>
              <w:rPr>
                <w:rFonts w:ascii="Comic Sans MS" w:hAnsi="Comic Sans MS"/>
              </w:rPr>
            </w:pPr>
          </w:p>
        </w:tc>
        <w:tc>
          <w:tcPr>
            <w:tcW w:w="1902" w:type="dxa"/>
            <w:shd w:val="clear" w:color="auto" w:fill="B2A1C7" w:themeFill="accent4" w:themeFillTint="99"/>
          </w:tcPr>
          <w:p w14:paraId="0D32D0CB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2C6A0272" w14:textId="77777777" w:rsid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World War 1</w:t>
            </w:r>
          </w:p>
          <w:p w14:paraId="040F77DB" w14:textId="77777777" w:rsidR="009015D3" w:rsidRPr="009015D3" w:rsidRDefault="009015D3" w:rsidP="009015D3">
            <w:pPr>
              <w:rPr>
                <w:rFonts w:ascii="Comic Sans MS" w:hAnsi="Comic Sans MS"/>
              </w:rPr>
            </w:pPr>
          </w:p>
          <w:p w14:paraId="1DA309FB" w14:textId="77777777" w:rsidR="009015D3" w:rsidRDefault="009015D3" w:rsidP="009015D3">
            <w:pPr>
              <w:rPr>
                <w:rFonts w:ascii="Comic Sans MS" w:hAnsi="Comic Sans MS"/>
                <w:u w:val="single"/>
              </w:rPr>
            </w:pPr>
          </w:p>
          <w:p w14:paraId="5260D31C" w14:textId="77777777" w:rsidR="009015D3" w:rsidRDefault="009015D3" w:rsidP="009015D3">
            <w:pPr>
              <w:rPr>
                <w:rFonts w:ascii="Comic Sans MS" w:hAnsi="Comic Sans MS"/>
                <w:u w:val="single"/>
              </w:rPr>
            </w:pPr>
          </w:p>
          <w:p w14:paraId="7180BAFC" w14:textId="678FCC7C" w:rsidR="009015D3" w:rsidRPr="009015D3" w:rsidRDefault="009015D3" w:rsidP="009015D3">
            <w:pPr>
              <w:rPr>
                <w:rFonts w:ascii="Comic Sans MS" w:hAnsi="Comic Sans MS"/>
              </w:rPr>
            </w:pPr>
          </w:p>
        </w:tc>
        <w:tc>
          <w:tcPr>
            <w:tcW w:w="4253" w:type="dxa"/>
            <w:shd w:val="clear" w:color="auto" w:fill="00B0F0"/>
          </w:tcPr>
          <w:p w14:paraId="72923B12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Tudors</w:t>
            </w:r>
          </w:p>
          <w:p w14:paraId="34603F7F" w14:textId="77777777" w:rsidR="00313A4F" w:rsidRPr="00FD4A8B" w:rsidRDefault="00313A4F" w:rsidP="00313A4F">
            <w:pPr>
              <w:spacing w:after="200" w:line="276" w:lineRule="auto"/>
              <w:rPr>
                <w:rFonts w:ascii="Comic Sans MS" w:hAnsi="Comic Sans MS"/>
              </w:rPr>
            </w:pPr>
          </w:p>
          <w:p w14:paraId="6B70AA00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  <w:u w:val="single"/>
              </w:rPr>
            </w:pPr>
            <w:r w:rsidRPr="00FD4A8B">
              <w:rPr>
                <w:rFonts w:ascii="Comic Sans MS" w:hAnsi="Comic Sans MS"/>
                <w:i/>
                <w:iCs/>
              </w:rPr>
              <w:t>Trip – Tudor World</w:t>
            </w:r>
          </w:p>
        </w:tc>
      </w:tr>
      <w:tr w:rsidR="00313A4F" w:rsidRPr="00313A4F" w14:paraId="72AF0C27" w14:textId="77777777" w:rsidTr="00313A4F">
        <w:tc>
          <w:tcPr>
            <w:tcW w:w="763" w:type="dxa"/>
            <w:shd w:val="clear" w:color="auto" w:fill="F2DBDB" w:themeFill="accent2" w:themeFillTint="33"/>
          </w:tcPr>
          <w:p w14:paraId="384CDEAD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2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78075B3A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2202" w:type="dxa"/>
            <w:shd w:val="clear" w:color="auto" w:fill="DBE5F1" w:themeFill="accent1" w:themeFillTint="33"/>
          </w:tcPr>
          <w:p w14:paraId="4D43ABBE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02" w:type="dxa"/>
            <w:shd w:val="clear" w:color="auto" w:fill="B2A1C7" w:themeFill="accent4" w:themeFillTint="99"/>
          </w:tcPr>
          <w:p w14:paraId="3820729D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The Egyptians</w:t>
            </w:r>
          </w:p>
          <w:p w14:paraId="4FD9BBAA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6F013F4C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Black History</w:t>
            </w:r>
          </w:p>
        </w:tc>
        <w:tc>
          <w:tcPr>
            <w:tcW w:w="4253" w:type="dxa"/>
            <w:shd w:val="clear" w:color="auto" w:fill="00B0F0"/>
          </w:tcPr>
          <w:p w14:paraId="1DE63EF2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World War 2</w:t>
            </w:r>
          </w:p>
          <w:p w14:paraId="250998F7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t>A study of an aspect or theme in British history that extends pupils’ chronological knowledge beyond 1066</w:t>
            </w:r>
          </w:p>
          <w:p w14:paraId="7C3E0768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i/>
                <w:iCs/>
              </w:rPr>
              <w:t>A significant turning point in British history, for example, the first railways or the Battle of Britain</w:t>
            </w:r>
          </w:p>
        </w:tc>
      </w:tr>
      <w:tr w:rsidR="00313A4F" w:rsidRPr="00313A4F" w14:paraId="38BFCF19" w14:textId="77777777" w:rsidTr="00313A4F">
        <w:tc>
          <w:tcPr>
            <w:tcW w:w="763" w:type="dxa"/>
            <w:shd w:val="clear" w:color="auto" w:fill="F2DBDB" w:themeFill="accent2" w:themeFillTint="33"/>
          </w:tcPr>
          <w:p w14:paraId="4072193F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3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743F6112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 xml:space="preserve">Capital Chaos - </w:t>
            </w:r>
            <w:r w:rsidRPr="00313A4F">
              <w:rPr>
                <w:rFonts w:ascii="Comic Sans MS" w:hAnsi="Comic Sans MS"/>
                <w:i/>
                <w:iCs/>
              </w:rPr>
              <w:t>Queen Victoria and King Charles III</w:t>
            </w:r>
          </w:p>
        </w:tc>
        <w:tc>
          <w:tcPr>
            <w:tcW w:w="2202" w:type="dxa"/>
            <w:shd w:val="clear" w:color="auto" w:fill="DBE5F1" w:themeFill="accent1" w:themeFillTint="33"/>
          </w:tcPr>
          <w:p w14:paraId="3E7BF1EA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bCs/>
                <w:u w:val="single"/>
              </w:rPr>
              <w:t>The Great Fire of London</w:t>
            </w:r>
          </w:p>
        </w:tc>
        <w:tc>
          <w:tcPr>
            <w:tcW w:w="1902" w:type="dxa"/>
            <w:shd w:val="clear" w:color="auto" w:fill="B2A1C7" w:themeFill="accent4" w:themeFillTint="99"/>
          </w:tcPr>
          <w:p w14:paraId="33FC79F2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 xml:space="preserve">Rule Britannia </w:t>
            </w:r>
          </w:p>
          <w:p w14:paraId="77DF0DE1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t>Railways</w:t>
            </w:r>
          </w:p>
          <w:p w14:paraId="43247031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</w:p>
          <w:p w14:paraId="67F0E097" w14:textId="75265BD8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t xml:space="preserve">Trip – Steam museum </w:t>
            </w:r>
          </w:p>
          <w:p w14:paraId="1EE4E410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lastRenderedPageBreak/>
              <w:t>Local Study</w:t>
            </w:r>
          </w:p>
          <w:p w14:paraId="4E0E002B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  <w:u w:val="single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0A2960F8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lastRenderedPageBreak/>
              <w:t>Romans and Celts</w:t>
            </w:r>
          </w:p>
        </w:tc>
        <w:tc>
          <w:tcPr>
            <w:tcW w:w="4253" w:type="dxa"/>
            <w:shd w:val="clear" w:color="auto" w:fill="00B0F0"/>
          </w:tcPr>
          <w:p w14:paraId="7079BA6B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Early Islamic Civilisation</w:t>
            </w:r>
          </w:p>
          <w:p w14:paraId="08F1A125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</w:rPr>
            </w:pPr>
            <w:r w:rsidRPr="00313A4F">
              <w:rPr>
                <w:rFonts w:ascii="Comic Sans MS" w:hAnsi="Comic Sans MS"/>
                <w:i/>
                <w:iCs/>
              </w:rPr>
              <w:t xml:space="preserve">A non-European society that provides contrasts with British history – one study chosen from: early Islamic civilization, including a study of Baghdad c. AD 900; Mayan civilization </w:t>
            </w:r>
            <w:r w:rsidRPr="00313A4F">
              <w:rPr>
                <w:rFonts w:ascii="Comic Sans MS" w:hAnsi="Comic Sans MS"/>
                <w:i/>
                <w:iCs/>
              </w:rPr>
              <w:lastRenderedPageBreak/>
              <w:t>c. AD 900; Benin (West Africa) c. AD 900-1300</w:t>
            </w:r>
          </w:p>
        </w:tc>
      </w:tr>
      <w:tr w:rsidR="00313A4F" w:rsidRPr="00313A4F" w14:paraId="18238C35" w14:textId="77777777" w:rsidTr="00313A4F">
        <w:tc>
          <w:tcPr>
            <w:tcW w:w="763" w:type="dxa"/>
            <w:shd w:val="clear" w:color="auto" w:fill="F2DBDB" w:themeFill="accent2" w:themeFillTint="33"/>
          </w:tcPr>
          <w:p w14:paraId="3178D6F0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lastRenderedPageBreak/>
              <w:t>4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03DA7B66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2202" w:type="dxa"/>
            <w:shd w:val="clear" w:color="auto" w:fill="DBE5F1" w:themeFill="accent1" w:themeFillTint="33"/>
          </w:tcPr>
          <w:p w14:paraId="6FBCB318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Isambard Kingdom Brunel</w:t>
            </w:r>
          </w:p>
          <w:p w14:paraId="352FA504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</w:rPr>
            </w:pPr>
          </w:p>
          <w:p w14:paraId="7FDA69AF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  <w:u w:val="single"/>
              </w:rPr>
            </w:pPr>
            <w:r w:rsidRPr="00313A4F">
              <w:rPr>
                <w:rFonts w:ascii="Comic Sans MS" w:hAnsi="Comic Sans MS"/>
                <w:i/>
                <w:iCs/>
              </w:rPr>
              <w:t xml:space="preserve"> Trip / local study</w:t>
            </w:r>
          </w:p>
        </w:tc>
        <w:tc>
          <w:tcPr>
            <w:tcW w:w="1902" w:type="dxa"/>
            <w:shd w:val="clear" w:color="auto" w:fill="B2A1C7" w:themeFill="accent4" w:themeFillTint="99"/>
          </w:tcPr>
          <w:p w14:paraId="7915599A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Vicious Vikings</w:t>
            </w:r>
          </w:p>
          <w:p w14:paraId="431B730A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0F19177C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Dynasties (China)</w:t>
            </w:r>
          </w:p>
        </w:tc>
        <w:tc>
          <w:tcPr>
            <w:tcW w:w="4253" w:type="dxa"/>
            <w:shd w:val="clear" w:color="auto" w:fill="00B0F0"/>
          </w:tcPr>
          <w:p w14:paraId="50A6A326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Migration in Australia</w:t>
            </w:r>
          </w:p>
          <w:p w14:paraId="23CDBE00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</w:rPr>
            </w:pPr>
          </w:p>
          <w:p w14:paraId="26FECDA2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  <w:u w:val="single"/>
              </w:rPr>
            </w:pPr>
            <w:r w:rsidRPr="00313A4F">
              <w:rPr>
                <w:rFonts w:ascii="Comic Sans MS" w:hAnsi="Comic Sans MS"/>
                <w:i/>
                <w:iCs/>
              </w:rPr>
              <w:t>A local study</w:t>
            </w:r>
          </w:p>
        </w:tc>
      </w:tr>
      <w:tr w:rsidR="00313A4F" w:rsidRPr="00313A4F" w14:paraId="2C90B287" w14:textId="77777777" w:rsidTr="00313A4F">
        <w:tc>
          <w:tcPr>
            <w:tcW w:w="763" w:type="dxa"/>
            <w:shd w:val="clear" w:color="auto" w:fill="F2DBDB" w:themeFill="accent2" w:themeFillTint="33"/>
          </w:tcPr>
          <w:p w14:paraId="26C68441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5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28CC7187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2202" w:type="dxa"/>
            <w:shd w:val="clear" w:color="auto" w:fill="DBE5F1" w:themeFill="accent1" w:themeFillTint="33"/>
          </w:tcPr>
          <w:p w14:paraId="462C1F8F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02" w:type="dxa"/>
            <w:shd w:val="clear" w:color="auto" w:fill="B2A1C7" w:themeFill="accent4" w:themeFillTint="99"/>
          </w:tcPr>
          <w:p w14:paraId="25C390C9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5A962EB5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Crime and punishment</w:t>
            </w:r>
          </w:p>
          <w:p w14:paraId="4E8ABEBA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4253" w:type="dxa"/>
            <w:shd w:val="clear" w:color="auto" w:fill="00B0F0"/>
          </w:tcPr>
          <w:p w14:paraId="3BC3D1C4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i/>
                <w:iCs/>
                <w:u w:val="single"/>
              </w:rPr>
            </w:pPr>
          </w:p>
          <w:p w14:paraId="62533121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</w:tr>
      <w:tr w:rsidR="00313A4F" w:rsidRPr="00313A4F" w14:paraId="604D37DE" w14:textId="77777777" w:rsidTr="00313A4F">
        <w:tc>
          <w:tcPr>
            <w:tcW w:w="763" w:type="dxa"/>
            <w:shd w:val="clear" w:color="auto" w:fill="F2DBDB" w:themeFill="accent2" w:themeFillTint="33"/>
          </w:tcPr>
          <w:p w14:paraId="461DC254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6</w:t>
            </w:r>
          </w:p>
        </w:tc>
        <w:tc>
          <w:tcPr>
            <w:tcW w:w="2275" w:type="dxa"/>
            <w:shd w:val="clear" w:color="auto" w:fill="E5DFEC" w:themeFill="accent4" w:themeFillTint="33"/>
          </w:tcPr>
          <w:p w14:paraId="7EB4EFD2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2202" w:type="dxa"/>
            <w:shd w:val="clear" w:color="auto" w:fill="DBE5F1" w:themeFill="accent1" w:themeFillTint="33"/>
          </w:tcPr>
          <w:p w14:paraId="7E614D49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02" w:type="dxa"/>
            <w:shd w:val="clear" w:color="auto" w:fill="B2A1C7" w:themeFill="accent4" w:themeFillTint="99"/>
          </w:tcPr>
          <w:p w14:paraId="75DEEF6A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1984" w:type="dxa"/>
            <w:shd w:val="clear" w:color="auto" w:fill="FBD4B4" w:themeFill="accent6" w:themeFillTint="66"/>
          </w:tcPr>
          <w:p w14:paraId="0493A621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  <w:r w:rsidRPr="00313A4F">
              <w:rPr>
                <w:rFonts w:ascii="Comic Sans MS" w:hAnsi="Comic Sans MS"/>
                <w:u w:val="single"/>
              </w:rPr>
              <w:t>Ancient Greeks</w:t>
            </w:r>
          </w:p>
          <w:p w14:paraId="2F58F3C4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  <w:tc>
          <w:tcPr>
            <w:tcW w:w="4253" w:type="dxa"/>
            <w:shd w:val="clear" w:color="auto" w:fill="00B0F0"/>
          </w:tcPr>
          <w:p w14:paraId="028C6D64" w14:textId="77777777" w:rsidR="00313A4F" w:rsidRPr="00313A4F" w:rsidRDefault="00313A4F" w:rsidP="00313A4F">
            <w:pPr>
              <w:spacing w:after="200" w:line="276" w:lineRule="auto"/>
              <w:rPr>
                <w:rFonts w:ascii="Comic Sans MS" w:hAnsi="Comic Sans MS"/>
                <w:u w:val="single"/>
              </w:rPr>
            </w:pPr>
          </w:p>
        </w:tc>
      </w:tr>
      <w:bookmarkEnd w:id="0"/>
    </w:tbl>
    <w:p w14:paraId="1568944D" w14:textId="4D480BD5" w:rsidR="00524070" w:rsidRPr="003D2C3E" w:rsidRDefault="00524070">
      <w:pPr>
        <w:rPr>
          <w:rFonts w:ascii="Comic Sans MS" w:hAnsi="Comic Sans MS"/>
          <w:u w:val="single"/>
        </w:rPr>
      </w:pPr>
    </w:p>
    <w:sectPr w:rsidR="00524070" w:rsidRPr="003D2C3E" w:rsidSect="00A60596">
      <w:pgSz w:w="16838" w:h="11906" w:orient="landscape"/>
      <w:pgMar w:top="284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070"/>
    <w:rsid w:val="0001656B"/>
    <w:rsid w:val="00042161"/>
    <w:rsid w:val="00050FB7"/>
    <w:rsid w:val="00056E7C"/>
    <w:rsid w:val="00060527"/>
    <w:rsid w:val="000635F9"/>
    <w:rsid w:val="000665C3"/>
    <w:rsid w:val="000772ED"/>
    <w:rsid w:val="000A69E9"/>
    <w:rsid w:val="000D3589"/>
    <w:rsid w:val="00180E5A"/>
    <w:rsid w:val="001B04B6"/>
    <w:rsid w:val="001B6440"/>
    <w:rsid w:val="00223BDD"/>
    <w:rsid w:val="00223FF4"/>
    <w:rsid w:val="00224EC9"/>
    <w:rsid w:val="002330E8"/>
    <w:rsid w:val="002346A2"/>
    <w:rsid w:val="00263E28"/>
    <w:rsid w:val="00267244"/>
    <w:rsid w:val="0027199B"/>
    <w:rsid w:val="00280A24"/>
    <w:rsid w:val="002F5E0A"/>
    <w:rsid w:val="00313A4F"/>
    <w:rsid w:val="0032595D"/>
    <w:rsid w:val="00346869"/>
    <w:rsid w:val="003473DE"/>
    <w:rsid w:val="003521F4"/>
    <w:rsid w:val="003639CC"/>
    <w:rsid w:val="00377C6E"/>
    <w:rsid w:val="003D2C3E"/>
    <w:rsid w:val="003E17C2"/>
    <w:rsid w:val="003F7130"/>
    <w:rsid w:val="004041C1"/>
    <w:rsid w:val="004307CC"/>
    <w:rsid w:val="00443D58"/>
    <w:rsid w:val="00453AEB"/>
    <w:rsid w:val="004D4167"/>
    <w:rsid w:val="005018CA"/>
    <w:rsid w:val="00505512"/>
    <w:rsid w:val="00517B59"/>
    <w:rsid w:val="00524070"/>
    <w:rsid w:val="005346F1"/>
    <w:rsid w:val="00540FA3"/>
    <w:rsid w:val="00554B1D"/>
    <w:rsid w:val="00557681"/>
    <w:rsid w:val="00571156"/>
    <w:rsid w:val="005B1D22"/>
    <w:rsid w:val="005B60AF"/>
    <w:rsid w:val="005C2EE5"/>
    <w:rsid w:val="005E4CB8"/>
    <w:rsid w:val="005E7813"/>
    <w:rsid w:val="00621AB2"/>
    <w:rsid w:val="00630159"/>
    <w:rsid w:val="00633252"/>
    <w:rsid w:val="006577DB"/>
    <w:rsid w:val="006663DD"/>
    <w:rsid w:val="00693656"/>
    <w:rsid w:val="006C2A4F"/>
    <w:rsid w:val="006C33AF"/>
    <w:rsid w:val="006E5184"/>
    <w:rsid w:val="006E5C8A"/>
    <w:rsid w:val="006E6BD6"/>
    <w:rsid w:val="00701FC4"/>
    <w:rsid w:val="00712AB9"/>
    <w:rsid w:val="00743E0C"/>
    <w:rsid w:val="00757B67"/>
    <w:rsid w:val="007A5075"/>
    <w:rsid w:val="007E6847"/>
    <w:rsid w:val="00837534"/>
    <w:rsid w:val="0085233F"/>
    <w:rsid w:val="0086191A"/>
    <w:rsid w:val="008C30B5"/>
    <w:rsid w:val="008D4E34"/>
    <w:rsid w:val="009015D3"/>
    <w:rsid w:val="00903DD7"/>
    <w:rsid w:val="00912C3B"/>
    <w:rsid w:val="00942A5A"/>
    <w:rsid w:val="009C6DD4"/>
    <w:rsid w:val="00A30AB9"/>
    <w:rsid w:val="00A60596"/>
    <w:rsid w:val="00AA287C"/>
    <w:rsid w:val="00AB6D9C"/>
    <w:rsid w:val="00B01F37"/>
    <w:rsid w:val="00B1310B"/>
    <w:rsid w:val="00B45AB7"/>
    <w:rsid w:val="00B60211"/>
    <w:rsid w:val="00B853E0"/>
    <w:rsid w:val="00B95E79"/>
    <w:rsid w:val="00BB0D6F"/>
    <w:rsid w:val="00BC1DF1"/>
    <w:rsid w:val="00BC51C2"/>
    <w:rsid w:val="00BD2CA0"/>
    <w:rsid w:val="00BE3694"/>
    <w:rsid w:val="00C44872"/>
    <w:rsid w:val="00C874DC"/>
    <w:rsid w:val="00C93F34"/>
    <w:rsid w:val="00CE3BDA"/>
    <w:rsid w:val="00CF4D6F"/>
    <w:rsid w:val="00D307F2"/>
    <w:rsid w:val="00D50DBD"/>
    <w:rsid w:val="00D64248"/>
    <w:rsid w:val="00DD5285"/>
    <w:rsid w:val="00DD7402"/>
    <w:rsid w:val="00E46AD1"/>
    <w:rsid w:val="00EA4FAE"/>
    <w:rsid w:val="00EB3991"/>
    <w:rsid w:val="00F0715B"/>
    <w:rsid w:val="00F22E51"/>
    <w:rsid w:val="00F840C6"/>
    <w:rsid w:val="00FD4A8B"/>
    <w:rsid w:val="00FD5AED"/>
    <w:rsid w:val="00FD7F29"/>
    <w:rsid w:val="00FF2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86E0D"/>
  <w15:docId w15:val="{21F7B278-6573-4FBB-ADD1-7D0DB4ED0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4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17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B5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3D2C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b1f19b-ea4c-4730-adc9-5ad163169e9f">
      <Terms xmlns="http://schemas.microsoft.com/office/infopath/2007/PartnerControls"/>
    </lcf76f155ced4ddcb4097134ff3c332f>
    <TaxCatchAll xmlns="ea55f3d0-ec7e-44ba-8cdc-b9c9f9266b2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0A55C34145E44A65CD684C381404C" ma:contentTypeVersion="14" ma:contentTypeDescription="Create a new document." ma:contentTypeScope="" ma:versionID="87f4bb956b430ebc05dc55ce9d97ce03">
  <xsd:schema xmlns:xsd="http://www.w3.org/2001/XMLSchema" xmlns:xs="http://www.w3.org/2001/XMLSchema" xmlns:p="http://schemas.microsoft.com/office/2006/metadata/properties" xmlns:ns2="e1b1f19b-ea4c-4730-adc9-5ad163169e9f" xmlns:ns3="ea55f3d0-ec7e-44ba-8cdc-b9c9f9266b21" targetNamespace="http://schemas.microsoft.com/office/2006/metadata/properties" ma:root="true" ma:fieldsID="f240d50bad92e566c0f7d4ffe6dfcfcc" ns2:_="" ns3:_="">
    <xsd:import namespace="e1b1f19b-ea4c-4730-adc9-5ad163169e9f"/>
    <xsd:import namespace="ea55f3d0-ec7e-44ba-8cdc-b9c9f9266b2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b1f19b-ea4c-4730-adc9-5ad163169e9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55f3d0-ec7e-44ba-8cdc-b9c9f9266b2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35a09e8-af20-4609-b08d-4953c1ce3fc2}" ma:internalName="TaxCatchAll" ma:showField="CatchAllData" ma:web="ea55f3d0-ec7e-44ba-8cdc-b9c9f9266b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E18FBB-C216-4652-A545-11699DE512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A715A-382C-49E0-A8CC-49B0B63BBFC3}">
  <ds:schemaRefs>
    <ds:schemaRef ds:uri="http://schemas.microsoft.com/office/2006/metadata/properties"/>
    <ds:schemaRef ds:uri="http://schemas.microsoft.com/office/infopath/2007/PartnerControls"/>
    <ds:schemaRef ds:uri="e1b1f19b-ea4c-4730-adc9-5ad163169e9f"/>
    <ds:schemaRef ds:uri="ea55f3d0-ec7e-44ba-8cdc-b9c9f9266b21"/>
  </ds:schemaRefs>
</ds:datastoreItem>
</file>

<file path=customXml/itemProps3.xml><?xml version="1.0" encoding="utf-8"?>
<ds:datastoreItem xmlns:ds="http://schemas.openxmlformats.org/officeDocument/2006/customXml" ds:itemID="{FC8CC4CE-C220-4F97-80B2-C86787EA3B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b1f19b-ea4c-4730-adc9-5ad163169e9f"/>
    <ds:schemaRef ds:uri="ea55f3d0-ec7e-44ba-8cdc-b9c9f9266b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Moredon Primary and Nursery School</Company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Simone Marr</dc:creator>
  <cp:lastModifiedBy>Joanna Palmer</cp:lastModifiedBy>
  <cp:revision>4</cp:revision>
  <cp:lastPrinted>2023-05-16T12:46:00Z</cp:lastPrinted>
  <dcterms:created xsi:type="dcterms:W3CDTF">2026-02-04T05:12:00Z</dcterms:created>
  <dcterms:modified xsi:type="dcterms:W3CDTF">2026-02-04T06:39:00Z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0x0101000FB0A55C34145E44A65CD684C381404C</vt:lpwstr>
  </property>
  <property fmtid="{D5CDD505-2E9C-101B-9397-08002B2CF9AE}" pid="3" name="Order">
    <vt:r8>1006800</vt:r8>
  </property>
  <property fmtid="{D5CDD505-2E9C-101B-9397-08002B2CF9AE}" pid="4" name="MediaServiceImageTags">
    <vt:lpwstr/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