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AA" w:rsidRPr="00A243AA" w:rsidRDefault="00A243AA" w:rsidP="00A243AA">
      <w:pPr>
        <w:pStyle w:val="NormalWeb"/>
        <w:spacing w:before="0" w:beforeAutospacing="0" w:after="150" w:afterAutospacing="0"/>
        <w:rPr>
          <w:rFonts w:ascii="Arial" w:hAnsi="Arial" w:cs="Arial"/>
          <w:color w:val="3E3E3E"/>
        </w:rPr>
      </w:pPr>
      <w:r w:rsidRPr="00A243AA">
        <w:rPr>
          <w:rStyle w:val="Strong"/>
          <w:rFonts w:ascii="Arial" w:hAnsi="Arial" w:cs="Arial"/>
          <w:color w:val="3E3E3E"/>
          <w:u w:val="single"/>
        </w:rPr>
        <w:t>Morton Primary School Catch Up Premium</w:t>
      </w:r>
      <w:r w:rsidR="003054E2" w:rsidRPr="003054E2">
        <w:rPr>
          <w:rStyle w:val="Strong"/>
          <w:rFonts w:ascii="Arial" w:hAnsi="Arial" w:cs="Arial"/>
          <w:color w:val="3E3E3E"/>
          <w:u w:val="single"/>
        </w:rPr>
        <w:t xml:space="preserve"> </w:t>
      </w:r>
      <w:r w:rsidR="003054E2" w:rsidRPr="00A243AA">
        <w:rPr>
          <w:rStyle w:val="Strong"/>
          <w:rFonts w:ascii="Arial" w:hAnsi="Arial" w:cs="Arial"/>
          <w:color w:val="3E3E3E"/>
          <w:u w:val="single"/>
        </w:rPr>
        <w:t xml:space="preserve">Planning 2020-21 </w:t>
      </w:r>
      <w:bookmarkStart w:id="0" w:name="_GoBack"/>
      <w:bookmarkEnd w:id="0"/>
    </w:p>
    <w:p w:rsidR="00A243AA" w:rsidRPr="00A243AA" w:rsidRDefault="00A243AA" w:rsidP="00A243AA">
      <w:pPr>
        <w:pStyle w:val="NormalWeb"/>
        <w:spacing w:before="0" w:beforeAutospacing="0" w:after="150" w:afterAutospacing="0"/>
        <w:rPr>
          <w:rFonts w:ascii="Arial" w:hAnsi="Arial" w:cs="Arial"/>
          <w:color w:val="3E3E3E"/>
        </w:rPr>
      </w:pPr>
      <w:r w:rsidRPr="00A243AA">
        <w:rPr>
          <w:rFonts w:ascii="Arial" w:hAnsi="Arial" w:cs="Arial"/>
          <w:color w:val="3E3E3E"/>
        </w:rPr>
        <w:t>In order to support schools with school planning whilst we are in a world pandemic, the Education Endowment Foundation (EFF) has produce two help guidance documents:</w:t>
      </w:r>
    </w:p>
    <w:p w:rsidR="00A243AA" w:rsidRPr="00A243AA" w:rsidRDefault="00A243AA" w:rsidP="00A243AA">
      <w:pPr>
        <w:pStyle w:val="NormalWeb"/>
        <w:spacing w:before="0" w:beforeAutospacing="0" w:after="150" w:afterAutospacing="0"/>
        <w:rPr>
          <w:rFonts w:ascii="Arial" w:hAnsi="Arial" w:cs="Arial"/>
          <w:color w:val="3E3E3E"/>
        </w:rPr>
      </w:pPr>
      <w:r w:rsidRPr="00A243AA">
        <w:rPr>
          <w:rFonts w:ascii="Arial" w:hAnsi="Arial" w:cs="Arial"/>
          <w:color w:val="3E3E3E"/>
        </w:rPr>
        <w:t>“The EEF guide to supporting school planning – A tiered approach to 2020-21”</w:t>
      </w:r>
    </w:p>
    <w:p w:rsidR="00A243AA" w:rsidRPr="00A243AA" w:rsidRDefault="003054E2" w:rsidP="00A243AA">
      <w:pPr>
        <w:pStyle w:val="NormalWeb"/>
        <w:spacing w:before="0" w:beforeAutospacing="0" w:after="150" w:afterAutospacing="0"/>
        <w:rPr>
          <w:rFonts w:ascii="Arial" w:hAnsi="Arial" w:cs="Arial"/>
          <w:color w:val="3E3E3E"/>
        </w:rPr>
      </w:pPr>
      <w:hyperlink r:id="rId4" w:history="1">
        <w:r w:rsidR="00A243AA" w:rsidRPr="00A243AA">
          <w:rPr>
            <w:rStyle w:val="Hyperlink"/>
            <w:rFonts w:ascii="Arial" w:hAnsi="Arial" w:cs="Arial"/>
            <w:color w:val="337AB7"/>
            <w:u w:val="none"/>
          </w:rPr>
          <w:t>https://educationendowmentfoundation.org.uk/public/files/Publications/Covid-19_Resources/The_EEF_guide_to_supporting_school_planning_-_A_tiered_approach_to_2020-21.pdf</w:t>
        </w:r>
      </w:hyperlink>
    </w:p>
    <w:p w:rsidR="00A243AA" w:rsidRPr="00A243AA" w:rsidRDefault="00A243AA" w:rsidP="00A243AA">
      <w:pPr>
        <w:pStyle w:val="NormalWeb"/>
        <w:spacing w:before="0" w:beforeAutospacing="0" w:after="150" w:afterAutospacing="0"/>
        <w:rPr>
          <w:rFonts w:ascii="Arial" w:hAnsi="Arial" w:cs="Arial"/>
          <w:color w:val="3E3E3E"/>
        </w:rPr>
      </w:pPr>
      <w:proofErr w:type="gramStart"/>
      <w:r w:rsidRPr="00A243AA">
        <w:rPr>
          <w:rFonts w:ascii="Arial" w:hAnsi="Arial" w:cs="Arial"/>
          <w:color w:val="3E3E3E"/>
        </w:rPr>
        <w:t>and</w:t>
      </w:r>
      <w:proofErr w:type="gramEnd"/>
    </w:p>
    <w:p w:rsidR="00A243AA" w:rsidRPr="00A243AA" w:rsidRDefault="00A243AA" w:rsidP="00A243AA">
      <w:pPr>
        <w:pStyle w:val="NormalWeb"/>
        <w:spacing w:before="0" w:beforeAutospacing="0" w:after="150" w:afterAutospacing="0"/>
        <w:rPr>
          <w:rFonts w:ascii="Arial" w:hAnsi="Arial" w:cs="Arial"/>
          <w:color w:val="3E3E3E"/>
        </w:rPr>
      </w:pPr>
      <w:r w:rsidRPr="00A243AA">
        <w:rPr>
          <w:rFonts w:ascii="Arial" w:hAnsi="Arial" w:cs="Arial"/>
          <w:color w:val="3E3E3E"/>
        </w:rPr>
        <w:t>“Covid-19 support guide for schools”</w:t>
      </w:r>
    </w:p>
    <w:p w:rsidR="00A243AA" w:rsidRPr="00A243AA" w:rsidRDefault="003054E2" w:rsidP="00A243AA">
      <w:pPr>
        <w:pStyle w:val="NormalWeb"/>
        <w:spacing w:before="0" w:beforeAutospacing="0" w:after="150" w:afterAutospacing="0"/>
        <w:rPr>
          <w:rFonts w:ascii="Arial" w:hAnsi="Arial" w:cs="Arial"/>
          <w:color w:val="3E3E3E"/>
        </w:rPr>
      </w:pPr>
      <w:hyperlink r:id="rId5" w:history="1">
        <w:r w:rsidR="00A243AA" w:rsidRPr="00A243AA">
          <w:rPr>
            <w:rStyle w:val="Hyperlink"/>
            <w:rFonts w:ascii="Arial" w:hAnsi="Arial" w:cs="Arial"/>
            <w:color w:val="337AB7"/>
            <w:u w:val="none"/>
          </w:rPr>
          <w:t>https://educationendowmentfoundation.org.uk/public/files/Publications/Covid-19_Resources/Covid-19_support_guide_for_schools.pdf</w:t>
        </w:r>
      </w:hyperlink>
    </w:p>
    <w:p w:rsidR="00A243AA" w:rsidRPr="00A243AA" w:rsidRDefault="00A243AA" w:rsidP="00A243AA">
      <w:pPr>
        <w:pStyle w:val="NormalWeb"/>
        <w:spacing w:before="0" w:beforeAutospacing="0" w:after="150" w:afterAutospacing="0"/>
        <w:rPr>
          <w:rFonts w:ascii="Arial" w:hAnsi="Arial" w:cs="Arial"/>
          <w:color w:val="3E3E3E"/>
        </w:rPr>
      </w:pPr>
      <w:r w:rsidRPr="00A243AA">
        <w:rPr>
          <w:rFonts w:ascii="Arial" w:hAnsi="Arial" w:cs="Arial"/>
          <w:color w:val="3E3E3E"/>
        </w:rPr>
        <w:t>These documents suggests schools plan using a tiered approach with respect to school improvement and also with respect to planning how to support children to catch-up.</w:t>
      </w:r>
    </w:p>
    <w:p w:rsidR="00A243AA" w:rsidRPr="00A243AA" w:rsidRDefault="00A243AA" w:rsidP="00A243AA">
      <w:pPr>
        <w:pStyle w:val="NormalWeb"/>
        <w:spacing w:before="0" w:beforeAutospacing="0" w:after="150" w:afterAutospacing="0"/>
        <w:rPr>
          <w:rFonts w:ascii="Arial" w:hAnsi="Arial" w:cs="Arial"/>
          <w:color w:val="3E3E3E"/>
        </w:rPr>
      </w:pPr>
      <w:r w:rsidRPr="00A243AA">
        <w:rPr>
          <w:rFonts w:ascii="Arial" w:hAnsi="Arial" w:cs="Arial"/>
          <w:color w:val="3E3E3E"/>
        </w:rPr>
        <w:t>“Catch-up” in this context refers to the children learning the main aspects of the curriculum them missed when they were in the first lockdown (March-August 2020.)</w:t>
      </w:r>
    </w:p>
    <w:p w:rsidR="00A243AA" w:rsidRPr="00A243AA" w:rsidRDefault="00A243AA" w:rsidP="00A243AA">
      <w:pPr>
        <w:pStyle w:val="NormalWeb"/>
        <w:spacing w:before="0" w:beforeAutospacing="0" w:after="150" w:afterAutospacing="0"/>
        <w:rPr>
          <w:rFonts w:ascii="Arial" w:hAnsi="Arial" w:cs="Arial"/>
          <w:color w:val="3E3E3E"/>
        </w:rPr>
      </w:pPr>
      <w:r w:rsidRPr="00A243AA">
        <w:rPr>
          <w:rFonts w:ascii="Arial" w:hAnsi="Arial" w:cs="Arial"/>
          <w:color w:val="3E3E3E"/>
        </w:rPr>
        <w:t>This, aforementioned, tiered approach describes 3 tiers and the areas of provision within the tiers which schools they suggest should be focussed on to have the greatest impact this year.</w:t>
      </w:r>
    </w:p>
    <w:p w:rsidR="00A243AA" w:rsidRPr="00A243AA" w:rsidRDefault="00A243AA" w:rsidP="00A243AA">
      <w:pPr>
        <w:pStyle w:val="NormalWeb"/>
        <w:spacing w:before="0" w:beforeAutospacing="0" w:after="150" w:afterAutospacing="0"/>
        <w:rPr>
          <w:rFonts w:ascii="Arial" w:hAnsi="Arial" w:cs="Arial"/>
          <w:color w:val="3E3E3E"/>
        </w:rPr>
      </w:pPr>
      <w:r w:rsidRPr="00A243AA">
        <w:rPr>
          <w:rStyle w:val="Emphasis"/>
          <w:rFonts w:ascii="Arial" w:hAnsi="Arial" w:cs="Arial"/>
          <w:color w:val="3E3E3E"/>
        </w:rPr>
        <w:t>(The green text are the areas within the “The EEF guide to supporting school planning” and the red text are those areas detailed in the “Covid-19 support guide for schools.”)</w:t>
      </w:r>
    </w:p>
    <w:p w:rsidR="00A243AA" w:rsidRPr="00A243AA" w:rsidRDefault="00A243AA" w:rsidP="00A243AA">
      <w:pPr>
        <w:pStyle w:val="NormalWeb"/>
        <w:spacing w:before="0" w:beforeAutospacing="0" w:after="150" w:afterAutospacing="0"/>
        <w:rPr>
          <w:rFonts w:ascii="Arial" w:hAnsi="Arial" w:cs="Arial"/>
          <w:color w:val="3E3E3E"/>
        </w:rPr>
      </w:pPr>
      <w:r w:rsidRPr="00A243AA">
        <w:rPr>
          <w:rFonts w:ascii="Arial" w:hAnsi="Arial" w:cs="Arial"/>
          <w:color w:val="3E3E3E"/>
        </w:rPr>
        <w:t>Tier 1 – </w:t>
      </w:r>
      <w:r w:rsidRPr="00A243AA">
        <w:rPr>
          <w:rStyle w:val="Emphasis"/>
          <w:rFonts w:ascii="Arial" w:hAnsi="Arial" w:cs="Arial"/>
          <w:color w:val="3E3E3E"/>
        </w:rPr>
        <w:t>Teaching (High-quality for all, effective diagnostic assessment, supporting remote learning and focussing on professional development.) Teaching and wholes school strategies (Supporting great teaching, Pupil assessment and feedback and Transition support)</w:t>
      </w:r>
    </w:p>
    <w:p w:rsidR="00A243AA" w:rsidRPr="00A243AA" w:rsidRDefault="00A243AA" w:rsidP="00A243AA">
      <w:pPr>
        <w:pStyle w:val="NormalWeb"/>
        <w:spacing w:before="0" w:beforeAutospacing="0" w:after="150" w:afterAutospacing="0"/>
        <w:rPr>
          <w:rFonts w:ascii="Arial" w:hAnsi="Arial" w:cs="Arial"/>
          <w:color w:val="3E3E3E"/>
        </w:rPr>
      </w:pPr>
      <w:r w:rsidRPr="00A243AA">
        <w:rPr>
          <w:rFonts w:ascii="Arial" w:hAnsi="Arial" w:cs="Arial"/>
          <w:color w:val="3E3E3E"/>
        </w:rPr>
        <w:t>Tier 2 – </w:t>
      </w:r>
      <w:r w:rsidRPr="00A243AA">
        <w:rPr>
          <w:rStyle w:val="Emphasis"/>
          <w:rFonts w:ascii="Arial" w:hAnsi="Arial" w:cs="Arial"/>
          <w:color w:val="3E3E3E"/>
        </w:rPr>
        <w:t>Targeted academic support (high quality one to one and small group tuition, teaching assistants and targeted support, academic tutoring, planning for pupils with SEND.)  Targeted approaches (One to one and small group tuition, Intervention programmes and extended school time)</w:t>
      </w:r>
    </w:p>
    <w:p w:rsidR="00A243AA" w:rsidRPr="00A243AA" w:rsidRDefault="00A243AA" w:rsidP="00A243AA">
      <w:pPr>
        <w:pStyle w:val="NormalWeb"/>
        <w:spacing w:before="0" w:beforeAutospacing="0" w:after="150" w:afterAutospacing="0"/>
        <w:rPr>
          <w:rFonts w:ascii="Arial" w:hAnsi="Arial" w:cs="Arial"/>
          <w:color w:val="3E3E3E"/>
        </w:rPr>
      </w:pPr>
      <w:r w:rsidRPr="00A243AA">
        <w:rPr>
          <w:rFonts w:ascii="Arial" w:hAnsi="Arial" w:cs="Arial"/>
          <w:color w:val="3E3E3E"/>
        </w:rPr>
        <w:t>Tier 3 – </w:t>
      </w:r>
      <w:r w:rsidRPr="00A243AA">
        <w:rPr>
          <w:rStyle w:val="Emphasis"/>
          <w:rFonts w:ascii="Arial" w:hAnsi="Arial" w:cs="Arial"/>
          <w:color w:val="3E3E3E"/>
        </w:rPr>
        <w:t>Wider strategies (supporting pupils social, emotional and behavioural needs, planning carefully for adopting SEL (social and emotional learning) curriculum, supporting parents with pupils of different ages and successfully implementation in challenging times)  Wider strategies (Supporting parent and carers, access to technology and summer support)</w:t>
      </w:r>
    </w:p>
    <w:p w:rsidR="00A243AA" w:rsidRPr="00A243AA" w:rsidRDefault="00A243AA" w:rsidP="00A243AA">
      <w:pPr>
        <w:pStyle w:val="NormalWeb"/>
        <w:spacing w:before="0" w:beforeAutospacing="0" w:after="150" w:afterAutospacing="0"/>
        <w:rPr>
          <w:rFonts w:ascii="Arial" w:hAnsi="Arial" w:cs="Arial"/>
          <w:color w:val="3E3E3E"/>
        </w:rPr>
      </w:pPr>
      <w:r w:rsidRPr="00A243AA">
        <w:rPr>
          <w:rFonts w:ascii="Arial" w:hAnsi="Arial" w:cs="Arial"/>
          <w:color w:val="3E3E3E"/>
        </w:rPr>
        <w:t>It is suggested the a school’s focus should also be split ½ on Tier 1 and a ¼ on Tier 2 and a ¼ on Tier 3, please see the diagram below:</w:t>
      </w:r>
    </w:p>
    <w:p w:rsidR="00A243AA" w:rsidRDefault="00A243AA" w:rsidP="00A243AA">
      <w:pPr>
        <w:pStyle w:val="NormalWeb"/>
        <w:spacing w:before="0" w:beforeAutospacing="0" w:after="150" w:afterAutospacing="0"/>
        <w:rPr>
          <w:rFonts w:ascii="Arial" w:hAnsi="Arial" w:cs="Arial"/>
          <w:color w:val="3E3E3E"/>
          <w:sz w:val="21"/>
          <w:szCs w:val="21"/>
        </w:rPr>
      </w:pPr>
    </w:p>
    <w:p w:rsidR="00A243AA" w:rsidRDefault="00E57980" w:rsidP="00A243AA">
      <w:pPr>
        <w:pStyle w:val="NormalWeb"/>
        <w:spacing w:before="0" w:beforeAutospacing="0" w:after="150" w:afterAutospacing="0"/>
        <w:rPr>
          <w:rStyle w:val="Strong"/>
          <w:rFonts w:ascii="Arial" w:hAnsi="Arial" w:cs="Arial"/>
          <w:color w:val="3E3E3E"/>
          <w:sz w:val="21"/>
          <w:szCs w:val="21"/>
          <w:u w:val="single"/>
        </w:rPr>
      </w:pPr>
      <w:r w:rsidRPr="00E57980">
        <w:rPr>
          <w:rStyle w:val="Strong"/>
          <w:rFonts w:ascii="Arial" w:hAnsi="Arial" w:cs="Arial"/>
          <w:noProof/>
          <w:color w:val="3E3E3E"/>
          <w:sz w:val="21"/>
          <w:szCs w:val="21"/>
          <w:u w:val="single"/>
        </w:rPr>
        <w:lastRenderedPageBreak/>
        <w:drawing>
          <wp:inline distT="0" distB="0" distL="0" distR="0">
            <wp:extent cx="5731510" cy="2785133"/>
            <wp:effectExtent l="0" t="0" r="2540" b="0"/>
            <wp:docPr id="4" name="Picture 4" descr="C:\Users\headteacher\Desktop\catch-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eadteacher\Desktop\catch-u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785133"/>
                    </a:xfrm>
                    <a:prstGeom prst="rect">
                      <a:avLst/>
                    </a:prstGeom>
                    <a:noFill/>
                    <a:ln>
                      <a:noFill/>
                    </a:ln>
                  </pic:spPr>
                </pic:pic>
              </a:graphicData>
            </a:graphic>
          </wp:inline>
        </w:drawing>
      </w:r>
    </w:p>
    <w:p w:rsidR="00A243AA" w:rsidRDefault="00A243AA" w:rsidP="00A243AA">
      <w:pPr>
        <w:pStyle w:val="NormalWeb"/>
        <w:spacing w:before="0" w:beforeAutospacing="0" w:after="150" w:afterAutospacing="0"/>
        <w:rPr>
          <w:rStyle w:val="Strong"/>
          <w:rFonts w:ascii="Arial" w:hAnsi="Arial" w:cs="Arial"/>
          <w:color w:val="3E3E3E"/>
          <w:sz w:val="21"/>
          <w:szCs w:val="21"/>
          <w:u w:val="single"/>
        </w:rPr>
      </w:pPr>
    </w:p>
    <w:p w:rsidR="00A243AA" w:rsidRPr="00A243AA" w:rsidRDefault="00A243AA" w:rsidP="00A243AA">
      <w:pPr>
        <w:pStyle w:val="NormalWeb"/>
        <w:spacing w:before="0" w:beforeAutospacing="0" w:after="150" w:afterAutospacing="0"/>
        <w:rPr>
          <w:rFonts w:ascii="Arial" w:hAnsi="Arial" w:cs="Arial"/>
          <w:color w:val="3E3E3E"/>
        </w:rPr>
      </w:pPr>
      <w:r w:rsidRPr="00A243AA">
        <w:rPr>
          <w:rStyle w:val="Strong"/>
          <w:rFonts w:ascii="Arial" w:hAnsi="Arial" w:cs="Arial"/>
          <w:color w:val="3E3E3E"/>
          <w:u w:val="single"/>
        </w:rPr>
        <w:t>Catch Up Premium</w:t>
      </w:r>
    </w:p>
    <w:p w:rsidR="00A243AA" w:rsidRPr="00A243AA" w:rsidRDefault="00A243AA" w:rsidP="00A243AA">
      <w:pPr>
        <w:pStyle w:val="NormalWeb"/>
        <w:spacing w:before="0" w:beforeAutospacing="0" w:after="150" w:afterAutospacing="0"/>
        <w:rPr>
          <w:rFonts w:ascii="Arial" w:hAnsi="Arial" w:cs="Arial"/>
          <w:color w:val="3E3E3E"/>
        </w:rPr>
      </w:pPr>
      <w:r w:rsidRPr="00A243AA">
        <w:rPr>
          <w:rFonts w:ascii="Arial" w:hAnsi="Arial" w:cs="Arial"/>
          <w:color w:val="3E3E3E"/>
        </w:rPr>
        <w:t>The Government has allocated funding to each school to support “Catch-up”</w:t>
      </w:r>
    </w:p>
    <w:p w:rsidR="00A243AA" w:rsidRPr="00A243AA" w:rsidRDefault="003054E2" w:rsidP="00A243AA">
      <w:pPr>
        <w:pStyle w:val="NormalWeb"/>
        <w:spacing w:before="0" w:beforeAutospacing="0" w:after="150" w:afterAutospacing="0"/>
        <w:rPr>
          <w:rFonts w:ascii="Arial" w:hAnsi="Arial" w:cs="Arial"/>
          <w:color w:val="3E3E3E"/>
        </w:rPr>
      </w:pPr>
      <w:hyperlink r:id="rId7" w:anchor="use-of-funds" w:history="1">
        <w:r w:rsidR="00A243AA" w:rsidRPr="00A243AA">
          <w:rPr>
            <w:rStyle w:val="Hyperlink"/>
            <w:rFonts w:ascii="Arial" w:hAnsi="Arial" w:cs="Arial"/>
            <w:color w:val="337AB7"/>
            <w:u w:val="none"/>
          </w:rPr>
          <w:t>https://www.gov.uk/guidance/coronavirus-covid-19-catch-up-premium#use-of-funds</w:t>
        </w:r>
      </w:hyperlink>
    </w:p>
    <w:p w:rsidR="00A243AA" w:rsidRPr="00A243AA" w:rsidRDefault="00A243AA" w:rsidP="00A243AA">
      <w:pPr>
        <w:pStyle w:val="NormalWeb"/>
        <w:spacing w:before="0" w:beforeAutospacing="0" w:after="150" w:afterAutospacing="0"/>
        <w:rPr>
          <w:rFonts w:ascii="Arial" w:hAnsi="Arial" w:cs="Arial"/>
          <w:color w:val="3E3E3E"/>
        </w:rPr>
      </w:pPr>
      <w:r w:rsidRPr="00A243AA">
        <w:rPr>
          <w:rFonts w:ascii="Arial" w:hAnsi="Arial" w:cs="Arial"/>
          <w:color w:val="3E3E3E"/>
        </w:rPr>
        <w:t>This DFE guidance states:</w:t>
      </w:r>
    </w:p>
    <w:p w:rsidR="00A243AA" w:rsidRPr="00A243AA" w:rsidRDefault="00A243AA" w:rsidP="00A243AA">
      <w:pPr>
        <w:pStyle w:val="NormalWeb"/>
        <w:spacing w:before="0" w:beforeAutospacing="0" w:after="150" w:afterAutospacing="0"/>
        <w:rPr>
          <w:rStyle w:val="Strong"/>
          <w:rFonts w:ascii="Arial" w:hAnsi="Arial" w:cs="Arial"/>
          <w:color w:val="3E3E3E"/>
          <w:u w:val="single"/>
        </w:rPr>
      </w:pPr>
      <w:r w:rsidRPr="00A243AA">
        <w:rPr>
          <w:rStyle w:val="Emphasis"/>
          <w:rFonts w:ascii="Arial" w:hAnsi="Arial" w:cs="Arial"/>
          <w:color w:val="3E3E3E"/>
        </w:rPr>
        <w:t>Schools should use this funding for specific activities to support their pupils to </w:t>
      </w:r>
      <w:r w:rsidRPr="00A243AA">
        <w:rPr>
          <w:rStyle w:val="Strong"/>
          <w:rFonts w:ascii="Arial" w:hAnsi="Arial" w:cs="Arial"/>
          <w:i/>
          <w:iCs/>
          <w:color w:val="3E3E3E"/>
          <w:u w:val="single"/>
        </w:rPr>
        <w:t>catch up</w:t>
      </w:r>
      <w:r w:rsidRPr="00A243AA">
        <w:rPr>
          <w:rStyle w:val="Emphasis"/>
          <w:rFonts w:ascii="Arial" w:hAnsi="Arial" w:cs="Arial"/>
          <w:color w:val="3E3E3E"/>
        </w:rPr>
        <w:t> for lost teaching over the previous months, in line with the guidance on </w:t>
      </w:r>
      <w:hyperlink r:id="rId8" w:anchor="section-3-curriculum-behaviour-and-pastoral-support" w:history="1">
        <w:r w:rsidRPr="00A243AA">
          <w:rPr>
            <w:rStyle w:val="Emphasis"/>
            <w:rFonts w:ascii="Arial" w:hAnsi="Arial" w:cs="Arial"/>
            <w:color w:val="337AB7"/>
          </w:rPr>
          <w:t>curriculum expectations for the next academic year</w:t>
        </w:r>
      </w:hyperlink>
      <w:r w:rsidRPr="00A243AA">
        <w:rPr>
          <w:rStyle w:val="Emphasis"/>
          <w:rFonts w:ascii="Arial" w:hAnsi="Arial" w:cs="Arial"/>
          <w:color w:val="3E3E3E"/>
        </w:rPr>
        <w:t>.</w:t>
      </w:r>
    </w:p>
    <w:p w:rsidR="00A243AA" w:rsidRPr="00A243AA" w:rsidRDefault="00A243AA" w:rsidP="00A243AA">
      <w:pPr>
        <w:pStyle w:val="NormalWeb"/>
        <w:spacing w:before="0" w:beforeAutospacing="0" w:after="150" w:afterAutospacing="0"/>
        <w:rPr>
          <w:rStyle w:val="Strong"/>
          <w:rFonts w:ascii="Arial" w:hAnsi="Arial" w:cs="Arial"/>
          <w:color w:val="3E3E3E"/>
          <w:u w:val="single"/>
        </w:rPr>
      </w:pPr>
    </w:p>
    <w:p w:rsidR="00A243AA" w:rsidRPr="00A243AA" w:rsidRDefault="00A243AA" w:rsidP="00A243AA">
      <w:pPr>
        <w:pStyle w:val="NormalWeb"/>
        <w:spacing w:before="0" w:beforeAutospacing="0" w:after="150" w:afterAutospacing="0"/>
        <w:rPr>
          <w:rFonts w:ascii="Arial" w:hAnsi="Arial" w:cs="Arial"/>
          <w:color w:val="3E3E3E"/>
        </w:rPr>
      </w:pPr>
      <w:r w:rsidRPr="00A243AA">
        <w:rPr>
          <w:rStyle w:val="Strong"/>
          <w:rFonts w:ascii="Arial" w:hAnsi="Arial" w:cs="Arial"/>
          <w:color w:val="3E3E3E"/>
          <w:u w:val="single"/>
        </w:rPr>
        <w:t xml:space="preserve">Catch </w:t>
      </w:r>
      <w:proofErr w:type="gramStart"/>
      <w:r w:rsidRPr="00A243AA">
        <w:rPr>
          <w:rStyle w:val="Strong"/>
          <w:rFonts w:ascii="Arial" w:hAnsi="Arial" w:cs="Arial"/>
          <w:color w:val="3E3E3E"/>
          <w:u w:val="single"/>
        </w:rPr>
        <w:t>Up</w:t>
      </w:r>
      <w:proofErr w:type="gramEnd"/>
      <w:r w:rsidRPr="00A243AA">
        <w:rPr>
          <w:rStyle w:val="Strong"/>
          <w:rFonts w:ascii="Arial" w:hAnsi="Arial" w:cs="Arial"/>
          <w:color w:val="3E3E3E"/>
          <w:u w:val="single"/>
        </w:rPr>
        <w:t xml:space="preserve"> Premium for this school</w:t>
      </w:r>
    </w:p>
    <w:p w:rsidR="00A243AA" w:rsidRPr="00A243AA" w:rsidRDefault="00A243AA" w:rsidP="00A243AA">
      <w:pPr>
        <w:pStyle w:val="NormalWeb"/>
        <w:spacing w:before="0" w:beforeAutospacing="0" w:after="150" w:afterAutospacing="0"/>
        <w:rPr>
          <w:rFonts w:ascii="Arial" w:hAnsi="Arial" w:cs="Arial"/>
          <w:color w:val="3E3E3E"/>
        </w:rPr>
      </w:pPr>
      <w:r w:rsidRPr="00A243AA">
        <w:rPr>
          <w:rFonts w:ascii="Arial" w:hAnsi="Arial" w:cs="Arial"/>
          <w:color w:val="3E3E3E"/>
        </w:rPr>
        <w:t>Our school has been allocated a total of £3533 or this academic year and this is financial split between two financial years.</w:t>
      </w:r>
    </w:p>
    <w:p w:rsidR="00A243AA" w:rsidRPr="00A243AA" w:rsidRDefault="00A243AA" w:rsidP="00A243AA">
      <w:pPr>
        <w:pStyle w:val="NormalWeb"/>
        <w:spacing w:before="0" w:beforeAutospacing="0" w:after="150" w:afterAutospacing="0"/>
        <w:rPr>
          <w:rFonts w:ascii="Arial" w:hAnsi="Arial" w:cs="Arial"/>
          <w:color w:val="3E3E3E"/>
        </w:rPr>
      </w:pPr>
      <w:r w:rsidRPr="00A243AA">
        <w:rPr>
          <w:rFonts w:ascii="Arial" w:hAnsi="Arial" w:cs="Arial"/>
          <w:color w:val="3E3E3E"/>
        </w:rPr>
        <w:t xml:space="preserve">The DFE guidance on catch-up premium references the two school planning documents so we as a school have decided to use the tiers to support our decision-making with respect to how we spend our catch-up premium.  The decisions are also guided by the school’s vision and our determination to ensure all our children “catch-up” and we do not allow this pandemic to adversely </w:t>
      </w:r>
      <w:proofErr w:type="spellStart"/>
      <w:r w:rsidRPr="00A243AA">
        <w:rPr>
          <w:rFonts w:ascii="Arial" w:hAnsi="Arial" w:cs="Arial"/>
          <w:color w:val="3E3E3E"/>
        </w:rPr>
        <w:t>effect</w:t>
      </w:r>
      <w:proofErr w:type="spellEnd"/>
      <w:r w:rsidRPr="00A243AA">
        <w:rPr>
          <w:rFonts w:ascii="Arial" w:hAnsi="Arial" w:cs="Arial"/>
          <w:color w:val="3E3E3E"/>
        </w:rPr>
        <w:t xml:space="preserve"> any of our children’s academic or emotion development. </w:t>
      </w:r>
    </w:p>
    <w:p w:rsidR="00A243AA" w:rsidRPr="00A243AA" w:rsidRDefault="00A243AA" w:rsidP="00A243AA">
      <w:pPr>
        <w:pStyle w:val="NormalWeb"/>
        <w:spacing w:before="0" w:beforeAutospacing="0" w:after="150" w:afterAutospacing="0"/>
        <w:rPr>
          <w:rFonts w:ascii="Arial" w:hAnsi="Arial" w:cs="Arial"/>
          <w:color w:val="3E3E3E"/>
        </w:rPr>
      </w:pPr>
      <w:r w:rsidRPr="00A243AA">
        <w:rPr>
          <w:rFonts w:ascii="Arial" w:hAnsi="Arial" w:cs="Arial"/>
          <w:color w:val="3E3E3E"/>
        </w:rPr>
        <w:t>The diagram details the additional provision we will be putting in place, which will be funded by our “Catch-up Premium.”</w:t>
      </w:r>
    </w:p>
    <w:p w:rsidR="00A243AA" w:rsidRPr="00A243AA" w:rsidRDefault="00A243AA" w:rsidP="00A243AA">
      <w:pPr>
        <w:pStyle w:val="NormalWeb"/>
        <w:spacing w:before="0" w:beforeAutospacing="0" w:after="150" w:afterAutospacing="0"/>
        <w:rPr>
          <w:rFonts w:ascii="Arial" w:hAnsi="Arial" w:cs="Arial"/>
          <w:color w:val="3E3E3E"/>
        </w:rPr>
      </w:pPr>
    </w:p>
    <w:p w:rsidR="00B41CD0" w:rsidRDefault="00A243AA">
      <w:r w:rsidRPr="00A243AA">
        <w:rPr>
          <w:noProof/>
          <w:lang w:eastAsia="en-GB"/>
        </w:rPr>
        <w:lastRenderedPageBreak/>
        <w:drawing>
          <wp:inline distT="0" distB="0" distL="0" distR="0">
            <wp:extent cx="5731510" cy="5259503"/>
            <wp:effectExtent l="0" t="0" r="2540" b="0"/>
            <wp:docPr id="3" name="Picture 3" descr="C:\Users\headteacher\Desktop\catch-u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adteacher\Desktop\catch-up-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259503"/>
                    </a:xfrm>
                    <a:prstGeom prst="rect">
                      <a:avLst/>
                    </a:prstGeom>
                    <a:noFill/>
                    <a:ln>
                      <a:noFill/>
                    </a:ln>
                  </pic:spPr>
                </pic:pic>
              </a:graphicData>
            </a:graphic>
          </wp:inline>
        </w:drawing>
      </w:r>
    </w:p>
    <w:sectPr w:rsidR="00B41C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AA"/>
    <w:rsid w:val="003054E2"/>
    <w:rsid w:val="00A243AA"/>
    <w:rsid w:val="00B41CD0"/>
    <w:rsid w:val="00E57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2F838-83FB-4774-A971-E7469144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3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43AA"/>
    <w:rPr>
      <w:b/>
      <w:bCs/>
    </w:rPr>
  </w:style>
  <w:style w:type="character" w:styleId="Hyperlink">
    <w:name w:val="Hyperlink"/>
    <w:basedOn w:val="DefaultParagraphFont"/>
    <w:uiPriority w:val="99"/>
    <w:semiHidden/>
    <w:unhideWhenUsed/>
    <w:rsid w:val="00A243AA"/>
    <w:rPr>
      <w:color w:val="0000FF"/>
      <w:u w:val="single"/>
    </w:rPr>
  </w:style>
  <w:style w:type="character" w:styleId="Emphasis">
    <w:name w:val="Emphasis"/>
    <w:basedOn w:val="DefaultParagraphFont"/>
    <w:uiPriority w:val="20"/>
    <w:qFormat/>
    <w:rsid w:val="00A243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842117">
      <w:bodyDiv w:val="1"/>
      <w:marLeft w:val="0"/>
      <w:marRight w:val="0"/>
      <w:marTop w:val="0"/>
      <w:marBottom w:val="0"/>
      <w:divBdr>
        <w:top w:val="none" w:sz="0" w:space="0" w:color="auto"/>
        <w:left w:val="none" w:sz="0" w:space="0" w:color="auto"/>
        <w:bottom w:val="none" w:sz="0" w:space="0" w:color="auto"/>
        <w:right w:val="none" w:sz="0" w:space="0" w:color="auto"/>
      </w:divBdr>
    </w:div>
    <w:div w:id="822893243">
      <w:bodyDiv w:val="1"/>
      <w:marLeft w:val="0"/>
      <w:marRight w:val="0"/>
      <w:marTop w:val="0"/>
      <w:marBottom w:val="0"/>
      <w:divBdr>
        <w:top w:val="none" w:sz="0" w:space="0" w:color="auto"/>
        <w:left w:val="none" w:sz="0" w:space="0" w:color="auto"/>
        <w:bottom w:val="none" w:sz="0" w:space="0" w:color="auto"/>
        <w:right w:val="none" w:sz="0" w:space="0" w:color="auto"/>
      </w:divBdr>
      <w:divsChild>
        <w:div w:id="785198852">
          <w:marLeft w:val="0"/>
          <w:marRight w:val="0"/>
          <w:marTop w:val="0"/>
          <w:marBottom w:val="0"/>
          <w:divBdr>
            <w:top w:val="none" w:sz="0" w:space="0" w:color="auto"/>
            <w:left w:val="none" w:sz="0" w:space="0" w:color="auto"/>
            <w:bottom w:val="none" w:sz="0" w:space="0" w:color="auto"/>
            <w:right w:val="none" w:sz="0" w:space="0" w:color="auto"/>
          </w:divBdr>
        </w:div>
        <w:div w:id="734008342">
          <w:marLeft w:val="0"/>
          <w:marRight w:val="0"/>
          <w:marTop w:val="0"/>
          <w:marBottom w:val="0"/>
          <w:divBdr>
            <w:top w:val="none" w:sz="0" w:space="0" w:color="auto"/>
            <w:left w:val="none" w:sz="0" w:space="0" w:color="auto"/>
            <w:bottom w:val="none" w:sz="0" w:space="0" w:color="auto"/>
            <w:right w:val="none" w:sz="0" w:space="0" w:color="auto"/>
          </w:divBdr>
          <w:divsChild>
            <w:div w:id="681708262">
              <w:marLeft w:val="0"/>
              <w:marRight w:val="0"/>
              <w:marTop w:val="0"/>
              <w:marBottom w:val="0"/>
              <w:divBdr>
                <w:top w:val="none" w:sz="0" w:space="0" w:color="auto"/>
                <w:left w:val="none" w:sz="0" w:space="0" w:color="auto"/>
                <w:bottom w:val="none" w:sz="0" w:space="0" w:color="auto"/>
                <w:right w:val="none" w:sz="0" w:space="0" w:color="auto"/>
              </w:divBdr>
              <w:divsChild>
                <w:div w:id="13706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05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webSettings" Target="webSettings.xml"/><Relationship Id="rId7" Type="http://schemas.openxmlformats.org/officeDocument/2006/relationships/hyperlink" Target="https://www.gov.uk/guidance/coronavirus-covid-19-catch-up-premi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educationendowmentfoundation.org.uk/public/files/Publications/Covid-19_Resources/Covid-19_support_guide_for_schools.pdf" TargetMode="External"/><Relationship Id="rId10" Type="http://schemas.openxmlformats.org/officeDocument/2006/relationships/fontTable" Target="fontTable.xml"/><Relationship Id="rId4" Type="http://schemas.openxmlformats.org/officeDocument/2006/relationships/hyperlink" Target="https://educationendowmentfoundation.org.uk/public/files/Publications/Covid-19_Resources/The_EEF_guide_to_supporting_school_planning_-_A_tiered_approach_to_2020-21.pdf"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3</cp:revision>
  <dcterms:created xsi:type="dcterms:W3CDTF">2021-09-22T08:53:00Z</dcterms:created>
  <dcterms:modified xsi:type="dcterms:W3CDTF">2021-09-24T10:01:00Z</dcterms:modified>
</cp:coreProperties>
</file>