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26DD16" w14:textId="77777777" w:rsidR="004951EF" w:rsidRDefault="004951EF" w:rsidP="004951EF">
      <w:pPr>
        <w:jc w:val="center"/>
        <w:rPr>
          <w:b/>
          <w:sz w:val="32"/>
          <w:szCs w:val="32"/>
        </w:rPr>
      </w:pPr>
      <w:r w:rsidRPr="003222A5">
        <w:rPr>
          <w:b/>
          <w:noProof/>
          <w:lang w:eastAsia="en-GB"/>
        </w:rPr>
        <w:drawing>
          <wp:anchor distT="0" distB="0" distL="114300" distR="114300" simplePos="0" relativeHeight="251659264" behindDoc="1" locked="0" layoutInCell="1" allowOverlap="1" wp14:anchorId="50638F03" wp14:editId="16723CDC">
            <wp:simplePos x="0" y="0"/>
            <wp:positionH relativeFrom="margin">
              <wp:posOffset>3448050</wp:posOffset>
            </wp:positionH>
            <wp:positionV relativeFrom="paragraph">
              <wp:posOffset>14605</wp:posOffset>
            </wp:positionV>
            <wp:extent cx="1038225" cy="562610"/>
            <wp:effectExtent l="0" t="0" r="9525" b="8890"/>
            <wp:wrapTight wrapText="bothSides">
              <wp:wrapPolygon edited="0">
                <wp:start x="0" y="0"/>
                <wp:lineTo x="0" y="21210"/>
                <wp:lineTo x="21402" y="21210"/>
                <wp:lineTo x="2140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38225" cy="5626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FC37C3" w14:textId="77777777" w:rsidR="004951EF" w:rsidRDefault="004951EF" w:rsidP="004951EF">
      <w:pPr>
        <w:jc w:val="center"/>
        <w:rPr>
          <w:b/>
          <w:sz w:val="32"/>
          <w:szCs w:val="32"/>
        </w:rPr>
      </w:pPr>
    </w:p>
    <w:p w14:paraId="35F3F21B" w14:textId="06E7DFFB" w:rsidR="004951EF" w:rsidRPr="002F1844" w:rsidRDefault="004951EF" w:rsidP="004951EF">
      <w:pPr>
        <w:jc w:val="center"/>
        <w:rPr>
          <w:b/>
          <w:sz w:val="32"/>
          <w:szCs w:val="32"/>
        </w:rPr>
      </w:pPr>
      <w:r w:rsidRPr="002F1844">
        <w:rPr>
          <w:b/>
          <w:sz w:val="32"/>
          <w:szCs w:val="32"/>
        </w:rPr>
        <w:t xml:space="preserve">Spelling Lists - Year </w:t>
      </w:r>
      <w:r w:rsidR="003A1ACD">
        <w:rPr>
          <w:b/>
          <w:sz w:val="32"/>
          <w:szCs w:val="32"/>
        </w:rPr>
        <w:t>4</w:t>
      </w:r>
      <w:r w:rsidRPr="002F1844">
        <w:rPr>
          <w:b/>
          <w:sz w:val="32"/>
          <w:szCs w:val="32"/>
        </w:rPr>
        <w:t xml:space="preserve"> Term </w:t>
      </w:r>
      <w:r w:rsidR="001169BE">
        <w:rPr>
          <w:b/>
          <w:sz w:val="32"/>
          <w:szCs w:val="32"/>
        </w:rPr>
        <w:t>6</w:t>
      </w:r>
    </w:p>
    <w:p w14:paraId="6A9BCD79" w14:textId="46950E41" w:rsidR="004951EF" w:rsidRPr="008705E7" w:rsidRDefault="004951EF" w:rsidP="004951EF">
      <w:pPr>
        <w:jc w:val="center"/>
        <w:rPr>
          <w:sz w:val="32"/>
          <w:szCs w:val="32"/>
        </w:rPr>
      </w:pPr>
      <w:r>
        <w:rPr>
          <w:sz w:val="32"/>
          <w:szCs w:val="32"/>
        </w:rPr>
        <w:t xml:space="preserve">These are the spelling patterns that will be covered in class this term. Spellings are not tested anymore but we would still like you to look at the patterns at home and find other words which use the same spelling pattern. The children could explore other forms of the word: </w:t>
      </w:r>
      <w:proofErr w:type="gramStart"/>
      <w:r>
        <w:rPr>
          <w:sz w:val="32"/>
          <w:szCs w:val="32"/>
        </w:rPr>
        <w:t>e.g.</w:t>
      </w:r>
      <w:proofErr w:type="gramEnd"/>
      <w:r>
        <w:rPr>
          <w:sz w:val="32"/>
          <w:szCs w:val="32"/>
        </w:rPr>
        <w:t xml:space="preserve"> treasure - treasured, treasuring. We will teach these through Spelling Shed at school. </w:t>
      </w:r>
    </w:p>
    <w:tbl>
      <w:tblPr>
        <w:tblStyle w:val="TableGrid"/>
        <w:tblW w:w="5000" w:type="pct"/>
        <w:jc w:val="center"/>
        <w:tblLook w:val="04A0" w:firstRow="1" w:lastRow="0" w:firstColumn="1" w:lastColumn="0" w:noHBand="0" w:noVBand="1"/>
      </w:tblPr>
      <w:tblGrid>
        <w:gridCol w:w="1737"/>
        <w:gridCol w:w="1653"/>
        <w:gridCol w:w="1764"/>
        <w:gridCol w:w="1891"/>
        <w:gridCol w:w="1902"/>
        <w:gridCol w:w="2078"/>
        <w:gridCol w:w="1925"/>
      </w:tblGrid>
      <w:tr w:rsidR="00157210" w14:paraId="458CA544" w14:textId="6E7C2E24" w:rsidTr="003A1ACD">
        <w:trPr>
          <w:trHeight w:val="814"/>
          <w:jc w:val="center"/>
        </w:trPr>
        <w:tc>
          <w:tcPr>
            <w:tcW w:w="742" w:type="pct"/>
            <w:vAlign w:val="center"/>
          </w:tcPr>
          <w:p w14:paraId="762688B9" w14:textId="77777777" w:rsidR="00157210" w:rsidRPr="002F1844" w:rsidRDefault="00157210" w:rsidP="00345FD0">
            <w:pPr>
              <w:jc w:val="center"/>
              <w:rPr>
                <w:b/>
                <w:sz w:val="32"/>
                <w:szCs w:val="32"/>
              </w:rPr>
            </w:pPr>
            <w:r w:rsidRPr="002F1844">
              <w:rPr>
                <w:b/>
                <w:sz w:val="32"/>
                <w:szCs w:val="32"/>
              </w:rPr>
              <w:t xml:space="preserve">Week of </w:t>
            </w:r>
          </w:p>
          <w:p w14:paraId="3F582562" w14:textId="45459E6F" w:rsidR="00157210" w:rsidRPr="002F1844" w:rsidRDefault="00157210" w:rsidP="00345FD0">
            <w:pPr>
              <w:jc w:val="center"/>
              <w:rPr>
                <w:b/>
                <w:sz w:val="32"/>
                <w:szCs w:val="32"/>
              </w:rPr>
            </w:pPr>
            <w:r>
              <w:rPr>
                <w:b/>
                <w:sz w:val="32"/>
                <w:szCs w:val="32"/>
              </w:rPr>
              <w:t>1</w:t>
            </w:r>
            <w:r w:rsidRPr="001169BE">
              <w:rPr>
                <w:b/>
                <w:sz w:val="32"/>
                <w:szCs w:val="32"/>
                <w:vertAlign w:val="superscript"/>
              </w:rPr>
              <w:t>st</w:t>
            </w:r>
            <w:r>
              <w:rPr>
                <w:b/>
                <w:sz w:val="32"/>
                <w:szCs w:val="32"/>
              </w:rPr>
              <w:t xml:space="preserve"> June</w:t>
            </w:r>
          </w:p>
        </w:tc>
        <w:tc>
          <w:tcPr>
            <w:tcW w:w="628" w:type="pct"/>
            <w:vAlign w:val="center"/>
          </w:tcPr>
          <w:p w14:paraId="339EE3F7" w14:textId="77777777" w:rsidR="00157210" w:rsidRPr="002F1844" w:rsidRDefault="00157210" w:rsidP="00345FD0">
            <w:pPr>
              <w:jc w:val="center"/>
              <w:rPr>
                <w:b/>
                <w:sz w:val="32"/>
                <w:szCs w:val="32"/>
              </w:rPr>
            </w:pPr>
            <w:r w:rsidRPr="002F1844">
              <w:rPr>
                <w:b/>
                <w:sz w:val="32"/>
                <w:szCs w:val="32"/>
              </w:rPr>
              <w:t>Week of</w:t>
            </w:r>
          </w:p>
          <w:p w14:paraId="719C3985" w14:textId="2872F096" w:rsidR="00157210" w:rsidRPr="002F1844" w:rsidRDefault="00157210" w:rsidP="00345FD0">
            <w:pPr>
              <w:jc w:val="center"/>
              <w:rPr>
                <w:b/>
                <w:sz w:val="32"/>
                <w:szCs w:val="32"/>
              </w:rPr>
            </w:pPr>
            <w:r>
              <w:rPr>
                <w:b/>
                <w:sz w:val="32"/>
                <w:szCs w:val="32"/>
              </w:rPr>
              <w:t>8</w:t>
            </w:r>
            <w:r w:rsidRPr="00370E30">
              <w:rPr>
                <w:b/>
                <w:sz w:val="32"/>
                <w:szCs w:val="32"/>
                <w:vertAlign w:val="superscript"/>
              </w:rPr>
              <w:t>th</w:t>
            </w:r>
            <w:r>
              <w:rPr>
                <w:b/>
                <w:sz w:val="32"/>
                <w:szCs w:val="32"/>
              </w:rPr>
              <w:t xml:space="preserve"> June</w:t>
            </w:r>
          </w:p>
        </w:tc>
        <w:tc>
          <w:tcPr>
            <w:tcW w:w="670" w:type="pct"/>
            <w:vAlign w:val="center"/>
          </w:tcPr>
          <w:p w14:paraId="11578567" w14:textId="77777777" w:rsidR="00157210" w:rsidRPr="002F1844" w:rsidRDefault="00157210" w:rsidP="00345FD0">
            <w:pPr>
              <w:jc w:val="center"/>
              <w:rPr>
                <w:b/>
                <w:sz w:val="32"/>
                <w:szCs w:val="32"/>
              </w:rPr>
            </w:pPr>
            <w:r w:rsidRPr="002F1844">
              <w:rPr>
                <w:b/>
                <w:sz w:val="32"/>
                <w:szCs w:val="32"/>
              </w:rPr>
              <w:t>Week of</w:t>
            </w:r>
          </w:p>
          <w:p w14:paraId="65A56B0D" w14:textId="658AD4A6" w:rsidR="00157210" w:rsidRPr="002F1844" w:rsidRDefault="00157210" w:rsidP="00345FD0">
            <w:pPr>
              <w:jc w:val="center"/>
              <w:rPr>
                <w:b/>
                <w:sz w:val="32"/>
                <w:szCs w:val="32"/>
                <w:u w:val="single"/>
              </w:rPr>
            </w:pPr>
            <w:r>
              <w:rPr>
                <w:b/>
                <w:sz w:val="32"/>
                <w:szCs w:val="32"/>
              </w:rPr>
              <w:t>15</w:t>
            </w:r>
            <w:r w:rsidRPr="003579BD">
              <w:rPr>
                <w:b/>
                <w:sz w:val="32"/>
                <w:szCs w:val="32"/>
                <w:vertAlign w:val="superscript"/>
              </w:rPr>
              <w:t>th</w:t>
            </w:r>
            <w:r>
              <w:rPr>
                <w:b/>
                <w:sz w:val="32"/>
                <w:szCs w:val="32"/>
              </w:rPr>
              <w:t xml:space="preserve"> June</w:t>
            </w:r>
          </w:p>
        </w:tc>
        <w:tc>
          <w:tcPr>
            <w:tcW w:w="718" w:type="pct"/>
            <w:vAlign w:val="center"/>
          </w:tcPr>
          <w:p w14:paraId="1608B920" w14:textId="77777777" w:rsidR="00157210" w:rsidRPr="002F1844" w:rsidRDefault="00157210" w:rsidP="00345FD0">
            <w:pPr>
              <w:jc w:val="center"/>
              <w:rPr>
                <w:b/>
                <w:sz w:val="32"/>
                <w:szCs w:val="32"/>
              </w:rPr>
            </w:pPr>
            <w:r w:rsidRPr="002F1844">
              <w:rPr>
                <w:b/>
                <w:sz w:val="32"/>
                <w:szCs w:val="32"/>
              </w:rPr>
              <w:t>Week of</w:t>
            </w:r>
          </w:p>
          <w:p w14:paraId="67B2CD93" w14:textId="0AE2C98B" w:rsidR="00157210" w:rsidRPr="002F1844" w:rsidRDefault="00157210" w:rsidP="00345FD0">
            <w:pPr>
              <w:jc w:val="center"/>
              <w:rPr>
                <w:b/>
                <w:sz w:val="32"/>
                <w:szCs w:val="32"/>
              </w:rPr>
            </w:pPr>
            <w:r>
              <w:rPr>
                <w:b/>
                <w:sz w:val="32"/>
                <w:szCs w:val="32"/>
              </w:rPr>
              <w:t>22</w:t>
            </w:r>
            <w:r w:rsidRPr="001169BE">
              <w:rPr>
                <w:b/>
                <w:sz w:val="32"/>
                <w:szCs w:val="32"/>
                <w:vertAlign w:val="superscript"/>
              </w:rPr>
              <w:t>nd</w:t>
            </w:r>
            <w:r>
              <w:rPr>
                <w:b/>
                <w:sz w:val="32"/>
                <w:szCs w:val="32"/>
              </w:rPr>
              <w:t xml:space="preserve"> June</w:t>
            </w:r>
          </w:p>
        </w:tc>
        <w:tc>
          <w:tcPr>
            <w:tcW w:w="722" w:type="pct"/>
            <w:vAlign w:val="center"/>
          </w:tcPr>
          <w:p w14:paraId="0705CA1E" w14:textId="34E7233A" w:rsidR="00157210" w:rsidRPr="00157210" w:rsidRDefault="00157210" w:rsidP="00345FD0">
            <w:pPr>
              <w:jc w:val="center"/>
              <w:rPr>
                <w:b/>
                <w:sz w:val="32"/>
                <w:szCs w:val="32"/>
              </w:rPr>
            </w:pPr>
            <w:r w:rsidRPr="00157210">
              <w:rPr>
                <w:b/>
                <w:sz w:val="32"/>
                <w:szCs w:val="32"/>
              </w:rPr>
              <w:t>Week of 29</w:t>
            </w:r>
            <w:r w:rsidRPr="00157210">
              <w:rPr>
                <w:b/>
                <w:sz w:val="32"/>
                <w:szCs w:val="32"/>
                <w:vertAlign w:val="superscript"/>
              </w:rPr>
              <w:t>th</w:t>
            </w:r>
            <w:r w:rsidRPr="00157210">
              <w:rPr>
                <w:b/>
                <w:sz w:val="32"/>
                <w:szCs w:val="32"/>
              </w:rPr>
              <w:t xml:space="preserve"> June</w:t>
            </w:r>
          </w:p>
        </w:tc>
        <w:tc>
          <w:tcPr>
            <w:tcW w:w="789" w:type="pct"/>
          </w:tcPr>
          <w:p w14:paraId="5B89C232" w14:textId="77777777" w:rsidR="00157210" w:rsidRPr="00157210" w:rsidRDefault="00157210" w:rsidP="00157210">
            <w:pPr>
              <w:jc w:val="center"/>
              <w:rPr>
                <w:b/>
                <w:sz w:val="32"/>
                <w:szCs w:val="32"/>
              </w:rPr>
            </w:pPr>
            <w:r w:rsidRPr="00157210">
              <w:rPr>
                <w:b/>
                <w:sz w:val="32"/>
                <w:szCs w:val="32"/>
              </w:rPr>
              <w:t>Week of</w:t>
            </w:r>
          </w:p>
          <w:p w14:paraId="4832DBFD" w14:textId="4EEBE2A3" w:rsidR="00157210" w:rsidRPr="002F1844" w:rsidRDefault="00157210" w:rsidP="00157210">
            <w:pPr>
              <w:jc w:val="center"/>
              <w:rPr>
                <w:b/>
                <w:sz w:val="32"/>
                <w:szCs w:val="32"/>
              </w:rPr>
            </w:pPr>
            <w:r w:rsidRPr="00157210">
              <w:rPr>
                <w:b/>
                <w:sz w:val="32"/>
                <w:szCs w:val="32"/>
              </w:rPr>
              <w:t>6</w:t>
            </w:r>
            <w:r w:rsidRPr="00157210">
              <w:rPr>
                <w:b/>
                <w:sz w:val="32"/>
                <w:szCs w:val="32"/>
                <w:vertAlign w:val="superscript"/>
              </w:rPr>
              <w:t>th</w:t>
            </w:r>
            <w:r w:rsidRPr="00157210">
              <w:rPr>
                <w:b/>
                <w:sz w:val="32"/>
                <w:szCs w:val="32"/>
              </w:rPr>
              <w:t xml:space="preserve"> July</w:t>
            </w:r>
          </w:p>
        </w:tc>
        <w:tc>
          <w:tcPr>
            <w:tcW w:w="731" w:type="pct"/>
          </w:tcPr>
          <w:p w14:paraId="7BCA555C" w14:textId="14C0EC38" w:rsidR="00157210" w:rsidRPr="002F1844" w:rsidRDefault="00157210" w:rsidP="001169BE">
            <w:pPr>
              <w:jc w:val="center"/>
              <w:rPr>
                <w:b/>
                <w:sz w:val="32"/>
                <w:szCs w:val="32"/>
              </w:rPr>
            </w:pPr>
            <w:r w:rsidRPr="002F1844">
              <w:rPr>
                <w:b/>
                <w:sz w:val="32"/>
                <w:szCs w:val="32"/>
              </w:rPr>
              <w:t>Week of</w:t>
            </w:r>
          </w:p>
          <w:p w14:paraId="2D02FF7C" w14:textId="24DEBBAC" w:rsidR="00157210" w:rsidRPr="002F1844" w:rsidRDefault="00157210" w:rsidP="001169BE">
            <w:pPr>
              <w:jc w:val="center"/>
              <w:rPr>
                <w:b/>
                <w:sz w:val="32"/>
                <w:szCs w:val="32"/>
              </w:rPr>
            </w:pPr>
            <w:r>
              <w:rPr>
                <w:b/>
                <w:sz w:val="32"/>
                <w:szCs w:val="32"/>
              </w:rPr>
              <w:t>13</w:t>
            </w:r>
            <w:r>
              <w:rPr>
                <w:b/>
                <w:sz w:val="32"/>
                <w:szCs w:val="32"/>
                <w:vertAlign w:val="superscript"/>
              </w:rPr>
              <w:t>th</w:t>
            </w:r>
            <w:r>
              <w:rPr>
                <w:b/>
                <w:sz w:val="32"/>
                <w:szCs w:val="32"/>
              </w:rPr>
              <w:t xml:space="preserve"> July</w:t>
            </w:r>
          </w:p>
        </w:tc>
      </w:tr>
      <w:tr w:rsidR="003A1ACD" w14:paraId="668B28A7" w14:textId="670FFACE" w:rsidTr="003A1ACD">
        <w:trPr>
          <w:trHeight w:val="1537"/>
          <w:jc w:val="center"/>
        </w:trPr>
        <w:tc>
          <w:tcPr>
            <w:tcW w:w="742" w:type="pct"/>
          </w:tcPr>
          <w:p w14:paraId="1ED395BE" w14:textId="326F5C90" w:rsidR="003A1ACD" w:rsidRPr="003A1ACD" w:rsidRDefault="003A1ACD" w:rsidP="00992164">
            <w:pPr>
              <w:jc w:val="center"/>
              <w:rPr>
                <w:sz w:val="28"/>
                <w:szCs w:val="28"/>
              </w:rPr>
            </w:pPr>
            <w:r w:rsidRPr="003A1ACD">
              <w:rPr>
                <w:sz w:val="28"/>
                <w:szCs w:val="28"/>
              </w:rPr>
              <w:t>Homophon</w:t>
            </w:r>
            <w:r>
              <w:rPr>
                <w:sz w:val="28"/>
                <w:szCs w:val="28"/>
              </w:rPr>
              <w:t>e</w:t>
            </w:r>
            <w:r w:rsidRPr="003A1ACD">
              <w:rPr>
                <w:sz w:val="28"/>
                <w:szCs w:val="28"/>
              </w:rPr>
              <w:t>s</w:t>
            </w:r>
          </w:p>
          <w:p w14:paraId="69046322" w14:textId="775563B4" w:rsidR="003A1ACD" w:rsidRPr="00A2693B" w:rsidRDefault="003A1ACD" w:rsidP="001169BE">
            <w:pPr>
              <w:jc w:val="center"/>
              <w:rPr>
                <w:sz w:val="32"/>
                <w:szCs w:val="32"/>
              </w:rPr>
            </w:pPr>
          </w:p>
        </w:tc>
        <w:tc>
          <w:tcPr>
            <w:tcW w:w="628" w:type="pct"/>
          </w:tcPr>
          <w:p w14:paraId="28C7BC54" w14:textId="3BD21BB5" w:rsidR="003A1ACD" w:rsidRPr="00A2693B" w:rsidRDefault="003A1ACD" w:rsidP="001169BE">
            <w:pPr>
              <w:jc w:val="center"/>
              <w:rPr>
                <w:sz w:val="32"/>
                <w:szCs w:val="32"/>
              </w:rPr>
            </w:pPr>
            <w:r>
              <w:rPr>
                <w:sz w:val="32"/>
                <w:szCs w:val="32"/>
              </w:rPr>
              <w:t>Suffix spelling rules</w:t>
            </w:r>
          </w:p>
        </w:tc>
        <w:tc>
          <w:tcPr>
            <w:tcW w:w="670" w:type="pct"/>
          </w:tcPr>
          <w:p w14:paraId="05814B40" w14:textId="77777777" w:rsidR="003A1ACD" w:rsidRDefault="003A1ACD" w:rsidP="001169BE">
            <w:pPr>
              <w:jc w:val="center"/>
              <w:rPr>
                <w:sz w:val="32"/>
                <w:szCs w:val="32"/>
              </w:rPr>
            </w:pPr>
            <w:r>
              <w:rPr>
                <w:sz w:val="32"/>
                <w:szCs w:val="32"/>
              </w:rPr>
              <w:t>Prefix</w:t>
            </w:r>
            <w:r>
              <w:rPr>
                <w:sz w:val="32"/>
                <w:szCs w:val="32"/>
              </w:rPr>
              <w:t xml:space="preserve"> spelling rules</w:t>
            </w:r>
            <w:r w:rsidRPr="00A2693B">
              <w:rPr>
                <w:sz w:val="32"/>
                <w:szCs w:val="32"/>
              </w:rPr>
              <w:t xml:space="preserve"> </w:t>
            </w:r>
          </w:p>
          <w:p w14:paraId="768E7823" w14:textId="05402361" w:rsidR="003A1ACD" w:rsidRPr="00157210" w:rsidRDefault="003A1ACD" w:rsidP="001169BE">
            <w:pPr>
              <w:jc w:val="center"/>
            </w:pPr>
            <w:r w:rsidRPr="00157210">
              <w:rPr>
                <w:i/>
                <w:iCs/>
              </w:rPr>
              <w:t>In</w:t>
            </w:r>
            <w:r w:rsidRPr="00157210">
              <w:t xml:space="preserve"> meaning not</w:t>
            </w:r>
          </w:p>
        </w:tc>
        <w:tc>
          <w:tcPr>
            <w:tcW w:w="718" w:type="pct"/>
          </w:tcPr>
          <w:p w14:paraId="6F344CAD" w14:textId="72859D70" w:rsidR="003A1ACD" w:rsidRPr="00157210" w:rsidRDefault="003A1ACD" w:rsidP="001169BE">
            <w:pPr>
              <w:jc w:val="center"/>
              <w:rPr>
                <w:sz w:val="32"/>
                <w:szCs w:val="32"/>
              </w:rPr>
            </w:pPr>
            <w:r w:rsidRPr="00157210">
              <w:rPr>
                <w:sz w:val="32"/>
                <w:szCs w:val="32"/>
              </w:rPr>
              <w:t>prefixes ‘il-’, ‘im-’ and ‘</w:t>
            </w:r>
            <w:proofErr w:type="spellStart"/>
            <w:r w:rsidRPr="00157210">
              <w:rPr>
                <w:sz w:val="32"/>
                <w:szCs w:val="32"/>
              </w:rPr>
              <w:t>ir</w:t>
            </w:r>
            <w:proofErr w:type="spellEnd"/>
            <w:r w:rsidRPr="00157210">
              <w:rPr>
                <w:sz w:val="32"/>
                <w:szCs w:val="32"/>
              </w:rPr>
              <w:t>-</w:t>
            </w:r>
          </w:p>
        </w:tc>
        <w:tc>
          <w:tcPr>
            <w:tcW w:w="722" w:type="pct"/>
          </w:tcPr>
          <w:p w14:paraId="5B39DB55" w14:textId="2DBAA07F" w:rsidR="003A1ACD" w:rsidRPr="00A2693B" w:rsidRDefault="003A1ACD" w:rsidP="001169BE">
            <w:pPr>
              <w:jc w:val="center"/>
              <w:rPr>
                <w:sz w:val="32"/>
                <w:szCs w:val="32"/>
              </w:rPr>
            </w:pPr>
            <w:r w:rsidRPr="00157210">
              <w:rPr>
                <w:sz w:val="32"/>
                <w:szCs w:val="32"/>
              </w:rPr>
              <w:t xml:space="preserve">the prefix ‘sub-’ </w:t>
            </w:r>
            <w:r w:rsidRPr="00157210">
              <w:t>meaning ‘below’ or ‘further divided’</w:t>
            </w:r>
          </w:p>
        </w:tc>
        <w:tc>
          <w:tcPr>
            <w:tcW w:w="1520" w:type="pct"/>
            <w:gridSpan w:val="2"/>
          </w:tcPr>
          <w:p w14:paraId="6B15AAF7" w14:textId="6FCDD655" w:rsidR="003A1ACD" w:rsidRDefault="003A1ACD" w:rsidP="001169BE">
            <w:pPr>
              <w:jc w:val="center"/>
              <w:rPr>
                <w:sz w:val="32"/>
                <w:szCs w:val="32"/>
              </w:rPr>
            </w:pPr>
            <w:r w:rsidRPr="00D80AF5">
              <w:rPr>
                <w:sz w:val="32"/>
                <w:szCs w:val="32"/>
              </w:rPr>
              <w:t>words ending in ‘-</w:t>
            </w:r>
            <w:proofErr w:type="spellStart"/>
            <w:r w:rsidRPr="00D80AF5">
              <w:rPr>
                <w:sz w:val="32"/>
                <w:szCs w:val="32"/>
              </w:rPr>
              <w:t>ation</w:t>
            </w:r>
            <w:proofErr w:type="spellEnd"/>
          </w:p>
        </w:tc>
      </w:tr>
      <w:tr w:rsidR="00157210" w14:paraId="2EC31116" w14:textId="394CC8C8" w:rsidTr="003A1ACD">
        <w:trPr>
          <w:trHeight w:val="2885"/>
          <w:jc w:val="center"/>
        </w:trPr>
        <w:tc>
          <w:tcPr>
            <w:tcW w:w="742" w:type="pct"/>
          </w:tcPr>
          <w:p w14:paraId="6EEBC1FE" w14:textId="48DAFA5E" w:rsidR="00157210" w:rsidRPr="00370E30" w:rsidRDefault="00157210" w:rsidP="001169BE">
            <w:pPr>
              <w:rPr>
                <w:sz w:val="32"/>
                <w:szCs w:val="32"/>
              </w:rPr>
            </w:pPr>
            <w:r w:rsidRPr="00992164">
              <w:rPr>
                <w:sz w:val="32"/>
                <w:szCs w:val="32"/>
              </w:rPr>
              <w:t>accept, except, knot, not, peace, piece, plain, plane, weather, whether</w:t>
            </w:r>
          </w:p>
        </w:tc>
        <w:tc>
          <w:tcPr>
            <w:tcW w:w="628" w:type="pct"/>
          </w:tcPr>
          <w:p w14:paraId="3AAB1FFA" w14:textId="77777777" w:rsidR="00157210" w:rsidRPr="00992164" w:rsidRDefault="00157210" w:rsidP="00992164">
            <w:pPr>
              <w:jc w:val="center"/>
              <w:rPr>
                <w:sz w:val="32"/>
                <w:szCs w:val="32"/>
              </w:rPr>
            </w:pPr>
            <w:r w:rsidRPr="00992164">
              <w:rPr>
                <w:sz w:val="32"/>
                <w:szCs w:val="32"/>
              </w:rPr>
              <w:t>sadly</w:t>
            </w:r>
          </w:p>
          <w:p w14:paraId="51F687BF" w14:textId="77777777" w:rsidR="00157210" w:rsidRPr="00992164" w:rsidRDefault="00157210" w:rsidP="00992164">
            <w:pPr>
              <w:jc w:val="center"/>
              <w:rPr>
                <w:sz w:val="32"/>
                <w:szCs w:val="32"/>
              </w:rPr>
            </w:pPr>
            <w:r w:rsidRPr="00992164">
              <w:rPr>
                <w:sz w:val="32"/>
                <w:szCs w:val="32"/>
              </w:rPr>
              <w:t>completely</w:t>
            </w:r>
          </w:p>
          <w:p w14:paraId="79C280A0" w14:textId="77777777" w:rsidR="00157210" w:rsidRPr="00992164" w:rsidRDefault="00157210" w:rsidP="00992164">
            <w:pPr>
              <w:jc w:val="center"/>
              <w:rPr>
                <w:sz w:val="32"/>
                <w:szCs w:val="32"/>
              </w:rPr>
            </w:pPr>
            <w:r w:rsidRPr="00992164">
              <w:rPr>
                <w:sz w:val="32"/>
                <w:szCs w:val="32"/>
              </w:rPr>
              <w:t>nervously</w:t>
            </w:r>
          </w:p>
          <w:p w14:paraId="35CD7CF3" w14:textId="77777777" w:rsidR="00157210" w:rsidRPr="00992164" w:rsidRDefault="00157210" w:rsidP="00992164">
            <w:pPr>
              <w:jc w:val="center"/>
              <w:rPr>
                <w:sz w:val="32"/>
                <w:szCs w:val="32"/>
              </w:rPr>
            </w:pPr>
            <w:r w:rsidRPr="00992164">
              <w:rPr>
                <w:sz w:val="32"/>
                <w:szCs w:val="32"/>
              </w:rPr>
              <w:t>bravely</w:t>
            </w:r>
          </w:p>
          <w:p w14:paraId="273F55D0" w14:textId="77777777" w:rsidR="00157210" w:rsidRPr="00992164" w:rsidRDefault="00157210" w:rsidP="00992164">
            <w:pPr>
              <w:jc w:val="center"/>
              <w:rPr>
                <w:sz w:val="32"/>
                <w:szCs w:val="32"/>
              </w:rPr>
            </w:pPr>
            <w:r w:rsidRPr="00992164">
              <w:rPr>
                <w:sz w:val="32"/>
                <w:szCs w:val="32"/>
              </w:rPr>
              <w:t>gently</w:t>
            </w:r>
          </w:p>
          <w:p w14:paraId="40663D4F" w14:textId="43CBD6BE" w:rsidR="00157210" w:rsidRPr="008F7039" w:rsidRDefault="00157210" w:rsidP="00992164">
            <w:pPr>
              <w:jc w:val="center"/>
              <w:rPr>
                <w:sz w:val="32"/>
                <w:szCs w:val="32"/>
              </w:rPr>
            </w:pPr>
            <w:r w:rsidRPr="00992164">
              <w:rPr>
                <w:sz w:val="32"/>
                <w:szCs w:val="32"/>
              </w:rPr>
              <w:t>foolishly</w:t>
            </w:r>
          </w:p>
        </w:tc>
        <w:tc>
          <w:tcPr>
            <w:tcW w:w="670" w:type="pct"/>
          </w:tcPr>
          <w:p w14:paraId="5F0C8758" w14:textId="2497C005" w:rsidR="00157210" w:rsidRPr="008E18DC" w:rsidRDefault="00157210" w:rsidP="004A1D1E">
            <w:pPr>
              <w:jc w:val="center"/>
              <w:rPr>
                <w:sz w:val="32"/>
                <w:szCs w:val="32"/>
              </w:rPr>
            </w:pPr>
            <w:r w:rsidRPr="00992164">
              <w:rPr>
                <w:sz w:val="32"/>
                <w:szCs w:val="32"/>
              </w:rPr>
              <w:t>inability, inactive, inadequate, incorrect, incurable, indefinite, inelegant, inflexible, insecure, invisible</w:t>
            </w:r>
          </w:p>
        </w:tc>
        <w:tc>
          <w:tcPr>
            <w:tcW w:w="718" w:type="pct"/>
          </w:tcPr>
          <w:p w14:paraId="122E603B" w14:textId="77777777" w:rsidR="00157210" w:rsidRPr="00157210" w:rsidRDefault="00157210" w:rsidP="00157210">
            <w:pPr>
              <w:jc w:val="center"/>
              <w:rPr>
                <w:sz w:val="32"/>
                <w:szCs w:val="32"/>
                <w:lang w:val="en-GB"/>
              </w:rPr>
            </w:pPr>
            <w:r w:rsidRPr="00157210">
              <w:rPr>
                <w:sz w:val="32"/>
                <w:szCs w:val="32"/>
                <w:lang w:val="en-GB"/>
              </w:rPr>
              <w:t>illegal, illegible, immature, immortal, impossible, impatient, imperfect, irregular, irrelevant, irresponsible</w:t>
            </w:r>
          </w:p>
          <w:p w14:paraId="3BE58612" w14:textId="1A638CF4" w:rsidR="00157210" w:rsidRPr="008E18DC" w:rsidRDefault="00157210" w:rsidP="00370E30">
            <w:pPr>
              <w:jc w:val="center"/>
              <w:rPr>
                <w:sz w:val="32"/>
                <w:szCs w:val="32"/>
              </w:rPr>
            </w:pPr>
          </w:p>
        </w:tc>
        <w:tc>
          <w:tcPr>
            <w:tcW w:w="722" w:type="pct"/>
          </w:tcPr>
          <w:p w14:paraId="12BF0E0B" w14:textId="77777777" w:rsidR="00157210" w:rsidRPr="00157210" w:rsidRDefault="00157210" w:rsidP="00157210">
            <w:pPr>
              <w:jc w:val="center"/>
              <w:rPr>
                <w:sz w:val="32"/>
                <w:szCs w:val="32"/>
                <w:lang w:val="en-GB"/>
              </w:rPr>
            </w:pPr>
            <w:r w:rsidRPr="00157210">
              <w:rPr>
                <w:sz w:val="32"/>
                <w:szCs w:val="32"/>
                <w:lang w:val="en-GB"/>
              </w:rPr>
              <w:t>subdivide, subheading, subject, submarine, submerge, submit, substandard, subtitle, subtropical, subway</w:t>
            </w:r>
          </w:p>
          <w:p w14:paraId="3A67D30F" w14:textId="5042DAF4" w:rsidR="00157210" w:rsidRPr="008E18DC" w:rsidRDefault="00157210" w:rsidP="004A1D1E">
            <w:pPr>
              <w:jc w:val="center"/>
              <w:rPr>
                <w:sz w:val="32"/>
                <w:szCs w:val="32"/>
              </w:rPr>
            </w:pPr>
          </w:p>
        </w:tc>
        <w:tc>
          <w:tcPr>
            <w:tcW w:w="789" w:type="pct"/>
          </w:tcPr>
          <w:p w14:paraId="6AC86E5D" w14:textId="3AC84CD0" w:rsidR="00157210" w:rsidRDefault="00D80AF5" w:rsidP="004A1D1E">
            <w:pPr>
              <w:jc w:val="center"/>
              <w:rPr>
                <w:sz w:val="32"/>
                <w:szCs w:val="32"/>
              </w:rPr>
            </w:pPr>
            <w:r w:rsidRPr="00D80AF5">
              <w:rPr>
                <w:sz w:val="32"/>
                <w:szCs w:val="32"/>
              </w:rPr>
              <w:t>information, sensation, preparation, vibration, decoration, donation, duration,</w:t>
            </w:r>
            <w:r w:rsidRPr="00D80AF5">
              <w:rPr>
                <w:sz w:val="32"/>
                <w:szCs w:val="32"/>
              </w:rPr>
              <w:br/>
              <w:t>registration, population, determination</w:t>
            </w:r>
          </w:p>
        </w:tc>
        <w:tc>
          <w:tcPr>
            <w:tcW w:w="731" w:type="pct"/>
          </w:tcPr>
          <w:p w14:paraId="51BF6EA8" w14:textId="4531E18E" w:rsidR="00157210" w:rsidRDefault="00D80AF5" w:rsidP="004A1D1E">
            <w:pPr>
              <w:jc w:val="center"/>
              <w:rPr>
                <w:sz w:val="32"/>
                <w:szCs w:val="32"/>
              </w:rPr>
            </w:pPr>
            <w:r w:rsidRPr="00D80AF5">
              <w:rPr>
                <w:sz w:val="32"/>
                <w:szCs w:val="32"/>
              </w:rPr>
              <w:t>adoration, admiration, coronation, detonation, observation, location, generation, exploration, combination, illustration</w:t>
            </w:r>
          </w:p>
        </w:tc>
      </w:tr>
    </w:tbl>
    <w:p w14:paraId="0C734533" w14:textId="77777777" w:rsidR="004951EF" w:rsidRDefault="004951EF" w:rsidP="004951EF">
      <w:pPr>
        <w:jc w:val="center"/>
        <w:rPr>
          <w:sz w:val="32"/>
          <w:szCs w:val="32"/>
          <w:u w:val="single"/>
        </w:rPr>
      </w:pPr>
    </w:p>
    <w:p w14:paraId="390EF8D6" w14:textId="77777777" w:rsidR="00FC7C61" w:rsidRDefault="00FC7C61"/>
    <w:sectPr w:rsidR="00FC7C61" w:rsidSect="002F1844">
      <w:pgSz w:w="15840" w:h="12240" w:orient="landscape"/>
      <w:pgMar w:top="284" w:right="1440" w:bottom="28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1EF"/>
    <w:rsid w:val="00070203"/>
    <w:rsid w:val="001169BE"/>
    <w:rsid w:val="00157210"/>
    <w:rsid w:val="003264F8"/>
    <w:rsid w:val="003417C2"/>
    <w:rsid w:val="003579BD"/>
    <w:rsid w:val="00370E30"/>
    <w:rsid w:val="003A1ACD"/>
    <w:rsid w:val="00404AA8"/>
    <w:rsid w:val="0041288B"/>
    <w:rsid w:val="004951EF"/>
    <w:rsid w:val="004A1D1E"/>
    <w:rsid w:val="006736CA"/>
    <w:rsid w:val="007B3B72"/>
    <w:rsid w:val="007F47D7"/>
    <w:rsid w:val="00857543"/>
    <w:rsid w:val="00960227"/>
    <w:rsid w:val="00992164"/>
    <w:rsid w:val="00A2693B"/>
    <w:rsid w:val="00D17E93"/>
    <w:rsid w:val="00D80AF5"/>
    <w:rsid w:val="00EC37C4"/>
    <w:rsid w:val="00FC7C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4FC8C"/>
  <w15:chartTrackingRefBased/>
  <w15:docId w15:val="{F9E8750D-C7FC-4853-AB8C-8CA0344E9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1EF"/>
    <w:rPr>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951E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5402928">
      <w:bodyDiv w:val="1"/>
      <w:marLeft w:val="0"/>
      <w:marRight w:val="0"/>
      <w:marTop w:val="0"/>
      <w:marBottom w:val="0"/>
      <w:divBdr>
        <w:top w:val="none" w:sz="0" w:space="0" w:color="auto"/>
        <w:left w:val="none" w:sz="0" w:space="0" w:color="auto"/>
        <w:bottom w:val="none" w:sz="0" w:space="0" w:color="auto"/>
        <w:right w:val="none" w:sz="0" w:space="0" w:color="auto"/>
      </w:divBdr>
    </w:div>
    <w:div w:id="1113288395">
      <w:bodyDiv w:val="1"/>
      <w:marLeft w:val="0"/>
      <w:marRight w:val="0"/>
      <w:marTop w:val="0"/>
      <w:marBottom w:val="0"/>
      <w:divBdr>
        <w:top w:val="none" w:sz="0" w:space="0" w:color="auto"/>
        <w:left w:val="none" w:sz="0" w:space="0" w:color="auto"/>
        <w:bottom w:val="none" w:sz="0" w:space="0" w:color="auto"/>
        <w:right w:val="none" w:sz="0" w:space="0" w:color="auto"/>
      </w:divBdr>
    </w:div>
    <w:div w:id="1199200127">
      <w:bodyDiv w:val="1"/>
      <w:marLeft w:val="0"/>
      <w:marRight w:val="0"/>
      <w:marTop w:val="0"/>
      <w:marBottom w:val="0"/>
      <w:divBdr>
        <w:top w:val="none" w:sz="0" w:space="0" w:color="auto"/>
        <w:left w:val="none" w:sz="0" w:space="0" w:color="auto"/>
        <w:bottom w:val="none" w:sz="0" w:space="0" w:color="auto"/>
        <w:right w:val="none" w:sz="0" w:space="0" w:color="auto"/>
      </w:divBdr>
    </w:div>
    <w:div w:id="1404834594">
      <w:bodyDiv w:val="1"/>
      <w:marLeft w:val="0"/>
      <w:marRight w:val="0"/>
      <w:marTop w:val="0"/>
      <w:marBottom w:val="0"/>
      <w:divBdr>
        <w:top w:val="none" w:sz="0" w:space="0" w:color="auto"/>
        <w:left w:val="none" w:sz="0" w:space="0" w:color="auto"/>
        <w:bottom w:val="none" w:sz="0" w:space="0" w:color="auto"/>
        <w:right w:val="none" w:sz="0" w:space="0" w:color="auto"/>
      </w:divBdr>
    </w:div>
    <w:div w:id="1939363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209</Words>
  <Characters>1197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OGara</dc:creator>
  <cp:keywords/>
  <dc:description/>
  <cp:lastModifiedBy>Alex Bacon</cp:lastModifiedBy>
  <cp:revision>3</cp:revision>
  <dcterms:created xsi:type="dcterms:W3CDTF">2026-06-11T11:51:00Z</dcterms:created>
  <dcterms:modified xsi:type="dcterms:W3CDTF">2026-06-11T11:56:00Z</dcterms:modified>
</cp:coreProperties>
</file>