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F0580E" w14:paraId="7A217359" w14:textId="77777777">
        <w:tc>
          <w:tcPr>
            <w:tcW w:w="8642" w:type="dxa"/>
          </w:tcPr>
          <w:p w14:paraId="462C863B" w14:textId="3ACABBCE" w:rsidR="00F0580E" w:rsidRDefault="00575FC8">
            <w:pPr>
              <w:rPr>
                <w:b/>
                <w:color w:val="C00000"/>
                <w:sz w:val="44"/>
                <w:szCs w:val="40"/>
              </w:rPr>
            </w:pPr>
            <w:proofErr w:type="spellStart"/>
            <w:r>
              <w:rPr>
                <w:b/>
                <w:color w:val="C00000"/>
                <w:sz w:val="44"/>
                <w:szCs w:val="40"/>
              </w:rPr>
              <w:t>H</w:t>
            </w:r>
            <w:r w:rsidR="00373B7E">
              <w:rPr>
                <w:b/>
                <w:color w:val="C00000"/>
                <w:sz w:val="44"/>
                <w:szCs w:val="40"/>
              </w:rPr>
              <w:t>Our</w:t>
            </w:r>
            <w:proofErr w:type="spellEnd"/>
            <w:r w:rsidR="00373B7E">
              <w:rPr>
                <w:b/>
                <w:color w:val="C00000"/>
                <w:sz w:val="44"/>
                <w:szCs w:val="40"/>
              </w:rPr>
              <w:t xml:space="preserve"> Lady Queen of Peace</w:t>
            </w:r>
          </w:p>
          <w:p w14:paraId="35264FFD" w14:textId="77777777" w:rsidR="00F0580E" w:rsidRDefault="00373B7E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19D777F3" w14:textId="77777777" w:rsidR="00F0580E" w:rsidRDefault="00373B7E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F0580E" w14:paraId="412D90AB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705327DF" w14:textId="7E316C0C" w:rsidR="00F0580E" w:rsidRDefault="00A571AF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</w:t>
            </w:r>
            <w:r w:rsidR="00373B7E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 w:rsidR="00EB49DE">
              <w:rPr>
                <w:b/>
                <w:bCs/>
                <w:color w:val="C00000"/>
                <w:sz w:val="36"/>
                <w:szCs w:val="32"/>
              </w:rPr>
              <w:t>1</w:t>
            </w:r>
            <w:r w:rsidR="00085225">
              <w:rPr>
                <w:b/>
                <w:bCs/>
                <w:color w:val="C00000"/>
                <w:sz w:val="36"/>
                <w:szCs w:val="32"/>
              </w:rPr>
              <w:t>1</w:t>
            </w:r>
            <w:r w:rsidR="00373B7E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>
              <w:rPr>
                <w:b/>
                <w:bCs/>
                <w:color w:val="C00000"/>
                <w:sz w:val="36"/>
                <w:szCs w:val="32"/>
              </w:rPr>
              <w:t>Drama</w:t>
            </w:r>
          </w:p>
        </w:tc>
      </w:tr>
    </w:tbl>
    <w:p w14:paraId="0C13D74D" w14:textId="77777777" w:rsidR="00F0580E" w:rsidRDefault="00F058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2409"/>
        <w:gridCol w:w="2221"/>
        <w:gridCol w:w="2562"/>
        <w:gridCol w:w="2105"/>
      </w:tblGrid>
      <w:tr w:rsidR="00CD66BA" w14:paraId="149384FD" w14:textId="77777777" w:rsidTr="00EB49D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0375D04" w14:textId="77777777" w:rsidR="00F0580E" w:rsidRDefault="00F0580E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54" w:type="dxa"/>
            <w:gridSpan w:val="3"/>
            <w:shd w:val="clear" w:color="auto" w:fill="D9D9D9" w:themeFill="background1" w:themeFillShade="D9"/>
          </w:tcPr>
          <w:p w14:paraId="16F85D90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783" w:type="dxa"/>
            <w:gridSpan w:val="2"/>
            <w:shd w:val="clear" w:color="auto" w:fill="D9D9D9" w:themeFill="background1" w:themeFillShade="D9"/>
          </w:tcPr>
          <w:p w14:paraId="512A2192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05" w:type="dxa"/>
            <w:vMerge w:val="restart"/>
            <w:shd w:val="clear" w:color="auto" w:fill="D9D9D9" w:themeFill="background1" w:themeFillShade="D9"/>
          </w:tcPr>
          <w:p w14:paraId="5856CA16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CD66BA" w14:paraId="4ACA2CB4" w14:textId="77777777" w:rsidTr="00EB49D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A618CF6" w14:textId="77777777" w:rsidR="00F0580E" w:rsidRDefault="00F0580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69BC45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7268632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9AFCE7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588F9CCA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7EE620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574F0CF3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0EB0B06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05" w:type="dxa"/>
            <w:vMerge/>
            <w:shd w:val="clear" w:color="auto" w:fill="D9D9D9" w:themeFill="background1" w:themeFillShade="D9"/>
          </w:tcPr>
          <w:p w14:paraId="2B6B3482" w14:textId="77777777" w:rsidR="00F0580E" w:rsidRDefault="00F0580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CD66BA" w14:paraId="013FA97E" w14:textId="77777777" w:rsidTr="00EB49DE">
        <w:trPr>
          <w:trHeight w:val="6189"/>
        </w:trPr>
        <w:tc>
          <w:tcPr>
            <w:tcW w:w="846" w:type="dxa"/>
            <w:vAlign w:val="center"/>
          </w:tcPr>
          <w:p w14:paraId="3ED02E46" w14:textId="22FE9A6D" w:rsidR="00CD66BA" w:rsidRPr="00CD66BA" w:rsidRDefault="00B44664" w:rsidP="0027581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Half </w:t>
            </w:r>
            <w:r w:rsidR="00CD66BA" w:rsidRPr="00CD66BA">
              <w:rPr>
                <w:rFonts w:asciiTheme="minorHAnsi" w:hAnsiTheme="minorHAnsi" w:cstheme="minorHAnsi"/>
                <w:b/>
                <w:bCs/>
                <w:szCs w:val="22"/>
              </w:rPr>
              <w:t>Term 1</w:t>
            </w:r>
            <w:r w:rsidR="00085225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3ECEBE9" w14:textId="333BC22A" w:rsidR="00CD66BA" w:rsidRDefault="00085225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2 - Devising Log</w:t>
            </w:r>
          </w:p>
          <w:p w14:paraId="51B40819" w14:textId="77777777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DED1C35" w14:textId="1AF9E36C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3 Introduction and Mock – Texts in Practice </w:t>
            </w:r>
          </w:p>
          <w:p w14:paraId="45869217" w14:textId="77777777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BFF33B6" w14:textId="068AD715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1-</w:t>
            </w:r>
          </w:p>
          <w:p w14:paraId="5772F9B8" w14:textId="6079A1F4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Live Theatre Review</w:t>
            </w:r>
          </w:p>
          <w:p w14:paraId="563B06E5" w14:textId="77777777" w:rsidR="00575FC8" w:rsidRDefault="00575FC8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C59C026" w14:textId="77777777" w:rsidR="00275819" w:rsidRDefault="00275819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F466CA4" w14:textId="77777777" w:rsidR="00085225" w:rsidRDefault="00085225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C8D1CC5" w14:textId="77777777" w:rsidR="00CD66BA" w:rsidRPr="00CD66BA" w:rsidRDefault="00CD66BA" w:rsidP="0027581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11F399B" w14:textId="1BB7E452" w:rsidR="00CD66BA" w:rsidRDefault="00085225" w:rsidP="00CD66B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Refining and finalising coursework in preparation for hand in date in September. </w:t>
            </w:r>
          </w:p>
          <w:p w14:paraId="436F63D0" w14:textId="6484D702" w:rsidR="00085225" w:rsidRPr="00275819" w:rsidRDefault="00275819" w:rsidP="0027581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Reviewing the process of devising and evaluating the success of the final performance.</w:t>
            </w:r>
          </w:p>
          <w:p w14:paraId="290BDD6D" w14:textId="77777777" w:rsidR="00575FC8" w:rsidRDefault="00575FC8" w:rsidP="00575F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Live Theatre visit and exploration.</w:t>
            </w:r>
          </w:p>
          <w:p w14:paraId="473A5D16" w14:textId="77777777" w:rsidR="00575FC8" w:rsidRDefault="00575FC8" w:rsidP="00575F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Live theatre review practice using online and live theatre.</w:t>
            </w:r>
          </w:p>
          <w:p w14:paraId="77FDD2CE" w14:textId="77777777" w:rsidR="00575FC8" w:rsidRPr="00A62FFD" w:rsidRDefault="00575FC8" w:rsidP="00575F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Developing and interpreting a professionally published script into a performance.</w:t>
            </w:r>
          </w:p>
          <w:p w14:paraId="5F8D11A9" w14:textId="77777777" w:rsidR="00575FC8" w:rsidRDefault="00575FC8" w:rsidP="00575F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Rehearsal techniques to develop characters and learn lines of dialogue. </w:t>
            </w:r>
          </w:p>
          <w:p w14:paraId="3DA6D802" w14:textId="39EE0F3C" w:rsidR="00CD66BA" w:rsidRPr="00575FC8" w:rsidRDefault="00575FC8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and explaining the individual intentions for the scripted performance.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F570A37" w14:textId="6F98382F" w:rsidR="006223E7" w:rsidRPr="002B7FB0" w:rsidRDefault="002673F1" w:rsidP="002B7F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 (physical and vocal drama skills</w:t>
            </w:r>
            <w:r w:rsidR="00EB49DE">
              <w:rPr>
                <w:rFonts w:cstheme="minorHAnsi"/>
              </w:rPr>
              <w:t xml:space="preserve"> and production design elements).</w:t>
            </w:r>
          </w:p>
          <w:p w14:paraId="2448F824" w14:textId="7D9DF9B5" w:rsidR="00CD66BA" w:rsidRPr="006223E7" w:rsidRDefault="00085225" w:rsidP="006223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GCSE Drama style questions.</w:t>
            </w:r>
            <w:r w:rsidR="00CD66BA" w:rsidRPr="006223E7">
              <w:rPr>
                <w:rFonts w:cstheme="minorHAnsi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1E645160" w14:textId="77777777" w:rsidR="00CD66BA" w:rsidRDefault="00CD66BA">
            <w:pPr>
              <w:rPr>
                <w:rFonts w:cstheme="minorHAnsi"/>
                <w:sz w:val="18"/>
                <w:szCs w:val="18"/>
              </w:rPr>
            </w:pPr>
          </w:p>
          <w:p w14:paraId="6905156E" w14:textId="3BAD60EA" w:rsidR="00CE627F" w:rsidRPr="002F44D9" w:rsidRDefault="00085225" w:rsidP="00CE627F">
            <w:pPr>
              <w:shd w:val="clear" w:color="auto" w:fill="FFFFFF"/>
              <w:spacing w:line="312" w:lineRule="atLeast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Exemplar GCSE answers</w:t>
            </w:r>
          </w:p>
          <w:p w14:paraId="0992909E" w14:textId="4F5ACA06" w:rsidR="00CD66BA" w:rsidRPr="00CD66BA" w:rsidRDefault="00CD66BA" w:rsidP="00CD66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1D121532" w14:textId="77777777" w:rsidR="002B7FB0" w:rsidRDefault="00CD66BA" w:rsidP="00ED54C3">
            <w:pPr>
              <w:rPr>
                <w:rFonts w:asciiTheme="minorHAnsi" w:hAnsiTheme="minorHAnsi" w:cstheme="minorHAnsi"/>
                <w:szCs w:val="22"/>
              </w:rPr>
            </w:pPr>
            <w:r w:rsidRPr="00CD66BA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4382A639" w14:textId="77777777" w:rsidR="002B7FB0" w:rsidRDefault="00CD66BA" w:rsidP="00ED54C3">
            <w:pPr>
              <w:rPr>
                <w:rFonts w:asciiTheme="minorHAnsi" w:hAnsiTheme="minorHAnsi" w:cstheme="minorHAnsi"/>
                <w:szCs w:val="22"/>
              </w:rPr>
            </w:pPr>
            <w:r w:rsidRPr="00CD66BA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246847D8" w14:textId="3308CCF5" w:rsidR="002B7FB0" w:rsidRDefault="002B7FB0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Development</w:t>
            </w:r>
          </w:p>
          <w:p w14:paraId="1B497532" w14:textId="2DF1FCA5" w:rsidR="002B7FB0" w:rsidRDefault="002B7FB0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Refinement</w:t>
            </w:r>
          </w:p>
          <w:p w14:paraId="473FC4D4" w14:textId="48096524" w:rsidR="002B7FB0" w:rsidRDefault="002B7FB0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Problem Solving</w:t>
            </w:r>
          </w:p>
          <w:p w14:paraId="6A28FE99" w14:textId="77777777" w:rsidR="002B7FB0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Stage Configurations </w:t>
            </w:r>
          </w:p>
          <w:p w14:paraId="41BC137E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Stage positioning</w:t>
            </w:r>
          </w:p>
          <w:p w14:paraId="4C6D244E" w14:textId="4F4D7908" w:rsidR="002B7FB0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Roles and responsibilities Director</w:t>
            </w:r>
          </w:p>
          <w:p w14:paraId="5D40E2FA" w14:textId="77777777" w:rsidR="002B7FB0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Designer</w:t>
            </w:r>
          </w:p>
          <w:p w14:paraId="4EF20034" w14:textId="77777777" w:rsidR="002B7FB0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Review</w:t>
            </w:r>
          </w:p>
          <w:p w14:paraId="30CEE7AE" w14:textId="77777777" w:rsidR="002B7FB0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Theatre design</w:t>
            </w:r>
          </w:p>
          <w:p w14:paraId="1DD7BC8A" w14:textId="77777777" w:rsidR="002B7FB0" w:rsidRDefault="00085225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Context</w:t>
            </w:r>
          </w:p>
          <w:p w14:paraId="386E65D1" w14:textId="77777777" w:rsidR="002B7FB0" w:rsidRDefault="00085225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56C2AE7A" w14:textId="7E44CBAD" w:rsidR="00CD66BA" w:rsidRPr="00CD66BA" w:rsidRDefault="00085225" w:rsidP="00ED5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Status</w:t>
            </w:r>
          </w:p>
        </w:tc>
        <w:tc>
          <w:tcPr>
            <w:tcW w:w="2105" w:type="dxa"/>
            <w:vAlign w:val="center"/>
          </w:tcPr>
          <w:p w14:paraId="0792E6E0" w14:textId="77777777" w:rsidR="00575FC8" w:rsidRDefault="00081B72" w:rsidP="00575F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</w:t>
            </w:r>
            <w:r w:rsidR="00575FC8">
              <w:rPr>
                <w:rFonts w:asciiTheme="minorHAnsi" w:hAnsiTheme="minorHAnsi" w:cstheme="minorHAnsi"/>
                <w:szCs w:val="22"/>
              </w:rPr>
              <w:t xml:space="preserve">will visit Liverpool Playhouse to watch ‘Wonder Boy’ in preparation for Section C of Component 1. </w:t>
            </w:r>
          </w:p>
          <w:p w14:paraId="5A7AB862" w14:textId="77777777" w:rsidR="00575FC8" w:rsidRDefault="00575FC8" w:rsidP="00575FC8">
            <w:pPr>
              <w:rPr>
                <w:rFonts w:asciiTheme="minorHAnsi" w:hAnsiTheme="minorHAnsi" w:cstheme="minorHAnsi"/>
                <w:szCs w:val="22"/>
              </w:rPr>
            </w:pPr>
          </w:p>
          <w:p w14:paraId="3F99903F" w14:textId="1D4E8215" w:rsidR="00081B72" w:rsidRPr="00EB49DE" w:rsidRDefault="00575FC8" w:rsidP="00575F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will watch online professional versions of their assigned text for their practical exam. </w:t>
            </w:r>
          </w:p>
        </w:tc>
      </w:tr>
      <w:tr w:rsidR="00275819" w14:paraId="30B66E8F" w14:textId="77777777" w:rsidTr="00EB49DE">
        <w:trPr>
          <w:trHeight w:val="6189"/>
        </w:trPr>
        <w:tc>
          <w:tcPr>
            <w:tcW w:w="846" w:type="dxa"/>
            <w:vAlign w:val="center"/>
          </w:tcPr>
          <w:p w14:paraId="5A4BC0F3" w14:textId="3EF1C648" w:rsidR="00275819" w:rsidRDefault="00275819" w:rsidP="0027581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Half Term 2</w:t>
            </w:r>
          </w:p>
        </w:tc>
        <w:tc>
          <w:tcPr>
            <w:tcW w:w="1984" w:type="dxa"/>
            <w:vAlign w:val="center"/>
          </w:tcPr>
          <w:p w14:paraId="041733C4" w14:textId="77777777" w:rsidR="00275819" w:rsidRPr="00CD66BA" w:rsidRDefault="00275819" w:rsidP="0027581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1 – Section A, B and C</w:t>
            </w:r>
          </w:p>
          <w:p w14:paraId="2735FEF3" w14:textId="77777777" w:rsidR="00275819" w:rsidRDefault="00275819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D8DE708" w14:textId="77777777" w:rsidR="00575FC8" w:rsidRDefault="00575FC8" w:rsidP="00575F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Recapping core knowledge and terminology of performance skills, roles and responsibilities, theatre design and Blood Brothers related information.</w:t>
            </w:r>
          </w:p>
          <w:p w14:paraId="68928110" w14:textId="1EF81582" w:rsidR="003357A5" w:rsidRDefault="00275819" w:rsidP="0027581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Recapping Key moments from Bloo</w:t>
            </w:r>
            <w:r w:rsidR="00575FC8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Brothers and exploring </w:t>
            </w:r>
            <w:r w:rsidR="003357A5">
              <w:rPr>
                <w:rFonts w:cstheme="minorHAnsi"/>
              </w:rPr>
              <w:t xml:space="preserve">production elements. </w:t>
            </w:r>
          </w:p>
          <w:p w14:paraId="1BC1093C" w14:textId="066F17BB" w:rsidR="00275819" w:rsidRPr="003357A5" w:rsidRDefault="00275819" w:rsidP="003357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GCSE style questions and structures.</w:t>
            </w:r>
          </w:p>
          <w:p w14:paraId="4A6CB60F" w14:textId="77777777" w:rsidR="00275819" w:rsidRDefault="00275819" w:rsidP="0027581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Preparation for January mocks. </w:t>
            </w:r>
          </w:p>
          <w:p w14:paraId="04358A1A" w14:textId="303D5595" w:rsidR="000152D4" w:rsidRDefault="000152D4" w:rsidP="0027581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and refining analytical writing skills using WHAT, HOW, WHY approach. </w:t>
            </w:r>
          </w:p>
          <w:p w14:paraId="37E96215" w14:textId="0F647E7F" w:rsidR="00575FC8" w:rsidRPr="00085225" w:rsidRDefault="00575FC8" w:rsidP="0027581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Live theatre review practice using online and live theatre</w:t>
            </w:r>
          </w:p>
          <w:p w14:paraId="5D826D7E" w14:textId="77777777" w:rsidR="00275819" w:rsidRDefault="00275819" w:rsidP="003357A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1907255" w14:textId="09815E7A" w:rsidR="000152D4" w:rsidRPr="002B7FB0" w:rsidRDefault="000152D4" w:rsidP="002B7F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 (physical and vocal drama skills and production design elements).</w:t>
            </w:r>
          </w:p>
          <w:p w14:paraId="4197970B" w14:textId="4BF36E0A" w:rsidR="002B7FB0" w:rsidRPr="002B7FB0" w:rsidRDefault="000152D4" w:rsidP="002B7F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GCSE Drama style questions</w:t>
            </w:r>
          </w:p>
          <w:p w14:paraId="6FAF63F8" w14:textId="2BDD4056" w:rsidR="002B7FB0" w:rsidRDefault="002B7FB0" w:rsidP="00015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Character recap tasks.</w:t>
            </w:r>
          </w:p>
        </w:tc>
        <w:tc>
          <w:tcPr>
            <w:tcW w:w="2221" w:type="dxa"/>
            <w:vAlign w:val="center"/>
          </w:tcPr>
          <w:p w14:paraId="040604D5" w14:textId="2F814D5C" w:rsidR="00575FC8" w:rsidRPr="002F44D9" w:rsidRDefault="002B7FB0" w:rsidP="00575FC8">
            <w:pPr>
              <w:shd w:val="clear" w:color="auto" w:fill="FFFFFF"/>
              <w:spacing w:line="312" w:lineRule="atLeast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lang w:eastAsia="en-GB"/>
              </w:rPr>
            </w:pPr>
            <w:r w:rsidRPr="002B7FB0">
              <w:rPr>
                <w:rFonts w:asciiTheme="minorHAnsi" w:hAnsiTheme="minorHAnsi" w:cstheme="minorHAnsi"/>
                <w:szCs w:val="22"/>
              </w:rPr>
              <w:t>Live Theatre Review</w:t>
            </w:r>
            <w:r w:rsidR="00575FC8">
              <w:rPr>
                <w:rFonts w:asciiTheme="minorHAnsi" w:hAnsiTheme="minorHAnsi" w:cstheme="minorHAnsi"/>
                <w:szCs w:val="22"/>
              </w:rPr>
              <w:t>/</w:t>
            </w:r>
            <w:r w:rsidR="00575FC8">
              <w:rPr>
                <w:rFonts w:asciiTheme="minorHAnsi" w:hAnsiTheme="minorHAnsi" w:cstheme="minorHAnsi"/>
              </w:rPr>
              <w:t xml:space="preserve"> Exemplar GCSE answers</w:t>
            </w:r>
          </w:p>
          <w:p w14:paraId="369B2232" w14:textId="75F412C7" w:rsidR="00275819" w:rsidRPr="002B7FB0" w:rsidRDefault="00275819" w:rsidP="002B7F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66E179A1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Stage positioning</w:t>
            </w:r>
          </w:p>
          <w:p w14:paraId="730402CE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Roles and responsibilities Director</w:t>
            </w:r>
          </w:p>
          <w:p w14:paraId="7BEC998F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Designer</w:t>
            </w:r>
          </w:p>
          <w:p w14:paraId="3ECC058D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Review</w:t>
            </w:r>
          </w:p>
          <w:p w14:paraId="33FDBCC7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Theatre design</w:t>
            </w:r>
          </w:p>
          <w:p w14:paraId="283FEDDE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Context</w:t>
            </w:r>
          </w:p>
          <w:p w14:paraId="379533BE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52EBB921" w14:textId="77777777" w:rsidR="00275819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Status</w:t>
            </w:r>
          </w:p>
          <w:p w14:paraId="0775284B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Spatial awareness</w:t>
            </w:r>
          </w:p>
          <w:p w14:paraId="5CB2B4A5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Spatial Skills</w:t>
            </w:r>
          </w:p>
          <w:p w14:paraId="7F069C2F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787BB0CD" w14:textId="117E0747" w:rsidR="002B7FB0" w:rsidRPr="00CD66BA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Physical Skills </w:t>
            </w:r>
          </w:p>
        </w:tc>
        <w:tc>
          <w:tcPr>
            <w:tcW w:w="2105" w:type="dxa"/>
            <w:vAlign w:val="center"/>
          </w:tcPr>
          <w:p w14:paraId="3763A2B9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 w:rsidRPr="00EB49DE">
              <w:rPr>
                <w:rFonts w:asciiTheme="minorHAnsi" w:hAnsiTheme="minorHAnsi" w:cstheme="minorHAnsi"/>
                <w:szCs w:val="22"/>
              </w:rPr>
              <w:t>Students learn about various careers in the drama industry.</w:t>
            </w:r>
          </w:p>
          <w:p w14:paraId="046656F2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</w:p>
          <w:p w14:paraId="65223D2E" w14:textId="77777777" w:rsidR="002B7FB0" w:rsidRDefault="002B7FB0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Developing understanding of the context of Liverpool (surrounding area) in 1960s. </w:t>
            </w:r>
            <w:r w:rsidRPr="00EB49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5BF30A9" w14:textId="77777777" w:rsidR="00D5077B" w:rsidRDefault="00D5077B" w:rsidP="002B7FB0">
            <w:pPr>
              <w:rPr>
                <w:rFonts w:asciiTheme="minorHAnsi" w:hAnsiTheme="minorHAnsi" w:cstheme="minorHAnsi"/>
                <w:szCs w:val="22"/>
              </w:rPr>
            </w:pPr>
          </w:p>
          <w:p w14:paraId="4C5FB645" w14:textId="3C7824A1" w:rsidR="00D5077B" w:rsidRDefault="00D5077B" w:rsidP="002B7F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 school production rehearsals</w:t>
            </w:r>
            <w:r w:rsidR="00A62FFD">
              <w:rPr>
                <w:rFonts w:asciiTheme="minorHAnsi" w:hAnsiTheme="minorHAnsi" w:cstheme="minorHAnsi"/>
                <w:szCs w:val="22"/>
              </w:rPr>
              <w:t>.</w:t>
            </w:r>
          </w:p>
          <w:p w14:paraId="06B9B912" w14:textId="77777777" w:rsidR="00D5077B" w:rsidRDefault="00D5077B" w:rsidP="002B7FB0">
            <w:pPr>
              <w:rPr>
                <w:rFonts w:asciiTheme="minorHAnsi" w:hAnsiTheme="minorHAnsi" w:cstheme="minorHAnsi"/>
                <w:szCs w:val="22"/>
              </w:rPr>
            </w:pPr>
          </w:p>
          <w:p w14:paraId="243C651F" w14:textId="77777777" w:rsidR="00D5077B" w:rsidRDefault="00D5077B" w:rsidP="002B7FB0">
            <w:pPr>
              <w:rPr>
                <w:rFonts w:asciiTheme="minorHAnsi" w:hAnsiTheme="minorHAnsi" w:cstheme="minorHAnsi"/>
                <w:szCs w:val="22"/>
              </w:rPr>
            </w:pPr>
          </w:p>
          <w:p w14:paraId="3C3AA41B" w14:textId="77777777" w:rsidR="00275819" w:rsidRDefault="00275819" w:rsidP="00EB49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6B3E" w14:paraId="10983D32" w14:textId="77777777" w:rsidTr="000502D1">
        <w:trPr>
          <w:trHeight w:val="6005"/>
        </w:trPr>
        <w:tc>
          <w:tcPr>
            <w:tcW w:w="846" w:type="dxa"/>
            <w:vAlign w:val="center"/>
          </w:tcPr>
          <w:p w14:paraId="077AC575" w14:textId="50A02495" w:rsidR="00776B3E" w:rsidRDefault="00776B3E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Half Term </w:t>
            </w:r>
            <w:r w:rsidR="00081B72">
              <w:rPr>
                <w:rFonts w:asciiTheme="minorHAnsi" w:hAnsiTheme="minorHAnsi" w:cstheme="minorHAnsi"/>
                <w:b/>
                <w:bCs/>
                <w:szCs w:val="22"/>
              </w:rPr>
              <w:t xml:space="preserve">3 </w:t>
            </w:r>
          </w:p>
        </w:tc>
        <w:tc>
          <w:tcPr>
            <w:tcW w:w="1984" w:type="dxa"/>
            <w:vAlign w:val="center"/>
          </w:tcPr>
          <w:p w14:paraId="18E85705" w14:textId="77777777" w:rsidR="00776B3E" w:rsidRDefault="00EB49DE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</w:t>
            </w:r>
            <w:r w:rsidR="00081B72">
              <w:rPr>
                <w:rFonts w:asciiTheme="minorHAnsi" w:hAnsiTheme="minorHAnsi" w:cstheme="minorHAnsi"/>
                <w:b/>
                <w:bCs/>
                <w:szCs w:val="22"/>
              </w:rPr>
              <w:t>3 – Texts in Practice</w:t>
            </w:r>
          </w:p>
          <w:p w14:paraId="703253B5" w14:textId="77777777" w:rsidR="00081B72" w:rsidRDefault="00081B72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BF5BD79" w14:textId="7C24FF2F" w:rsidR="00081B72" w:rsidRPr="00CD66BA" w:rsidRDefault="00081B72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1 – </w:t>
            </w:r>
            <w:r w:rsidR="00575FC8">
              <w:rPr>
                <w:rFonts w:asciiTheme="minorHAnsi" w:hAnsiTheme="minorHAnsi" w:cstheme="minorHAnsi"/>
                <w:b/>
                <w:bCs/>
                <w:szCs w:val="22"/>
              </w:rPr>
              <w:t>Section A, B C</w:t>
            </w:r>
          </w:p>
        </w:tc>
        <w:tc>
          <w:tcPr>
            <w:tcW w:w="3261" w:type="dxa"/>
            <w:vAlign w:val="center"/>
          </w:tcPr>
          <w:p w14:paraId="5478DCD9" w14:textId="4B9D8F12" w:rsidR="00081B72" w:rsidRPr="00A62FFD" w:rsidRDefault="00081B72" w:rsidP="00A62F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Developing and interpreting a professionally published script into a performance.</w:t>
            </w:r>
          </w:p>
          <w:p w14:paraId="590BFC57" w14:textId="13D69552" w:rsidR="00081B72" w:rsidRDefault="00081B72" w:rsidP="00081B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Rehearsal techniques to develop characters and learn lines of dialogue. </w:t>
            </w:r>
          </w:p>
          <w:p w14:paraId="12C0CC16" w14:textId="23FAB562" w:rsidR="00EB49DE" w:rsidRDefault="00A62FFD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and explaining t</w:t>
            </w:r>
            <w:r w:rsidR="00CC4ECC">
              <w:rPr>
                <w:rFonts w:cstheme="minorHAnsi"/>
              </w:rPr>
              <w:t xml:space="preserve">he individual intentions for the scripted performance. </w:t>
            </w:r>
          </w:p>
          <w:p w14:paraId="0563E27D" w14:textId="5379A112" w:rsidR="00575FC8" w:rsidRPr="00CC4ECC" w:rsidRDefault="00575FC8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Responding to feedback from mock exam and improving the quality of writing in Section A, B and C of the written exam. </w:t>
            </w:r>
          </w:p>
          <w:p w14:paraId="3113D246" w14:textId="77777777" w:rsidR="0021506C" w:rsidRDefault="00081B72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</w:t>
            </w:r>
            <w:r w:rsidR="00CC4ECC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ping understanding of the live theatre review through practise questions and exam structures. </w:t>
            </w:r>
          </w:p>
          <w:p w14:paraId="3F9D4231" w14:textId="77777777" w:rsidR="00CC4ECC" w:rsidRDefault="00CC4ECC" w:rsidP="00CC4ECC">
            <w:pPr>
              <w:rPr>
                <w:rFonts w:asciiTheme="minorHAnsi" w:hAnsiTheme="minorHAnsi" w:cstheme="minorHAnsi"/>
                <w:szCs w:val="22"/>
              </w:rPr>
            </w:pPr>
          </w:p>
          <w:p w14:paraId="6D7285A0" w14:textId="408900EB" w:rsidR="00CC4ECC" w:rsidRPr="00CC4ECC" w:rsidRDefault="00CC4ECC" w:rsidP="00CC4ECC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C17002B" w14:textId="510BE3E5" w:rsidR="00EB49DE" w:rsidRPr="00CC4ECC" w:rsidRDefault="00340E29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  <w:r w:rsidR="00EB49DE">
              <w:rPr>
                <w:rFonts w:cstheme="minorHAnsi"/>
              </w:rPr>
              <w:t>.</w:t>
            </w:r>
          </w:p>
          <w:p w14:paraId="63E7E6DA" w14:textId="05D6330E" w:rsidR="00EB49DE" w:rsidRPr="00CC4ECC" w:rsidRDefault="00EB49DE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Recall </w:t>
            </w:r>
            <w:r w:rsidR="00CC4ECC">
              <w:rPr>
                <w:rFonts w:cstheme="minorHAnsi"/>
              </w:rPr>
              <w:t xml:space="preserve">key </w:t>
            </w:r>
            <w:r>
              <w:rPr>
                <w:rFonts w:cstheme="minorHAnsi"/>
              </w:rPr>
              <w:t>information from Blood Brothers</w:t>
            </w:r>
            <w:r w:rsidR="00CC4ECC">
              <w:rPr>
                <w:rFonts w:cstheme="minorHAnsi"/>
              </w:rPr>
              <w:t xml:space="preserve"> – playwright, dates, contexts. </w:t>
            </w:r>
          </w:p>
          <w:p w14:paraId="7DAF5340" w14:textId="3F147DA9" w:rsidR="00081B72" w:rsidRPr="00CC4ECC" w:rsidRDefault="00EB49DE" w:rsidP="00CC4E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Practising writing techniques and approaches</w:t>
            </w:r>
          </w:p>
          <w:p w14:paraId="5D7D2D94" w14:textId="52A5F5F8" w:rsidR="00340E29" w:rsidRPr="000502D1" w:rsidRDefault="00081B72" w:rsidP="000502D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Hot seating activities to check understanding and knowledge of character.</w:t>
            </w:r>
          </w:p>
        </w:tc>
        <w:tc>
          <w:tcPr>
            <w:tcW w:w="2221" w:type="dxa"/>
            <w:vAlign w:val="center"/>
          </w:tcPr>
          <w:p w14:paraId="264A7AAE" w14:textId="781C10CF" w:rsidR="00776B3E" w:rsidRPr="002F44D9" w:rsidRDefault="00081B72" w:rsidP="002F44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National Theatre Review</w:t>
            </w:r>
            <w:r w:rsidR="00EB49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0374988C" w14:textId="77777777" w:rsidR="00CC4ECC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Analyse</w:t>
            </w:r>
          </w:p>
          <w:p w14:paraId="46B5962C" w14:textId="77777777" w:rsidR="00CC4ECC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Evaluate</w:t>
            </w:r>
          </w:p>
          <w:p w14:paraId="25DEFF89" w14:textId="77777777" w:rsidR="00CC4ECC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Symbolising</w:t>
            </w:r>
          </w:p>
          <w:p w14:paraId="68771E97" w14:textId="77777777" w:rsidR="00CC4ECC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Design</w:t>
            </w:r>
          </w:p>
          <w:p w14:paraId="3CB10327" w14:textId="77777777" w:rsidR="00CC4ECC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Performance Skills Characterisation</w:t>
            </w:r>
          </w:p>
          <w:p w14:paraId="3CC14F02" w14:textId="77777777" w:rsidR="00776B3E" w:rsidRDefault="00081B72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Intentions</w:t>
            </w:r>
          </w:p>
          <w:p w14:paraId="06386818" w14:textId="77777777" w:rsidR="00CC4ECC" w:rsidRDefault="00CC4ECC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Development</w:t>
            </w:r>
          </w:p>
          <w:p w14:paraId="12513EFA" w14:textId="28CD7803" w:rsidR="00CC4ECC" w:rsidRPr="00CD66BA" w:rsidRDefault="00377DCB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Refinement</w:t>
            </w:r>
          </w:p>
        </w:tc>
        <w:tc>
          <w:tcPr>
            <w:tcW w:w="2105" w:type="dxa"/>
            <w:vAlign w:val="center"/>
          </w:tcPr>
          <w:p w14:paraId="1DAA02AA" w14:textId="153D303C" w:rsidR="00776B3E" w:rsidRDefault="00081B72" w:rsidP="00CD66B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Students will study</w:t>
            </w:r>
            <w:r w:rsidR="00575FC8">
              <w:rPr>
                <w:rFonts w:asciiTheme="minorHAnsi" w:hAnsiTheme="minorHAnsi" w:cstheme="minorHAnsi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Cs w:val="22"/>
              </w:rPr>
              <w:t xml:space="preserve"> live and professional piece of theatre. </w:t>
            </w:r>
            <w:r w:rsidR="00EB49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5ADAA7" w14:textId="77777777" w:rsidR="00377DCB" w:rsidRDefault="00377DCB" w:rsidP="00CD66BA">
            <w:pPr>
              <w:rPr>
                <w:rFonts w:asciiTheme="minorHAnsi" w:hAnsiTheme="minorHAnsi" w:cstheme="minorHAnsi"/>
                <w:szCs w:val="22"/>
              </w:rPr>
            </w:pPr>
          </w:p>
          <w:p w14:paraId="45832816" w14:textId="77777777" w:rsidR="00377DCB" w:rsidRDefault="00377DCB" w:rsidP="00377D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 school production rehearsals.</w:t>
            </w:r>
          </w:p>
          <w:p w14:paraId="51E9C786" w14:textId="7A15C140" w:rsidR="00377DCB" w:rsidRPr="00CD66BA" w:rsidRDefault="00377DCB" w:rsidP="00CD66B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4ECC" w14:paraId="6232887A" w14:textId="77777777" w:rsidTr="000502D1">
        <w:trPr>
          <w:trHeight w:val="6005"/>
        </w:trPr>
        <w:tc>
          <w:tcPr>
            <w:tcW w:w="846" w:type="dxa"/>
            <w:vAlign w:val="center"/>
          </w:tcPr>
          <w:p w14:paraId="259F52C7" w14:textId="55616D41" w:rsidR="00CC4ECC" w:rsidRDefault="00377DCB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Half Term 4</w:t>
            </w:r>
          </w:p>
        </w:tc>
        <w:tc>
          <w:tcPr>
            <w:tcW w:w="1984" w:type="dxa"/>
            <w:vAlign w:val="center"/>
          </w:tcPr>
          <w:p w14:paraId="27929ADD" w14:textId="77777777" w:rsidR="00377DCB" w:rsidRDefault="00377DCB" w:rsidP="00377D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3 – Texts in Practice</w:t>
            </w:r>
          </w:p>
          <w:p w14:paraId="3E4BD72B" w14:textId="77777777" w:rsidR="00377DCB" w:rsidRDefault="00377DCB" w:rsidP="00377D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C3771C9" w14:textId="30AE3797" w:rsidR="00CC4ECC" w:rsidRDefault="00377DCB" w:rsidP="00377D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1 – </w:t>
            </w:r>
            <w:r w:rsidR="000A36EE">
              <w:rPr>
                <w:rFonts w:asciiTheme="minorHAnsi" w:hAnsiTheme="minorHAnsi" w:cstheme="minorHAnsi"/>
                <w:b/>
                <w:bCs/>
                <w:szCs w:val="22"/>
              </w:rPr>
              <w:t>Section A, B and C</w:t>
            </w:r>
          </w:p>
        </w:tc>
        <w:tc>
          <w:tcPr>
            <w:tcW w:w="3261" w:type="dxa"/>
            <w:vAlign w:val="center"/>
          </w:tcPr>
          <w:p w14:paraId="4558865E" w14:textId="77777777" w:rsidR="000A36EE" w:rsidRDefault="000A36EE" w:rsidP="00A62F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Rehearsal and refinement of scripted extracts in preparation for performance exam. </w:t>
            </w:r>
          </w:p>
          <w:p w14:paraId="39411777" w14:textId="77777777" w:rsidR="00CC4ECC" w:rsidRDefault="00CC4ECC" w:rsidP="00A62F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Performing Texts in Practice extracts to a visiting examiner.</w:t>
            </w:r>
          </w:p>
          <w:p w14:paraId="51210894" w14:textId="77777777" w:rsidR="000A36EE" w:rsidRDefault="004C0054" w:rsidP="00A62F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and refining writing techniques in drama towards the Component 1 exam. </w:t>
            </w:r>
          </w:p>
          <w:p w14:paraId="3C2CC582" w14:textId="77777777" w:rsidR="004C0054" w:rsidRDefault="004C0054" w:rsidP="00A62F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analytical and evaluative </w:t>
            </w:r>
            <w:r w:rsidR="009C7B64">
              <w:rPr>
                <w:rFonts w:cstheme="minorHAnsi"/>
              </w:rPr>
              <w:t>skills towards the theatre review.</w:t>
            </w:r>
          </w:p>
          <w:p w14:paraId="26150F87" w14:textId="6C66BD41" w:rsidR="009C7B64" w:rsidRPr="009C7B64" w:rsidRDefault="009C7B64" w:rsidP="009C7B64">
            <w:pPr>
              <w:ind w:left="360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E41A1E1" w14:textId="77777777" w:rsidR="009C7B64" w:rsidRPr="00CC4ECC" w:rsidRDefault="009C7B64" w:rsidP="009C7B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terminology.</w:t>
            </w:r>
          </w:p>
          <w:p w14:paraId="76EC147E" w14:textId="77777777" w:rsidR="009C7B64" w:rsidRPr="00CC4ECC" w:rsidRDefault="009C7B64" w:rsidP="009C7B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Recall key information from Blood Brothers – playwright, dates, contexts. </w:t>
            </w:r>
          </w:p>
          <w:p w14:paraId="59DB2B38" w14:textId="77777777" w:rsidR="009C7B64" w:rsidRPr="00CC4ECC" w:rsidRDefault="009C7B64" w:rsidP="009C7B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Practising writing techniques and approaches</w:t>
            </w:r>
          </w:p>
          <w:p w14:paraId="110169EA" w14:textId="70EE0567" w:rsidR="00CC4ECC" w:rsidRDefault="009C7B64" w:rsidP="00340E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Multiple choice questions. </w:t>
            </w:r>
          </w:p>
        </w:tc>
        <w:tc>
          <w:tcPr>
            <w:tcW w:w="2221" w:type="dxa"/>
            <w:vAlign w:val="center"/>
          </w:tcPr>
          <w:p w14:paraId="7E48EE80" w14:textId="480DD8FB" w:rsidR="00CC4ECC" w:rsidRDefault="009C7B64" w:rsidP="002F44D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National Theatre Review</w:t>
            </w:r>
          </w:p>
        </w:tc>
        <w:tc>
          <w:tcPr>
            <w:tcW w:w="2562" w:type="dxa"/>
            <w:vAlign w:val="center"/>
          </w:tcPr>
          <w:p w14:paraId="29ABD346" w14:textId="77777777" w:rsidR="00CC4ECC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73C1E1EF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14594853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Spatial Skills</w:t>
            </w:r>
          </w:p>
          <w:p w14:paraId="5DDEE746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Communication</w:t>
            </w:r>
          </w:p>
          <w:p w14:paraId="556F6D81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Symbolisation</w:t>
            </w:r>
          </w:p>
          <w:p w14:paraId="087AE36C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Audience</w:t>
            </w:r>
          </w:p>
          <w:p w14:paraId="4B215E9F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Intention</w:t>
            </w:r>
          </w:p>
          <w:p w14:paraId="101138CE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0EA6F31E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06E102EE" w14:textId="77777777" w:rsidR="00473579" w:rsidRDefault="00473579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Context</w:t>
            </w:r>
          </w:p>
          <w:p w14:paraId="337B0841" w14:textId="77777777" w:rsidR="007D15C1" w:rsidRDefault="007D15C1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Structure</w:t>
            </w:r>
          </w:p>
          <w:p w14:paraId="519C9D28" w14:textId="77777777" w:rsidR="0052071D" w:rsidRDefault="0052071D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</w:t>
            </w:r>
          </w:p>
          <w:p w14:paraId="78075086" w14:textId="77777777" w:rsidR="0052071D" w:rsidRDefault="0052071D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Explain</w:t>
            </w:r>
          </w:p>
          <w:p w14:paraId="59097738" w14:textId="77777777" w:rsidR="0052071D" w:rsidRDefault="0052071D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Analyse</w:t>
            </w:r>
          </w:p>
          <w:p w14:paraId="4EF2A30E" w14:textId="6D2FFC98" w:rsidR="0052071D" w:rsidRDefault="0052071D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Evaluate </w:t>
            </w:r>
          </w:p>
        </w:tc>
        <w:tc>
          <w:tcPr>
            <w:tcW w:w="2105" w:type="dxa"/>
            <w:vAlign w:val="center"/>
          </w:tcPr>
          <w:p w14:paraId="39A1E00F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will study and live and professional piece of theatre.  </w:t>
            </w:r>
          </w:p>
          <w:p w14:paraId="121D80C9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</w:p>
          <w:p w14:paraId="10E250A0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 school production rehearsals.</w:t>
            </w:r>
          </w:p>
          <w:p w14:paraId="4D6621FB" w14:textId="77777777" w:rsidR="00CC4ECC" w:rsidRDefault="00CC4ECC" w:rsidP="00CD66B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41CD" w14:paraId="68D132F2" w14:textId="77777777" w:rsidTr="00EB49DE">
        <w:trPr>
          <w:trHeight w:val="2845"/>
        </w:trPr>
        <w:tc>
          <w:tcPr>
            <w:tcW w:w="846" w:type="dxa"/>
            <w:vAlign w:val="center"/>
          </w:tcPr>
          <w:p w14:paraId="3806D5C9" w14:textId="709F8988" w:rsidR="005741CD" w:rsidRDefault="00612098" w:rsidP="007F729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 xml:space="preserve">Half Term </w:t>
            </w:r>
            <w:r w:rsidR="00081B72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9445D87" w14:textId="2DDAF745" w:rsidR="005741CD" w:rsidRPr="006D5A5E" w:rsidRDefault="00081B72" w:rsidP="006D5A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1 Revision and Exam Preparation </w:t>
            </w:r>
            <w:r w:rsidR="00EB49D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780E0CAA" w14:textId="132D3B28" w:rsidR="00081B72" w:rsidRPr="0052071D" w:rsidRDefault="00081B72" w:rsidP="0052071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Revising key terminology and knowledge.</w:t>
            </w:r>
          </w:p>
          <w:p w14:paraId="582ED906" w14:textId="381A4216" w:rsidR="00081B72" w:rsidRDefault="00081B72" w:rsidP="00EB49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Practise questions and feedback</w:t>
            </w:r>
            <w:r w:rsidR="0052071D">
              <w:rPr>
                <w:rFonts w:cstheme="minorHAnsi"/>
              </w:rPr>
              <w:t>.</w:t>
            </w:r>
          </w:p>
          <w:p w14:paraId="03C8D594" w14:textId="2256CC6A" w:rsidR="0052071D" w:rsidRDefault="0052071D" w:rsidP="00EB49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Refinement of writing skills and writing structures.</w:t>
            </w:r>
          </w:p>
          <w:p w14:paraId="1DD8D26E" w14:textId="20F1C8EB" w:rsidR="006D5A5E" w:rsidRPr="0052071D" w:rsidRDefault="006D5A5E" w:rsidP="005207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DAD3E5E" w14:textId="77777777" w:rsidR="006D5A5E" w:rsidRPr="002F44D9" w:rsidRDefault="006D5A5E" w:rsidP="002F44D9">
            <w:pPr>
              <w:rPr>
                <w:rFonts w:cstheme="minorHAnsi"/>
              </w:rPr>
            </w:pPr>
          </w:p>
          <w:p w14:paraId="56A70DD0" w14:textId="0BF279A1" w:rsidR="00081B72" w:rsidRPr="0052071D" w:rsidRDefault="00340E29" w:rsidP="0052071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2090B324" w14:textId="4BF6AD12" w:rsidR="00081B72" w:rsidRPr="0052071D" w:rsidRDefault="0052071D" w:rsidP="0052071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81B72" w:rsidRPr="00081B72">
              <w:rPr>
                <w:rFonts w:cstheme="minorHAnsi"/>
              </w:rPr>
              <w:t>erminology games</w:t>
            </w:r>
          </w:p>
          <w:p w14:paraId="2246B762" w14:textId="77777777" w:rsidR="009C7A37" w:rsidRDefault="00081B72" w:rsidP="00E13F5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81B72">
              <w:rPr>
                <w:rFonts w:cstheme="minorHAnsi"/>
              </w:rPr>
              <w:t>Revision task</w:t>
            </w:r>
            <w:r w:rsidR="000502D1">
              <w:rPr>
                <w:rFonts w:cstheme="minorHAnsi"/>
              </w:rPr>
              <w:t>s</w:t>
            </w:r>
          </w:p>
          <w:p w14:paraId="220D940A" w14:textId="2873BA4A" w:rsidR="0052071D" w:rsidRPr="000502D1" w:rsidRDefault="0052071D" w:rsidP="00E13F5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questions</w:t>
            </w:r>
          </w:p>
        </w:tc>
        <w:tc>
          <w:tcPr>
            <w:tcW w:w="2221" w:type="dxa"/>
            <w:vAlign w:val="center"/>
          </w:tcPr>
          <w:p w14:paraId="3B456CFF" w14:textId="772E8175" w:rsidR="006E17A0" w:rsidRDefault="0052071D" w:rsidP="00834B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National Theatre Review</w:t>
            </w:r>
          </w:p>
        </w:tc>
        <w:tc>
          <w:tcPr>
            <w:tcW w:w="2562" w:type="dxa"/>
            <w:vAlign w:val="center"/>
          </w:tcPr>
          <w:p w14:paraId="21D985E0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30F1B5EC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43DCE684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Spatial Skills</w:t>
            </w:r>
          </w:p>
          <w:p w14:paraId="0C84303F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Communication</w:t>
            </w:r>
          </w:p>
          <w:p w14:paraId="463B8FA4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Symbolisation</w:t>
            </w:r>
          </w:p>
          <w:p w14:paraId="76026D9A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Audience</w:t>
            </w:r>
          </w:p>
          <w:p w14:paraId="5633A3C8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Intention</w:t>
            </w:r>
          </w:p>
          <w:p w14:paraId="161F0CCC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403A991E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2310F7C8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Context</w:t>
            </w:r>
          </w:p>
          <w:p w14:paraId="5CFE6C00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Structure</w:t>
            </w:r>
          </w:p>
          <w:p w14:paraId="27822C9E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</w:t>
            </w:r>
          </w:p>
          <w:p w14:paraId="47F68376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Explain</w:t>
            </w:r>
          </w:p>
          <w:p w14:paraId="571E2C71" w14:textId="77777777" w:rsidR="0052071D" w:rsidRDefault="0052071D" w:rsidP="0052071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Analyse</w:t>
            </w:r>
          </w:p>
          <w:p w14:paraId="717352C4" w14:textId="3B9BDE71" w:rsidR="005741CD" w:rsidRPr="006E17A0" w:rsidRDefault="0052071D" w:rsidP="0052071D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Evaluate</w:t>
            </w:r>
          </w:p>
        </w:tc>
        <w:tc>
          <w:tcPr>
            <w:tcW w:w="2105" w:type="dxa"/>
            <w:vAlign w:val="center"/>
          </w:tcPr>
          <w:p w14:paraId="76CB1AD4" w14:textId="6843C004" w:rsidR="006E17A0" w:rsidRDefault="00081B72" w:rsidP="00816C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Students are exposed to live and professional theatre as they study and prepare for their exam. </w:t>
            </w:r>
            <w:r w:rsidR="006E17A0" w:rsidRPr="006E17A0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58758AD4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305BD071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4D584855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4EDBB115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5D25420D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7963DB3D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06DEB04B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281DEDE9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1F3CD41F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7BA25FE2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1F454AE7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405745AD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6F18DBCE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p w14:paraId="27B56580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F0580E" w14:paraId="25A30D10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7503961F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F0580E" w14:paraId="226DDD15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38E491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0A59300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B053872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2535844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0B5E97" w14:paraId="5D7F5F41" w14:textId="77777777">
        <w:trPr>
          <w:trHeight w:val="1108"/>
        </w:trPr>
        <w:tc>
          <w:tcPr>
            <w:tcW w:w="1838" w:type="dxa"/>
          </w:tcPr>
          <w:p w14:paraId="558F097A" w14:textId="09332206" w:rsidR="000B5E97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January </w:t>
            </w:r>
          </w:p>
        </w:tc>
        <w:tc>
          <w:tcPr>
            <w:tcW w:w="5387" w:type="dxa"/>
          </w:tcPr>
          <w:p w14:paraId="6B6B81C2" w14:textId="4D3E1E6F" w:rsidR="00DA5746" w:rsidRPr="00492891" w:rsidRDefault="00081B72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Mock exam of Component 1.</w:t>
            </w:r>
            <w:r w:rsidR="00180F1D">
              <w:rPr>
                <w:rFonts w:cstheme="minorHAnsi"/>
                <w:sz w:val="21"/>
              </w:rPr>
              <w:t xml:space="preserve"> </w:t>
            </w:r>
          </w:p>
        </w:tc>
        <w:tc>
          <w:tcPr>
            <w:tcW w:w="4316" w:type="dxa"/>
          </w:tcPr>
          <w:p w14:paraId="165DD3A9" w14:textId="0277A490" w:rsidR="000B5E97" w:rsidRDefault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To identify </w:t>
            </w:r>
            <w:r w:rsidR="00081B72">
              <w:rPr>
                <w:rFonts w:asciiTheme="minorHAnsi" w:hAnsiTheme="minorHAnsi" w:cstheme="minorHAnsi"/>
                <w:sz w:val="21"/>
                <w:szCs w:val="22"/>
              </w:rPr>
              <w:t xml:space="preserve">gaps in knowledge in preparation for exams in May. </w:t>
            </w:r>
          </w:p>
        </w:tc>
        <w:tc>
          <w:tcPr>
            <w:tcW w:w="3847" w:type="dxa"/>
          </w:tcPr>
          <w:p w14:paraId="0AB368D7" w14:textId="77777777" w:rsidR="000B5E97" w:rsidRDefault="000B5E97" w:rsidP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7E383005" w14:textId="77777777" w:rsidR="000B5E97" w:rsidRDefault="000B5E97" w:rsidP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  <w:p w14:paraId="4C9720F5" w14:textId="77777777" w:rsidR="00081B72" w:rsidRDefault="00081B72" w:rsidP="00081B72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 AQA GCSE Tracker</w:t>
            </w:r>
          </w:p>
          <w:p w14:paraId="288DA854" w14:textId="1FC9B814" w:rsidR="00081B72" w:rsidRDefault="00081B72" w:rsidP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  <w:tr w:rsidR="00F0580E" w14:paraId="1B0FA2B5" w14:textId="77777777">
        <w:trPr>
          <w:trHeight w:val="1108"/>
        </w:trPr>
        <w:tc>
          <w:tcPr>
            <w:tcW w:w="1838" w:type="dxa"/>
          </w:tcPr>
          <w:p w14:paraId="51A815D5" w14:textId="47FBD964" w:rsidR="00F0580E" w:rsidRDefault="00081B72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March</w:t>
            </w:r>
          </w:p>
        </w:tc>
        <w:tc>
          <w:tcPr>
            <w:tcW w:w="5387" w:type="dxa"/>
          </w:tcPr>
          <w:p w14:paraId="030225FB" w14:textId="214C0890" w:rsidR="00DA5746" w:rsidRPr="00492891" w:rsidRDefault="00081B72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Component 3 performance exam with visiting examiner. </w:t>
            </w:r>
          </w:p>
          <w:p w14:paraId="385A7CFF" w14:textId="5FB4F364" w:rsidR="00F0580E" w:rsidRDefault="00F0580E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4316" w:type="dxa"/>
          </w:tcPr>
          <w:p w14:paraId="027A1CB4" w14:textId="2B4AF3B8" w:rsidR="00F0580E" w:rsidRDefault="00081B72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This contributed towards 20% of the overall GCSE. 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  <w:r w:rsidR="0086689B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3847" w:type="dxa"/>
          </w:tcPr>
          <w:p w14:paraId="7749A159" w14:textId="77777777" w:rsidR="00492891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2D31BC70" w14:textId="77777777" w:rsidR="00F0580E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  <w:p w14:paraId="03422199" w14:textId="1D45425A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Performance recorded</w:t>
            </w:r>
          </w:p>
        </w:tc>
      </w:tr>
      <w:tr w:rsidR="00F0580E" w14:paraId="52ECE325" w14:textId="77777777">
        <w:trPr>
          <w:trHeight w:val="1108"/>
        </w:trPr>
        <w:tc>
          <w:tcPr>
            <w:tcW w:w="1838" w:type="dxa"/>
          </w:tcPr>
          <w:p w14:paraId="41E1AF1B" w14:textId="425F51BE" w:rsidR="00180F1D" w:rsidRDefault="00081B72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lastRenderedPageBreak/>
              <w:t xml:space="preserve">My </w:t>
            </w:r>
          </w:p>
        </w:tc>
        <w:tc>
          <w:tcPr>
            <w:tcW w:w="5387" w:type="dxa"/>
          </w:tcPr>
          <w:p w14:paraId="0A0775E1" w14:textId="18618CD4" w:rsidR="00180F1D" w:rsidRPr="00180F1D" w:rsidRDefault="00081B72" w:rsidP="00180F1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Component 1 exam </w:t>
            </w:r>
            <w:r w:rsidR="00180F1D">
              <w:rPr>
                <w:rFonts w:cstheme="minorHAnsi"/>
                <w:sz w:val="21"/>
              </w:rPr>
              <w:t xml:space="preserve"> </w:t>
            </w:r>
          </w:p>
        </w:tc>
        <w:tc>
          <w:tcPr>
            <w:tcW w:w="4316" w:type="dxa"/>
          </w:tcPr>
          <w:p w14:paraId="5B41EEC3" w14:textId="3B8FAD61" w:rsidR="00180F1D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T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his contributes towards </w:t>
            </w:r>
            <w:r w:rsidR="00081B72">
              <w:rPr>
                <w:rFonts w:asciiTheme="minorHAnsi" w:hAnsiTheme="minorHAnsi" w:cstheme="minorHAnsi"/>
                <w:sz w:val="21"/>
                <w:szCs w:val="22"/>
              </w:rPr>
              <w:t>4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0% of the overall GCSE.   </w:t>
            </w:r>
          </w:p>
        </w:tc>
        <w:tc>
          <w:tcPr>
            <w:tcW w:w="3847" w:type="dxa"/>
          </w:tcPr>
          <w:p w14:paraId="5B9C8F65" w14:textId="77777777" w:rsidR="00492891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3CF10285" w14:textId="5220507F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 AQA GCSE Tracker</w:t>
            </w:r>
          </w:p>
          <w:p w14:paraId="15C699C3" w14:textId="77777777" w:rsidR="00F0580E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  <w:p w14:paraId="54797791" w14:textId="11FB3988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  <w:tr w:rsidR="00081B72" w14:paraId="71440188" w14:textId="77777777" w:rsidTr="0076431B">
        <w:trPr>
          <w:trHeight w:val="1108"/>
        </w:trPr>
        <w:tc>
          <w:tcPr>
            <w:tcW w:w="15388" w:type="dxa"/>
            <w:gridSpan w:val="4"/>
          </w:tcPr>
          <w:p w14:paraId="7CEED3E5" w14:textId="65A5D0C4" w:rsidR="00081B72" w:rsidRDefault="00081B72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In class </w:t>
            </w:r>
            <w:r w:rsidR="00DB58AD">
              <w:rPr>
                <w:rFonts w:asciiTheme="minorHAnsi" w:hAnsiTheme="minorHAnsi" w:cstheme="minorHAnsi"/>
                <w:sz w:val="21"/>
                <w:szCs w:val="22"/>
              </w:rPr>
              <w:t xml:space="preserve">mocks and assessments will also take place in between these key assessment dates. Assessments and in class mocks will be chunked into different sections of the course throughout Year 11. </w:t>
            </w:r>
          </w:p>
        </w:tc>
      </w:tr>
    </w:tbl>
    <w:p w14:paraId="64D2EABD" w14:textId="77777777" w:rsidR="00F0580E" w:rsidRDefault="00F0580E">
      <w:pPr>
        <w:rPr>
          <w:sz w:val="21"/>
          <w:szCs w:val="22"/>
        </w:rPr>
      </w:pPr>
    </w:p>
    <w:sectPr w:rsidR="00F058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A58"/>
    <w:multiLevelType w:val="hybridMultilevel"/>
    <w:tmpl w:val="71B47F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B025FA"/>
    <w:multiLevelType w:val="hybridMultilevel"/>
    <w:tmpl w:val="37D4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DE3"/>
    <w:multiLevelType w:val="hybridMultilevel"/>
    <w:tmpl w:val="35AC5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DC0"/>
    <w:multiLevelType w:val="hybridMultilevel"/>
    <w:tmpl w:val="29CE4A06"/>
    <w:lvl w:ilvl="0" w:tplc="6A48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343"/>
    <w:multiLevelType w:val="hybridMultilevel"/>
    <w:tmpl w:val="48F8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3C2E"/>
    <w:multiLevelType w:val="hybridMultilevel"/>
    <w:tmpl w:val="5D70F3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D3D56"/>
    <w:multiLevelType w:val="hybridMultilevel"/>
    <w:tmpl w:val="4EF4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B23B0"/>
    <w:multiLevelType w:val="hybridMultilevel"/>
    <w:tmpl w:val="2AE2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D1E"/>
    <w:multiLevelType w:val="hybridMultilevel"/>
    <w:tmpl w:val="B08A5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4600">
    <w:abstractNumId w:val="3"/>
  </w:num>
  <w:num w:numId="2" w16cid:durableId="918977994">
    <w:abstractNumId w:val="8"/>
  </w:num>
  <w:num w:numId="3" w16cid:durableId="629632302">
    <w:abstractNumId w:val="5"/>
  </w:num>
  <w:num w:numId="4" w16cid:durableId="2085952456">
    <w:abstractNumId w:val="2"/>
  </w:num>
  <w:num w:numId="5" w16cid:durableId="1759476394">
    <w:abstractNumId w:val="4"/>
  </w:num>
  <w:num w:numId="6" w16cid:durableId="1005519860">
    <w:abstractNumId w:val="6"/>
  </w:num>
  <w:num w:numId="7" w16cid:durableId="678653802">
    <w:abstractNumId w:val="0"/>
  </w:num>
  <w:num w:numId="8" w16cid:durableId="1639800577">
    <w:abstractNumId w:val="7"/>
  </w:num>
  <w:num w:numId="9" w16cid:durableId="140811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E"/>
    <w:rsid w:val="000152D4"/>
    <w:rsid w:val="000502D1"/>
    <w:rsid w:val="00081B72"/>
    <w:rsid w:val="00085225"/>
    <w:rsid w:val="000A36EE"/>
    <w:rsid w:val="000B5E97"/>
    <w:rsid w:val="000D127A"/>
    <w:rsid w:val="00163B0D"/>
    <w:rsid w:val="00180F1D"/>
    <w:rsid w:val="001846F9"/>
    <w:rsid w:val="001F6EEF"/>
    <w:rsid w:val="00210743"/>
    <w:rsid w:val="0021506C"/>
    <w:rsid w:val="002673F1"/>
    <w:rsid w:val="00275819"/>
    <w:rsid w:val="002B7FB0"/>
    <w:rsid w:val="002D2646"/>
    <w:rsid w:val="002F44D9"/>
    <w:rsid w:val="003357A5"/>
    <w:rsid w:val="00340E29"/>
    <w:rsid w:val="00373B7E"/>
    <w:rsid w:val="00377DCB"/>
    <w:rsid w:val="00473579"/>
    <w:rsid w:val="00492891"/>
    <w:rsid w:val="004C0054"/>
    <w:rsid w:val="00502022"/>
    <w:rsid w:val="0052071D"/>
    <w:rsid w:val="00554D95"/>
    <w:rsid w:val="005741CD"/>
    <w:rsid w:val="00575FC8"/>
    <w:rsid w:val="005F0D19"/>
    <w:rsid w:val="006053A3"/>
    <w:rsid w:val="00612098"/>
    <w:rsid w:val="006223E7"/>
    <w:rsid w:val="006438E9"/>
    <w:rsid w:val="006D5A5E"/>
    <w:rsid w:val="006E17A0"/>
    <w:rsid w:val="007007B8"/>
    <w:rsid w:val="0070572D"/>
    <w:rsid w:val="007448A6"/>
    <w:rsid w:val="00776B3E"/>
    <w:rsid w:val="007D15C1"/>
    <w:rsid w:val="00834B66"/>
    <w:rsid w:val="00846878"/>
    <w:rsid w:val="0086689B"/>
    <w:rsid w:val="008838E8"/>
    <w:rsid w:val="008922C8"/>
    <w:rsid w:val="008A6962"/>
    <w:rsid w:val="009843DA"/>
    <w:rsid w:val="009C7A37"/>
    <w:rsid w:val="009C7B64"/>
    <w:rsid w:val="00A571AF"/>
    <w:rsid w:val="00A62FFD"/>
    <w:rsid w:val="00A92A5A"/>
    <w:rsid w:val="00B03E69"/>
    <w:rsid w:val="00B44664"/>
    <w:rsid w:val="00BE54BA"/>
    <w:rsid w:val="00CC4ECC"/>
    <w:rsid w:val="00CD66BA"/>
    <w:rsid w:val="00CE627F"/>
    <w:rsid w:val="00D14562"/>
    <w:rsid w:val="00D5077B"/>
    <w:rsid w:val="00D563CB"/>
    <w:rsid w:val="00DA5746"/>
    <w:rsid w:val="00DB58AD"/>
    <w:rsid w:val="00E13F59"/>
    <w:rsid w:val="00E76650"/>
    <w:rsid w:val="00E94585"/>
    <w:rsid w:val="00EB49DE"/>
    <w:rsid w:val="00F0580E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349B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2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627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E6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F245C3B78E469725053EE8389116" ma:contentTypeVersion="14" ma:contentTypeDescription="Create a new document." ma:contentTypeScope="" ma:versionID="f36c201741488367da383941ad404e09">
  <xsd:schema xmlns:xsd="http://www.w3.org/2001/XMLSchema" xmlns:xs="http://www.w3.org/2001/XMLSchema" xmlns:p="http://schemas.microsoft.com/office/2006/metadata/properties" xmlns:ns3="93881128-d0ef-4eee-bd17-56284ea1edca" xmlns:ns4="c4df99f1-e0d5-41cc-a765-a1da0078e7d5" targetNamespace="http://schemas.microsoft.com/office/2006/metadata/properties" ma:root="true" ma:fieldsID="ade933b1bfa2ba2c3972a7b7a4817d8d" ns3:_="" ns4:_="">
    <xsd:import namespace="93881128-d0ef-4eee-bd17-56284ea1edca"/>
    <xsd:import namespace="c4df99f1-e0d5-41cc-a765-a1da0078e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1128-d0ef-4eee-bd17-56284ea1e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99f1-e0d5-41cc-a765-a1da0078e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C051-AF36-4479-93A8-6BFABA02B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6A416-A65C-4EC0-A462-099342B6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1128-d0ef-4eee-bd17-56284ea1edca"/>
    <ds:schemaRef ds:uri="c4df99f1-e0d5-41cc-a765-a1da0078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5A1C6-AC24-4128-9605-83E1EC46F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144A55-7880-43AB-89EF-9A439CC2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Cawley E (Subject Leader of Drama)</cp:lastModifiedBy>
  <cp:revision>2</cp:revision>
  <dcterms:created xsi:type="dcterms:W3CDTF">2024-06-26T11:56:00Z</dcterms:created>
  <dcterms:modified xsi:type="dcterms:W3CDTF">2024-06-26T11:56:00Z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0x0101002B48F245C3B78E469725053EE8389116</vt:lpwstr>
  </property>
</Properties>
</file>