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AB" w:rsidRDefault="009A30B1" w:rsidP="002F09AB">
      <w:r>
        <w:rPr>
          <w:rFonts w:ascii="Noto Serif" w:hAnsi="Noto Serif" w:cs="Arial"/>
          <w:noProof/>
          <w:color w:val="E12064"/>
          <w:sz w:val="27"/>
          <w:szCs w:val="27"/>
          <w:lang w:eastAsia="en-GB"/>
        </w:rPr>
        <w:drawing>
          <wp:anchor distT="0" distB="0" distL="114300" distR="114300" simplePos="0" relativeHeight="251658240" behindDoc="0" locked="0" layoutInCell="1" allowOverlap="1">
            <wp:simplePos x="0" y="0"/>
            <wp:positionH relativeFrom="column">
              <wp:posOffset>971550</wp:posOffset>
            </wp:positionH>
            <wp:positionV relativeFrom="page">
              <wp:posOffset>914400</wp:posOffset>
            </wp:positionV>
            <wp:extent cx="3886200" cy="1238250"/>
            <wp:effectExtent l="0" t="0" r="0" b="0"/>
            <wp:wrapSquare wrapText="bothSides"/>
            <wp:docPr id="1" name="Picture 1" descr="Park Campus Academ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Campus Academ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1238250"/>
                    </a:xfrm>
                    <a:prstGeom prst="rect">
                      <a:avLst/>
                    </a:prstGeom>
                    <a:noFill/>
                    <a:ln>
                      <a:noFill/>
                    </a:ln>
                  </pic:spPr>
                </pic:pic>
              </a:graphicData>
            </a:graphic>
          </wp:anchor>
        </w:drawing>
      </w:r>
    </w:p>
    <w:p w:rsidR="002F09AB" w:rsidRDefault="002F09AB" w:rsidP="002F09AB"/>
    <w:p w:rsidR="002F09AB" w:rsidRDefault="002F09AB" w:rsidP="002F09AB">
      <w:pPr>
        <w:pStyle w:val="Default"/>
      </w:pPr>
    </w:p>
    <w:p w:rsidR="009A30B1" w:rsidRDefault="009A30B1" w:rsidP="002F09AB">
      <w:pPr>
        <w:pStyle w:val="Default"/>
        <w:jc w:val="center"/>
        <w:rPr>
          <w:b/>
          <w:bCs/>
          <w:sz w:val="72"/>
          <w:szCs w:val="72"/>
        </w:rPr>
      </w:pPr>
    </w:p>
    <w:p w:rsidR="009A30B1" w:rsidRDefault="009A30B1" w:rsidP="002F09AB">
      <w:pPr>
        <w:pStyle w:val="Default"/>
        <w:jc w:val="center"/>
        <w:rPr>
          <w:b/>
          <w:bCs/>
          <w:sz w:val="72"/>
          <w:szCs w:val="72"/>
        </w:rPr>
      </w:pPr>
    </w:p>
    <w:p w:rsidR="009A30B1" w:rsidRDefault="009A30B1" w:rsidP="002F09AB">
      <w:pPr>
        <w:pStyle w:val="Default"/>
        <w:jc w:val="center"/>
        <w:rPr>
          <w:b/>
          <w:bCs/>
          <w:sz w:val="72"/>
          <w:szCs w:val="72"/>
        </w:rPr>
      </w:pPr>
    </w:p>
    <w:p w:rsidR="002F09AB" w:rsidRPr="002F09AB" w:rsidRDefault="002F09AB" w:rsidP="002F09AB">
      <w:pPr>
        <w:pStyle w:val="Default"/>
        <w:jc w:val="center"/>
        <w:rPr>
          <w:sz w:val="72"/>
          <w:szCs w:val="72"/>
        </w:rPr>
      </w:pPr>
      <w:r w:rsidRPr="002F09AB">
        <w:rPr>
          <w:b/>
          <w:bCs/>
          <w:sz w:val="72"/>
          <w:szCs w:val="72"/>
        </w:rPr>
        <w:t>Exclusion Policy</w:t>
      </w:r>
    </w:p>
    <w:p w:rsidR="002F09AB" w:rsidRPr="002F09AB" w:rsidRDefault="002F09AB" w:rsidP="002F09AB">
      <w:pPr>
        <w:jc w:val="center"/>
        <w:rPr>
          <w:sz w:val="72"/>
          <w:szCs w:val="72"/>
        </w:rPr>
      </w:pPr>
      <w:r w:rsidRPr="002F09AB">
        <w:rPr>
          <w:b/>
          <w:bCs/>
          <w:sz w:val="72"/>
          <w:szCs w:val="72"/>
        </w:rPr>
        <w:t>A guide for parents and carers</w:t>
      </w:r>
    </w:p>
    <w:tbl>
      <w:tblPr>
        <w:tblStyle w:val="TableGrid"/>
        <w:tblpPr w:leftFromText="180" w:rightFromText="180" w:vertAnchor="page" w:horzAnchor="margin" w:tblpX="-431" w:tblpY="9286"/>
        <w:tblW w:w="10060" w:type="dxa"/>
        <w:tblLook w:val="04A0" w:firstRow="1" w:lastRow="0" w:firstColumn="1" w:lastColumn="0" w:noHBand="0" w:noVBand="1"/>
      </w:tblPr>
      <w:tblGrid>
        <w:gridCol w:w="3261"/>
        <w:gridCol w:w="2552"/>
        <w:gridCol w:w="2687"/>
        <w:gridCol w:w="1560"/>
      </w:tblGrid>
      <w:tr w:rsidR="002F09AB" w:rsidTr="00620862">
        <w:tc>
          <w:tcPr>
            <w:tcW w:w="3261" w:type="dxa"/>
          </w:tcPr>
          <w:p w:rsidR="002F09AB" w:rsidRPr="00620862" w:rsidRDefault="002F09AB" w:rsidP="00620862">
            <w:pPr>
              <w:rPr>
                <w:rFonts w:ascii="Arial" w:hAnsi="Arial" w:cs="Arial"/>
                <w:sz w:val="32"/>
                <w:szCs w:val="32"/>
              </w:rPr>
            </w:pPr>
          </w:p>
          <w:p w:rsidR="002F09AB" w:rsidRPr="00620862" w:rsidRDefault="002F09AB" w:rsidP="00620862">
            <w:pPr>
              <w:rPr>
                <w:rFonts w:ascii="Arial" w:hAnsi="Arial" w:cs="Arial"/>
                <w:sz w:val="32"/>
                <w:szCs w:val="32"/>
              </w:rPr>
            </w:pPr>
          </w:p>
          <w:p w:rsidR="002F09AB" w:rsidRPr="00620862" w:rsidRDefault="002F09AB" w:rsidP="00620862">
            <w:pPr>
              <w:rPr>
                <w:rFonts w:ascii="Arial" w:hAnsi="Arial" w:cs="Arial"/>
                <w:b/>
                <w:sz w:val="32"/>
                <w:szCs w:val="32"/>
                <w:u w:val="single"/>
              </w:rPr>
            </w:pPr>
            <w:r w:rsidRPr="00620862">
              <w:rPr>
                <w:rFonts w:ascii="Arial" w:hAnsi="Arial" w:cs="Arial"/>
                <w:b/>
                <w:sz w:val="32"/>
                <w:szCs w:val="32"/>
                <w:u w:val="single"/>
              </w:rPr>
              <w:t>Last Review Date:</w:t>
            </w:r>
          </w:p>
          <w:p w:rsidR="002F09AB" w:rsidRPr="00620862" w:rsidRDefault="002F09AB" w:rsidP="00620862">
            <w:pPr>
              <w:rPr>
                <w:rFonts w:ascii="Arial" w:hAnsi="Arial" w:cs="Arial"/>
                <w:sz w:val="32"/>
                <w:szCs w:val="32"/>
              </w:rPr>
            </w:pPr>
          </w:p>
          <w:p w:rsidR="002F09AB" w:rsidRPr="00620862" w:rsidRDefault="002F09AB" w:rsidP="00620862">
            <w:pPr>
              <w:rPr>
                <w:rFonts w:ascii="Arial" w:hAnsi="Arial" w:cs="Arial"/>
                <w:sz w:val="32"/>
                <w:szCs w:val="32"/>
              </w:rPr>
            </w:pPr>
          </w:p>
        </w:tc>
        <w:tc>
          <w:tcPr>
            <w:tcW w:w="2552" w:type="dxa"/>
          </w:tcPr>
          <w:p w:rsidR="002F09AB" w:rsidRPr="00620862" w:rsidRDefault="002F09AB" w:rsidP="00620862">
            <w:pPr>
              <w:rPr>
                <w:rFonts w:ascii="Arial" w:hAnsi="Arial" w:cs="Arial"/>
              </w:rPr>
            </w:pPr>
          </w:p>
          <w:p w:rsidR="002F09AB" w:rsidRPr="00620862" w:rsidRDefault="002F09AB" w:rsidP="00620862">
            <w:pPr>
              <w:rPr>
                <w:rFonts w:ascii="Arial" w:hAnsi="Arial" w:cs="Arial"/>
              </w:rPr>
            </w:pPr>
          </w:p>
          <w:p w:rsidR="002F09AB" w:rsidRPr="00620862" w:rsidRDefault="002F09AB" w:rsidP="00620862">
            <w:pPr>
              <w:jc w:val="center"/>
              <w:rPr>
                <w:rFonts w:ascii="Arial" w:hAnsi="Arial" w:cs="Arial"/>
                <w:b/>
                <w:sz w:val="28"/>
                <w:szCs w:val="28"/>
              </w:rPr>
            </w:pPr>
            <w:r w:rsidRPr="00620862">
              <w:rPr>
                <w:rFonts w:ascii="Arial" w:hAnsi="Arial" w:cs="Arial"/>
                <w:b/>
                <w:sz w:val="28"/>
                <w:szCs w:val="28"/>
              </w:rPr>
              <w:t>May 2021</w:t>
            </w:r>
          </w:p>
        </w:tc>
        <w:tc>
          <w:tcPr>
            <w:tcW w:w="2687" w:type="dxa"/>
          </w:tcPr>
          <w:p w:rsidR="002F09AB" w:rsidRPr="00620862" w:rsidRDefault="002F09AB" w:rsidP="00620862">
            <w:pPr>
              <w:rPr>
                <w:rFonts w:ascii="Arial" w:hAnsi="Arial" w:cs="Arial"/>
              </w:rPr>
            </w:pPr>
          </w:p>
          <w:p w:rsidR="00620862" w:rsidRPr="00620862" w:rsidRDefault="00620862" w:rsidP="00620862">
            <w:pPr>
              <w:rPr>
                <w:rFonts w:ascii="Arial" w:hAnsi="Arial" w:cs="Arial"/>
              </w:rPr>
            </w:pPr>
          </w:p>
          <w:p w:rsidR="00620862" w:rsidRPr="00620862" w:rsidRDefault="00620862" w:rsidP="00620862">
            <w:pPr>
              <w:rPr>
                <w:rFonts w:ascii="Arial" w:hAnsi="Arial" w:cs="Arial"/>
                <w:b/>
                <w:sz w:val="32"/>
                <w:szCs w:val="32"/>
                <w:u w:val="single"/>
              </w:rPr>
            </w:pPr>
            <w:r w:rsidRPr="00620862">
              <w:rPr>
                <w:rFonts w:ascii="Arial" w:hAnsi="Arial" w:cs="Arial"/>
                <w:b/>
                <w:sz w:val="32"/>
                <w:szCs w:val="32"/>
                <w:u w:val="single"/>
              </w:rPr>
              <w:t>Review Period:</w:t>
            </w:r>
          </w:p>
        </w:tc>
        <w:tc>
          <w:tcPr>
            <w:tcW w:w="1560" w:type="dxa"/>
          </w:tcPr>
          <w:p w:rsidR="002F09AB" w:rsidRPr="00620862" w:rsidRDefault="002F09AB" w:rsidP="00620862">
            <w:pPr>
              <w:rPr>
                <w:rFonts w:ascii="Arial" w:hAnsi="Arial" w:cs="Arial"/>
              </w:rPr>
            </w:pPr>
          </w:p>
          <w:p w:rsidR="00620862" w:rsidRPr="00620862" w:rsidRDefault="00620862" w:rsidP="00620862">
            <w:pPr>
              <w:rPr>
                <w:rFonts w:ascii="Arial" w:hAnsi="Arial" w:cs="Arial"/>
              </w:rPr>
            </w:pPr>
          </w:p>
          <w:p w:rsidR="00620862" w:rsidRPr="00620862" w:rsidRDefault="00620862" w:rsidP="00620862">
            <w:pPr>
              <w:jc w:val="center"/>
              <w:rPr>
                <w:rFonts w:ascii="Arial" w:hAnsi="Arial" w:cs="Arial"/>
                <w:b/>
                <w:sz w:val="28"/>
                <w:szCs w:val="28"/>
              </w:rPr>
            </w:pPr>
            <w:r w:rsidRPr="00620862">
              <w:rPr>
                <w:rFonts w:ascii="Arial" w:hAnsi="Arial" w:cs="Arial"/>
                <w:b/>
                <w:sz w:val="28"/>
                <w:szCs w:val="28"/>
              </w:rPr>
              <w:t>Annually</w:t>
            </w:r>
          </w:p>
        </w:tc>
      </w:tr>
      <w:tr w:rsidR="00620862" w:rsidTr="00620862">
        <w:tc>
          <w:tcPr>
            <w:tcW w:w="3261" w:type="dxa"/>
          </w:tcPr>
          <w:p w:rsidR="002F09AB" w:rsidRPr="00620862" w:rsidRDefault="002F09AB" w:rsidP="00620862">
            <w:pPr>
              <w:rPr>
                <w:rFonts w:ascii="Arial" w:hAnsi="Arial" w:cs="Arial"/>
                <w:sz w:val="32"/>
                <w:szCs w:val="32"/>
              </w:rPr>
            </w:pPr>
          </w:p>
          <w:p w:rsidR="002F09AB" w:rsidRPr="00620862" w:rsidRDefault="002F09AB" w:rsidP="00620862">
            <w:pPr>
              <w:rPr>
                <w:rFonts w:ascii="Arial" w:hAnsi="Arial" w:cs="Arial"/>
                <w:sz w:val="32"/>
                <w:szCs w:val="32"/>
              </w:rPr>
            </w:pPr>
          </w:p>
          <w:p w:rsidR="002F09AB" w:rsidRPr="00620862" w:rsidRDefault="002F09AB" w:rsidP="00620862">
            <w:pPr>
              <w:rPr>
                <w:rFonts w:ascii="Arial" w:hAnsi="Arial" w:cs="Arial"/>
                <w:b/>
                <w:sz w:val="32"/>
                <w:szCs w:val="32"/>
                <w:u w:val="single"/>
              </w:rPr>
            </w:pPr>
            <w:r w:rsidRPr="00620862">
              <w:rPr>
                <w:rFonts w:ascii="Arial" w:hAnsi="Arial" w:cs="Arial"/>
                <w:b/>
                <w:sz w:val="32"/>
                <w:szCs w:val="32"/>
                <w:u w:val="single"/>
              </w:rPr>
              <w:t>Next Review Date:</w:t>
            </w:r>
          </w:p>
          <w:p w:rsidR="002F09AB" w:rsidRPr="00620862" w:rsidRDefault="002F09AB" w:rsidP="00620862">
            <w:pPr>
              <w:rPr>
                <w:rFonts w:ascii="Arial" w:hAnsi="Arial" w:cs="Arial"/>
                <w:sz w:val="32"/>
                <w:szCs w:val="32"/>
              </w:rPr>
            </w:pPr>
          </w:p>
          <w:p w:rsidR="002F09AB" w:rsidRPr="00620862" w:rsidRDefault="002F09AB" w:rsidP="00620862">
            <w:pPr>
              <w:rPr>
                <w:rFonts w:ascii="Arial" w:hAnsi="Arial" w:cs="Arial"/>
                <w:sz w:val="32"/>
                <w:szCs w:val="32"/>
              </w:rPr>
            </w:pPr>
          </w:p>
        </w:tc>
        <w:tc>
          <w:tcPr>
            <w:tcW w:w="2552" w:type="dxa"/>
          </w:tcPr>
          <w:p w:rsidR="002F09AB" w:rsidRPr="00620862" w:rsidRDefault="002F09AB" w:rsidP="00620862">
            <w:pPr>
              <w:rPr>
                <w:rFonts w:ascii="Arial" w:hAnsi="Arial" w:cs="Arial"/>
              </w:rPr>
            </w:pPr>
          </w:p>
          <w:p w:rsidR="002F09AB" w:rsidRPr="00620862" w:rsidRDefault="002F09AB" w:rsidP="00620862">
            <w:pPr>
              <w:rPr>
                <w:rFonts w:ascii="Arial" w:hAnsi="Arial" w:cs="Arial"/>
              </w:rPr>
            </w:pPr>
          </w:p>
          <w:p w:rsidR="002F09AB" w:rsidRPr="00620862" w:rsidRDefault="002F09AB" w:rsidP="00620862">
            <w:pPr>
              <w:jc w:val="center"/>
              <w:rPr>
                <w:rFonts w:ascii="Arial" w:hAnsi="Arial" w:cs="Arial"/>
                <w:b/>
                <w:sz w:val="28"/>
                <w:szCs w:val="28"/>
              </w:rPr>
            </w:pPr>
            <w:r w:rsidRPr="00620862">
              <w:rPr>
                <w:rFonts w:ascii="Arial" w:hAnsi="Arial" w:cs="Arial"/>
                <w:b/>
                <w:sz w:val="28"/>
                <w:szCs w:val="28"/>
              </w:rPr>
              <w:t>July 2022</w:t>
            </w:r>
          </w:p>
        </w:tc>
        <w:tc>
          <w:tcPr>
            <w:tcW w:w="2687" w:type="dxa"/>
            <w:shd w:val="clear" w:color="auto" w:fill="BFBFBF" w:themeFill="background1" w:themeFillShade="BF"/>
          </w:tcPr>
          <w:p w:rsidR="002F09AB" w:rsidRPr="00620862" w:rsidRDefault="002F09AB" w:rsidP="00620862">
            <w:pPr>
              <w:rPr>
                <w:rFonts w:ascii="Arial" w:hAnsi="Arial" w:cs="Arial"/>
              </w:rPr>
            </w:pPr>
          </w:p>
        </w:tc>
        <w:tc>
          <w:tcPr>
            <w:tcW w:w="1560" w:type="dxa"/>
            <w:shd w:val="clear" w:color="auto" w:fill="BFBFBF" w:themeFill="background1" w:themeFillShade="BF"/>
          </w:tcPr>
          <w:p w:rsidR="002F09AB" w:rsidRDefault="002F09AB" w:rsidP="00620862">
            <w:pPr>
              <w:rPr>
                <w:rFonts w:ascii="Arial" w:hAnsi="Arial" w:cs="Arial"/>
              </w:rPr>
            </w:pPr>
          </w:p>
          <w:p w:rsidR="00620862" w:rsidRPr="00620862" w:rsidRDefault="00620862" w:rsidP="00620862">
            <w:pPr>
              <w:rPr>
                <w:rFonts w:ascii="Arial" w:hAnsi="Arial" w:cs="Arial"/>
              </w:rPr>
            </w:pPr>
          </w:p>
        </w:tc>
      </w:tr>
      <w:tr w:rsidR="00620862" w:rsidTr="00620862">
        <w:tc>
          <w:tcPr>
            <w:tcW w:w="3261" w:type="dxa"/>
          </w:tcPr>
          <w:p w:rsidR="00620862" w:rsidRPr="00620862" w:rsidRDefault="00620862" w:rsidP="00620862">
            <w:pPr>
              <w:rPr>
                <w:rFonts w:ascii="Arial" w:hAnsi="Arial" w:cs="Arial"/>
                <w:b/>
                <w:sz w:val="32"/>
                <w:szCs w:val="32"/>
              </w:rPr>
            </w:pPr>
          </w:p>
          <w:p w:rsidR="00620862" w:rsidRPr="00620862" w:rsidRDefault="00620862" w:rsidP="00620862">
            <w:pPr>
              <w:rPr>
                <w:rFonts w:ascii="Arial" w:hAnsi="Arial" w:cs="Arial"/>
                <w:b/>
                <w:sz w:val="32"/>
                <w:szCs w:val="32"/>
              </w:rPr>
            </w:pPr>
          </w:p>
          <w:p w:rsidR="00620862" w:rsidRPr="00620862" w:rsidRDefault="00620862" w:rsidP="00620862">
            <w:pPr>
              <w:rPr>
                <w:rFonts w:ascii="Arial" w:hAnsi="Arial" w:cs="Arial"/>
                <w:b/>
                <w:sz w:val="32"/>
                <w:szCs w:val="32"/>
                <w:u w:val="single"/>
              </w:rPr>
            </w:pPr>
            <w:r w:rsidRPr="00620862">
              <w:rPr>
                <w:rFonts w:ascii="Arial" w:hAnsi="Arial" w:cs="Arial"/>
                <w:b/>
                <w:sz w:val="32"/>
                <w:szCs w:val="32"/>
                <w:u w:val="single"/>
              </w:rPr>
              <w:t>Type of Policy:</w:t>
            </w:r>
          </w:p>
          <w:p w:rsidR="00620862" w:rsidRPr="00620862" w:rsidRDefault="00620862" w:rsidP="00620862">
            <w:pPr>
              <w:rPr>
                <w:rFonts w:ascii="Arial" w:hAnsi="Arial" w:cs="Arial"/>
                <w:b/>
                <w:sz w:val="32"/>
                <w:szCs w:val="32"/>
              </w:rPr>
            </w:pPr>
          </w:p>
          <w:p w:rsidR="00620862" w:rsidRPr="00620862" w:rsidRDefault="00620862" w:rsidP="00620862">
            <w:pPr>
              <w:rPr>
                <w:rFonts w:ascii="Arial" w:hAnsi="Arial" w:cs="Arial"/>
                <w:b/>
                <w:sz w:val="32"/>
                <w:szCs w:val="32"/>
              </w:rPr>
            </w:pPr>
          </w:p>
        </w:tc>
        <w:tc>
          <w:tcPr>
            <w:tcW w:w="2552" w:type="dxa"/>
          </w:tcPr>
          <w:p w:rsidR="00620862" w:rsidRPr="00620862" w:rsidRDefault="00620862" w:rsidP="00620862">
            <w:pPr>
              <w:jc w:val="center"/>
              <w:rPr>
                <w:rFonts w:ascii="Arial" w:hAnsi="Arial" w:cs="Arial"/>
                <w:b/>
                <w:sz w:val="28"/>
                <w:szCs w:val="28"/>
              </w:rPr>
            </w:pPr>
          </w:p>
          <w:p w:rsidR="00620862" w:rsidRPr="00620862" w:rsidRDefault="00620862" w:rsidP="00620862">
            <w:pPr>
              <w:jc w:val="center"/>
              <w:rPr>
                <w:rFonts w:ascii="Arial" w:hAnsi="Arial" w:cs="Arial"/>
                <w:b/>
                <w:sz w:val="28"/>
                <w:szCs w:val="28"/>
              </w:rPr>
            </w:pPr>
          </w:p>
          <w:p w:rsidR="00620862" w:rsidRPr="00620862" w:rsidRDefault="00620862" w:rsidP="00620862">
            <w:pPr>
              <w:jc w:val="center"/>
              <w:rPr>
                <w:rFonts w:ascii="Arial" w:hAnsi="Arial" w:cs="Arial"/>
                <w:b/>
                <w:sz w:val="28"/>
                <w:szCs w:val="28"/>
              </w:rPr>
            </w:pPr>
            <w:r w:rsidRPr="00620862">
              <w:rPr>
                <w:rFonts w:ascii="Arial" w:hAnsi="Arial" w:cs="Arial"/>
                <w:b/>
                <w:sz w:val="28"/>
                <w:szCs w:val="28"/>
              </w:rPr>
              <w:t>Statutory</w:t>
            </w:r>
          </w:p>
        </w:tc>
        <w:tc>
          <w:tcPr>
            <w:tcW w:w="2687" w:type="dxa"/>
          </w:tcPr>
          <w:p w:rsidR="00620862" w:rsidRPr="00620862" w:rsidRDefault="00620862" w:rsidP="00620862">
            <w:pPr>
              <w:jc w:val="center"/>
              <w:rPr>
                <w:rFonts w:ascii="Arial" w:hAnsi="Arial" w:cs="Arial"/>
                <w:b/>
                <w:sz w:val="28"/>
                <w:szCs w:val="28"/>
              </w:rPr>
            </w:pPr>
          </w:p>
          <w:p w:rsidR="00620862" w:rsidRPr="00620862" w:rsidRDefault="00620862" w:rsidP="00620862">
            <w:pPr>
              <w:jc w:val="center"/>
              <w:rPr>
                <w:rFonts w:ascii="Arial" w:hAnsi="Arial" w:cs="Arial"/>
                <w:b/>
                <w:sz w:val="28"/>
                <w:szCs w:val="28"/>
              </w:rPr>
            </w:pPr>
          </w:p>
          <w:p w:rsidR="00620862" w:rsidRPr="00620862" w:rsidRDefault="00620862" w:rsidP="00620862">
            <w:pPr>
              <w:jc w:val="center"/>
              <w:rPr>
                <w:rFonts w:ascii="Arial" w:hAnsi="Arial" w:cs="Arial"/>
                <w:b/>
                <w:sz w:val="28"/>
                <w:szCs w:val="28"/>
                <w:u w:val="single"/>
              </w:rPr>
            </w:pPr>
            <w:r w:rsidRPr="00620862">
              <w:rPr>
                <w:rFonts w:ascii="Arial" w:hAnsi="Arial" w:cs="Arial"/>
                <w:b/>
                <w:sz w:val="28"/>
                <w:szCs w:val="28"/>
                <w:u w:val="single"/>
              </w:rPr>
              <w:t>Approval Level:</w:t>
            </w:r>
          </w:p>
        </w:tc>
        <w:tc>
          <w:tcPr>
            <w:tcW w:w="1560" w:type="dxa"/>
          </w:tcPr>
          <w:p w:rsidR="00620862" w:rsidRPr="00620862" w:rsidRDefault="00620862" w:rsidP="00620862">
            <w:pPr>
              <w:jc w:val="center"/>
              <w:rPr>
                <w:rFonts w:ascii="Arial" w:hAnsi="Arial" w:cs="Arial"/>
                <w:b/>
                <w:sz w:val="28"/>
                <w:szCs w:val="28"/>
              </w:rPr>
            </w:pPr>
          </w:p>
          <w:p w:rsidR="00620862" w:rsidRPr="00620862" w:rsidRDefault="00620862" w:rsidP="00620862">
            <w:pPr>
              <w:jc w:val="center"/>
              <w:rPr>
                <w:rFonts w:ascii="Arial" w:hAnsi="Arial" w:cs="Arial"/>
                <w:b/>
                <w:sz w:val="28"/>
                <w:szCs w:val="28"/>
              </w:rPr>
            </w:pPr>
          </w:p>
          <w:p w:rsidR="00620862" w:rsidRPr="00620862" w:rsidRDefault="00620862" w:rsidP="00620862">
            <w:pPr>
              <w:jc w:val="center"/>
              <w:rPr>
                <w:rFonts w:ascii="Arial" w:hAnsi="Arial" w:cs="Arial"/>
                <w:b/>
                <w:sz w:val="28"/>
                <w:szCs w:val="28"/>
              </w:rPr>
            </w:pPr>
            <w:r w:rsidRPr="00620862">
              <w:rPr>
                <w:rFonts w:ascii="Arial" w:hAnsi="Arial" w:cs="Arial"/>
                <w:b/>
                <w:sz w:val="28"/>
                <w:szCs w:val="28"/>
              </w:rPr>
              <w:t>Board (PCAC)</w:t>
            </w:r>
          </w:p>
        </w:tc>
      </w:tr>
    </w:tbl>
    <w:p w:rsidR="002F09AB" w:rsidRDefault="002F09AB" w:rsidP="002F09AB"/>
    <w:p w:rsidR="00620862" w:rsidRDefault="00620862" w:rsidP="002F09AB"/>
    <w:p w:rsidR="00620862" w:rsidRDefault="00620862" w:rsidP="002F09AB"/>
    <w:p w:rsidR="00620862" w:rsidRDefault="00620862" w:rsidP="002F09AB"/>
    <w:p w:rsidR="00620862" w:rsidRDefault="00620862" w:rsidP="002F09AB"/>
    <w:p w:rsidR="00620862" w:rsidRDefault="00620862" w:rsidP="002F09AB"/>
    <w:p w:rsidR="002F09AB" w:rsidRDefault="002F09AB" w:rsidP="002F09AB"/>
    <w:p w:rsidR="002F09AB" w:rsidRPr="002F09AB" w:rsidRDefault="002F09AB" w:rsidP="002F09AB">
      <w:pPr>
        <w:tabs>
          <w:tab w:val="left" w:pos="1815"/>
        </w:tabs>
        <w:jc w:val="center"/>
        <w:rPr>
          <w:rFonts w:ascii="Arial" w:hAnsi="Arial" w:cs="Arial"/>
          <w:b/>
          <w:sz w:val="32"/>
          <w:szCs w:val="32"/>
          <w:u w:val="single"/>
        </w:rPr>
      </w:pPr>
      <w:r w:rsidRPr="002F09AB">
        <w:rPr>
          <w:rFonts w:ascii="Arial" w:hAnsi="Arial" w:cs="Arial"/>
          <w:b/>
          <w:sz w:val="32"/>
          <w:szCs w:val="32"/>
          <w:u w:val="single"/>
        </w:rPr>
        <w:t>Exclusions</w:t>
      </w:r>
    </w:p>
    <w:p w:rsidR="002F09AB" w:rsidRPr="002F09AB" w:rsidRDefault="002F09AB" w:rsidP="002F09AB">
      <w:pPr>
        <w:tabs>
          <w:tab w:val="left" w:pos="1815"/>
        </w:tabs>
        <w:jc w:val="center"/>
        <w:rPr>
          <w:rFonts w:ascii="Arial" w:hAnsi="Arial" w:cs="Arial"/>
          <w:b/>
          <w:sz w:val="28"/>
          <w:szCs w:val="28"/>
        </w:rPr>
      </w:pPr>
    </w:p>
    <w:p w:rsidR="002F09AB" w:rsidRDefault="002F09AB" w:rsidP="002F09AB">
      <w:pPr>
        <w:tabs>
          <w:tab w:val="left" w:pos="1815"/>
        </w:tabs>
        <w:rPr>
          <w:rFonts w:ascii="Arial" w:hAnsi="Arial" w:cs="Arial"/>
        </w:rPr>
      </w:pPr>
      <w:proofErr w:type="spellStart"/>
      <w:r w:rsidRPr="002F09AB">
        <w:rPr>
          <w:rFonts w:ascii="Arial" w:hAnsi="Arial" w:cs="Arial"/>
        </w:rPr>
        <w:t>Headteachers</w:t>
      </w:r>
      <w:proofErr w:type="spellEnd"/>
      <w:r w:rsidRPr="002F09AB">
        <w:rPr>
          <w:rFonts w:ascii="Arial" w:hAnsi="Arial" w:cs="Arial"/>
        </w:rPr>
        <w:t xml:space="preserve"> can exclude your child if they misbehave in or outside school. </w:t>
      </w:r>
    </w:p>
    <w:p w:rsidR="00620862" w:rsidRDefault="00620862" w:rsidP="002F09AB">
      <w:pPr>
        <w:tabs>
          <w:tab w:val="left" w:pos="1815"/>
        </w:tabs>
        <w:rPr>
          <w:rFonts w:ascii="Arial" w:hAnsi="Arial" w:cs="Arial"/>
          <w:b/>
        </w:rPr>
      </w:pPr>
    </w:p>
    <w:p w:rsidR="002F09AB" w:rsidRPr="002F09AB" w:rsidRDefault="002F09AB" w:rsidP="002F09AB">
      <w:pPr>
        <w:tabs>
          <w:tab w:val="left" w:pos="1815"/>
        </w:tabs>
        <w:rPr>
          <w:rFonts w:ascii="Arial" w:hAnsi="Arial" w:cs="Arial"/>
        </w:rPr>
      </w:pPr>
      <w:r w:rsidRPr="002F09AB">
        <w:rPr>
          <w:rFonts w:ascii="Arial" w:hAnsi="Arial" w:cs="Arial"/>
          <w:b/>
        </w:rPr>
        <w:t>What happens when your child is excluded</w:t>
      </w:r>
      <w:r w:rsidRPr="002F09AB">
        <w:rPr>
          <w:rFonts w:ascii="Arial" w:hAnsi="Arial" w:cs="Arial"/>
        </w:rPr>
        <w:t>?</w:t>
      </w:r>
      <w:r w:rsidRPr="002F09AB">
        <w:rPr>
          <w:rFonts w:ascii="Arial" w:hAnsi="Arial" w:cs="Arial"/>
        </w:rPr>
        <w:t xml:space="preserve"> </w:t>
      </w:r>
    </w:p>
    <w:p w:rsidR="002F09AB" w:rsidRPr="002F09AB" w:rsidRDefault="002F09AB" w:rsidP="002F09AB">
      <w:pPr>
        <w:tabs>
          <w:tab w:val="left" w:pos="1815"/>
        </w:tabs>
        <w:rPr>
          <w:rFonts w:ascii="Arial" w:hAnsi="Arial" w:cs="Arial"/>
        </w:rPr>
      </w:pPr>
      <w:r w:rsidRPr="002F09AB">
        <w:rPr>
          <w:rFonts w:ascii="Arial" w:hAnsi="Arial" w:cs="Arial"/>
        </w:rPr>
        <w:t xml:space="preserve">Your child’s school will let you know about an exclusion as soon as possible. They’ll follow up with a letter telling you how long your child is excluded for and why. </w:t>
      </w:r>
    </w:p>
    <w:p w:rsidR="002F09AB" w:rsidRPr="002F09AB" w:rsidRDefault="002F09AB" w:rsidP="002F09AB">
      <w:pPr>
        <w:tabs>
          <w:tab w:val="left" w:pos="1815"/>
        </w:tabs>
        <w:rPr>
          <w:rFonts w:ascii="Arial" w:hAnsi="Arial" w:cs="Arial"/>
        </w:rPr>
      </w:pPr>
      <w:r w:rsidRPr="002F09AB">
        <w:rPr>
          <w:rFonts w:ascii="Arial" w:hAnsi="Arial" w:cs="Arial"/>
        </w:rPr>
        <w:t xml:space="preserve">You should also be told how to challenge the exclusion, if you want to. </w:t>
      </w:r>
    </w:p>
    <w:p w:rsidR="002F09AB" w:rsidRPr="002F09AB" w:rsidRDefault="002F09AB" w:rsidP="002F09AB">
      <w:pPr>
        <w:tabs>
          <w:tab w:val="left" w:pos="1815"/>
        </w:tabs>
        <w:rPr>
          <w:rFonts w:ascii="Arial" w:hAnsi="Arial" w:cs="Arial"/>
          <w:b/>
        </w:rPr>
      </w:pPr>
      <w:r w:rsidRPr="002F09AB">
        <w:rPr>
          <w:rFonts w:ascii="Arial" w:hAnsi="Arial" w:cs="Arial"/>
          <w:b/>
        </w:rPr>
        <w:t xml:space="preserve">Risk of prosecution if child is found in public place </w:t>
      </w:r>
    </w:p>
    <w:p w:rsidR="002F09AB" w:rsidRPr="002F09AB" w:rsidRDefault="002F09AB" w:rsidP="002F09AB">
      <w:pPr>
        <w:tabs>
          <w:tab w:val="left" w:pos="1815"/>
        </w:tabs>
        <w:rPr>
          <w:rFonts w:ascii="Arial" w:hAnsi="Arial" w:cs="Arial"/>
        </w:rPr>
      </w:pPr>
      <w:r w:rsidRPr="002F09AB">
        <w:rPr>
          <w:rFonts w:ascii="Arial" w:hAnsi="Arial" w:cs="Arial"/>
        </w:rPr>
        <w:t xml:space="preserve">For the first 5 school days of an exclusion, it’s your responsibility to make sure your child isn’t in a public place during normal school hours unless there is a good reason. </w:t>
      </w:r>
    </w:p>
    <w:p w:rsidR="002F09AB" w:rsidRPr="002F09AB" w:rsidRDefault="002F09AB" w:rsidP="002F09AB">
      <w:pPr>
        <w:tabs>
          <w:tab w:val="left" w:pos="1815"/>
        </w:tabs>
        <w:rPr>
          <w:rFonts w:ascii="Arial" w:hAnsi="Arial" w:cs="Arial"/>
        </w:rPr>
      </w:pPr>
      <w:r w:rsidRPr="002F09AB">
        <w:rPr>
          <w:rFonts w:ascii="Arial" w:hAnsi="Arial" w:cs="Arial"/>
        </w:rPr>
        <w:t xml:space="preserve">You might be prosecuted if your child is found in a public place when they’re not supposed to be. </w:t>
      </w:r>
    </w:p>
    <w:p w:rsidR="002F09AB" w:rsidRPr="002F09AB" w:rsidRDefault="002F09AB" w:rsidP="002F09AB">
      <w:pPr>
        <w:tabs>
          <w:tab w:val="left" w:pos="1815"/>
        </w:tabs>
        <w:rPr>
          <w:rFonts w:ascii="Arial" w:hAnsi="Arial" w:cs="Arial"/>
        </w:rPr>
      </w:pPr>
      <w:r w:rsidRPr="002F09AB">
        <w:rPr>
          <w:rFonts w:ascii="Arial" w:hAnsi="Arial" w:cs="Arial"/>
        </w:rPr>
        <w:t xml:space="preserve">Child Law Advice has more information on what happens when a child is excluded. </w:t>
      </w:r>
    </w:p>
    <w:p w:rsidR="002F09AB" w:rsidRPr="002F09AB" w:rsidRDefault="002F09AB" w:rsidP="002F09AB">
      <w:pPr>
        <w:tabs>
          <w:tab w:val="left" w:pos="1815"/>
        </w:tabs>
        <w:rPr>
          <w:rFonts w:ascii="Arial" w:hAnsi="Arial" w:cs="Arial"/>
          <w:b/>
        </w:rPr>
      </w:pPr>
      <w:r w:rsidRPr="002F09AB">
        <w:rPr>
          <w:rFonts w:ascii="Arial" w:hAnsi="Arial" w:cs="Arial"/>
          <w:b/>
        </w:rPr>
        <w:t xml:space="preserve">Types of exclusion </w:t>
      </w:r>
    </w:p>
    <w:p w:rsidR="002F09AB" w:rsidRPr="002F09AB" w:rsidRDefault="002F09AB" w:rsidP="002F09AB">
      <w:pPr>
        <w:tabs>
          <w:tab w:val="left" w:pos="1815"/>
        </w:tabs>
        <w:rPr>
          <w:rFonts w:ascii="Arial" w:hAnsi="Arial" w:cs="Arial"/>
        </w:rPr>
      </w:pPr>
      <w:r w:rsidRPr="002F09AB">
        <w:rPr>
          <w:rFonts w:ascii="Arial" w:hAnsi="Arial" w:cs="Arial"/>
        </w:rPr>
        <w:t>There are 2 kinds of exclusion - fixed period (suspended) and permanent (expelled). F</w:t>
      </w:r>
    </w:p>
    <w:p w:rsidR="002F09AB" w:rsidRPr="002F09AB" w:rsidRDefault="002F09AB" w:rsidP="002F09AB">
      <w:pPr>
        <w:tabs>
          <w:tab w:val="left" w:pos="1815"/>
        </w:tabs>
        <w:rPr>
          <w:rFonts w:ascii="Arial" w:hAnsi="Arial" w:cs="Arial"/>
        </w:rPr>
      </w:pPr>
      <w:r w:rsidRPr="002F09AB">
        <w:rPr>
          <w:rFonts w:ascii="Arial" w:hAnsi="Arial" w:cs="Arial"/>
          <w:b/>
        </w:rPr>
        <w:t>F</w:t>
      </w:r>
      <w:r w:rsidRPr="002F09AB">
        <w:rPr>
          <w:rFonts w:ascii="Arial" w:hAnsi="Arial" w:cs="Arial"/>
          <w:b/>
        </w:rPr>
        <w:t>ixed period exclusion</w:t>
      </w:r>
      <w:r w:rsidRPr="002F09AB">
        <w:rPr>
          <w:rFonts w:ascii="Arial" w:hAnsi="Arial" w:cs="Arial"/>
        </w:rPr>
        <w:t xml:space="preserve"> </w:t>
      </w:r>
    </w:p>
    <w:p w:rsidR="002F09AB" w:rsidRPr="002F09AB" w:rsidRDefault="002F09AB" w:rsidP="002F09AB">
      <w:pPr>
        <w:tabs>
          <w:tab w:val="left" w:pos="1815"/>
        </w:tabs>
        <w:rPr>
          <w:rFonts w:ascii="Arial" w:hAnsi="Arial" w:cs="Arial"/>
        </w:rPr>
      </w:pPr>
      <w:r w:rsidRPr="002F09AB">
        <w:rPr>
          <w:rFonts w:ascii="Arial" w:hAnsi="Arial" w:cs="Arial"/>
        </w:rPr>
        <w:t>A fixed period exclusion is where your child is temporarily removed from school. They can only be removed for up to 45 school days in one school year, even if they’ve changed school. If a child has been excluded for a fixed period, schools should set and mark work for the first 5 school days. If the exclusion is longer than 5 school days, the school must arrange suitable full-time education from the sixth school day, e</w:t>
      </w:r>
      <w:r w:rsidRPr="002F09AB">
        <w:rPr>
          <w:rFonts w:ascii="Arial" w:hAnsi="Arial" w:cs="Arial"/>
        </w:rPr>
        <w:t>.g. at a Pupil Referral U</w:t>
      </w:r>
      <w:r w:rsidRPr="002F09AB">
        <w:rPr>
          <w:rFonts w:ascii="Arial" w:hAnsi="Arial" w:cs="Arial"/>
        </w:rPr>
        <w:t xml:space="preserve">nit. </w:t>
      </w:r>
    </w:p>
    <w:p w:rsidR="002F09AB" w:rsidRPr="002F09AB" w:rsidRDefault="002F09AB" w:rsidP="002F09AB">
      <w:pPr>
        <w:tabs>
          <w:tab w:val="left" w:pos="1815"/>
        </w:tabs>
        <w:rPr>
          <w:rFonts w:ascii="Arial" w:hAnsi="Arial" w:cs="Arial"/>
          <w:b/>
        </w:rPr>
      </w:pPr>
      <w:r w:rsidRPr="002F09AB">
        <w:rPr>
          <w:rFonts w:ascii="Arial" w:hAnsi="Arial" w:cs="Arial"/>
          <w:b/>
        </w:rPr>
        <w:t xml:space="preserve">Permanent exclusion </w:t>
      </w:r>
    </w:p>
    <w:p w:rsidR="00662985" w:rsidRPr="002F09AB" w:rsidRDefault="002F09AB" w:rsidP="002F09AB">
      <w:pPr>
        <w:tabs>
          <w:tab w:val="left" w:pos="1815"/>
        </w:tabs>
        <w:rPr>
          <w:rFonts w:ascii="Arial" w:hAnsi="Arial" w:cs="Arial"/>
        </w:rPr>
      </w:pPr>
      <w:r w:rsidRPr="002F09AB">
        <w:rPr>
          <w:rFonts w:ascii="Arial" w:hAnsi="Arial" w:cs="Arial"/>
        </w:rPr>
        <w:t xml:space="preserve">Permanent exclusion means your child is expelled. Your local council must arrange full-time education from the sixth </w:t>
      </w:r>
      <w:bookmarkStart w:id="0" w:name="_GoBack"/>
      <w:bookmarkEnd w:id="0"/>
      <w:r w:rsidRPr="002F09AB">
        <w:rPr>
          <w:rFonts w:ascii="Arial" w:hAnsi="Arial" w:cs="Arial"/>
        </w:rPr>
        <w:t>school day.</w:t>
      </w:r>
    </w:p>
    <w:sectPr w:rsidR="00662985" w:rsidRPr="002F0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Noto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AB"/>
    <w:rsid w:val="002F09AB"/>
    <w:rsid w:val="00620862"/>
    <w:rsid w:val="00727168"/>
    <w:rsid w:val="009A30B1"/>
    <w:rsid w:val="00FF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0A68"/>
  <w15:chartTrackingRefBased/>
  <w15:docId w15:val="{F4D98306-664B-484A-AA19-32DB6EB4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9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F0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arkcamp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Park Campus Academy</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Mallett</dc:creator>
  <cp:keywords/>
  <dc:description/>
  <cp:lastModifiedBy>Nicholas Mallett</cp:lastModifiedBy>
  <cp:revision>2</cp:revision>
  <dcterms:created xsi:type="dcterms:W3CDTF">2022-03-04T14:43:00Z</dcterms:created>
  <dcterms:modified xsi:type="dcterms:W3CDTF">2022-03-04T14:43:00Z</dcterms:modified>
</cp:coreProperties>
</file>