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shd w:val="clear" w:color="auto" w:fill="3AB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C21E8" w14:paraId="2EC0094A" w14:textId="77777777" w:rsidTr="009C21E8">
        <w:trPr>
          <w:jc w:val="center"/>
        </w:trPr>
        <w:tc>
          <w:tcPr>
            <w:tcW w:w="0" w:type="auto"/>
            <w:shd w:val="clear" w:color="auto" w:fill="3ABFF0"/>
            <w:vAlign w:val="center"/>
            <w:hideMark/>
          </w:tcPr>
          <w:tbl>
            <w:tblPr>
              <w:tblW w:w="8025" w:type="dxa"/>
              <w:jc w:val="center"/>
              <w:tblCellSpacing w:w="0" w:type="dxa"/>
              <w:shd w:val="clear" w:color="auto" w:fill="3ABF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9"/>
              <w:gridCol w:w="4076"/>
            </w:tblGrid>
            <w:tr w:rsidR="009C21E8" w14:paraId="711869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ABFF0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C8A871" w14:textId="46DE5D82" w:rsidR="009C21E8" w:rsidRDefault="009C21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FFFFFF"/>
                    </w:rPr>
                    <w:drawing>
                      <wp:inline distT="0" distB="0" distL="0" distR="0" wp14:anchorId="55CC0F1C" wp14:editId="6D5A93A0">
                        <wp:extent cx="1089025" cy="676275"/>
                        <wp:effectExtent l="0" t="0" r="0" b="9525"/>
                        <wp:docPr id="5" name="Picture 5" descr="public health england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blic health eng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0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3ABFF0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F2F7C7" w14:textId="02ADB904" w:rsidR="009C21E8" w:rsidRDefault="009C2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FFFFFF"/>
                    </w:rPr>
                    <w:drawing>
                      <wp:inline distT="0" distB="0" distL="0" distR="0" wp14:anchorId="106C993D" wp14:editId="6BE671EE">
                        <wp:extent cx="1115060" cy="808990"/>
                        <wp:effectExtent l="0" t="0" r="8890" b="0"/>
                        <wp:docPr id="4" name="Picture 4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8F9125" w14:textId="77777777" w:rsidR="009C21E8" w:rsidRDefault="009C2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1E8" w14:paraId="32D86C87" w14:textId="77777777" w:rsidTr="009C21E8">
        <w:trPr>
          <w:jc w:val="center"/>
        </w:trPr>
        <w:tc>
          <w:tcPr>
            <w:tcW w:w="0" w:type="auto"/>
            <w:shd w:val="clear" w:color="auto" w:fill="3ABFF0"/>
            <w:hideMark/>
          </w:tcPr>
          <w:p w14:paraId="1831355A" w14:textId="77390983" w:rsidR="009C21E8" w:rsidRDefault="009C21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FFFFFF"/>
              </w:rPr>
              <w:drawing>
                <wp:inline distT="0" distB="0" distL="0" distR="0" wp14:anchorId="313F7A80" wp14:editId="3358F844">
                  <wp:extent cx="5095240" cy="1760220"/>
                  <wp:effectExtent l="0" t="0" r="0" b="0"/>
                  <wp:docPr id="3" name="Picture 3" descr="Every Mind Matter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very Mind Ma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24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8" w14:paraId="0BC22BEA" w14:textId="77777777" w:rsidTr="009C21E8">
        <w:trPr>
          <w:jc w:val="center"/>
        </w:trPr>
        <w:tc>
          <w:tcPr>
            <w:tcW w:w="0" w:type="auto"/>
            <w:shd w:val="clear" w:color="auto" w:fill="3ABFF0"/>
            <w:tcMar>
              <w:top w:w="3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0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9C21E8" w14:paraId="24193F3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14:paraId="33C83EAD" w14:textId="77777777" w:rsidR="009C21E8" w:rsidRDefault="009C21E8">
                  <w:pPr>
                    <w:spacing w:line="30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Dear Lisa Walton,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Now more than ever, as you support your pupils and their families through this challenging period, it’s important that you look after your own wellbeing.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Take time this 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Mental Health Awareness Week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(18-24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May) to explore simple tips for looking after your mental health using 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Every Mind Matters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This online tool offers a free, personalised action plan, approved by the NHS, providing specific advice for those currently looking after young people or working from home.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Having trouble sleeping?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There have been various disruptions to our lifestyles over the past few months, so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it’s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important we look after our sleep to help boost our mood, improve productivity and protect our wellbeing. Take a look at our </w:t>
                  </w:r>
                  <w:hyperlink r:id="rId13" w:history="1">
                    <w:r>
                      <w:rPr>
                        <w:rStyle w:val="Strong"/>
                        <w:rFonts w:ascii="Arial" w:hAnsi="Arial" w:cs="Arial"/>
                        <w:color w:val="000080"/>
                        <w:sz w:val="20"/>
                        <w:szCs w:val="20"/>
                        <w:u w:val="single"/>
                      </w:rPr>
                      <w:t>Top tips to get to sleep and sleep better.</w:t>
                    </w:r>
                  </w:hyperlink>
                </w:p>
              </w:tc>
            </w:tr>
            <w:tr w:rsidR="009C21E8" w14:paraId="791D3EB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600" w:type="dxa"/>
                    <w:right w:w="300" w:type="dxa"/>
                  </w:tcMar>
                  <w:hideMark/>
                </w:tcPr>
                <w:p w14:paraId="779A64E3" w14:textId="77777777" w:rsidR="009C21E8" w:rsidRDefault="009C21E8">
                  <w:pPr>
                    <w:spacing w:line="270" w:lineRule="atLeast"/>
                    <w:jc w:val="center"/>
                    <w:rPr>
                      <w:rFonts w:ascii="poppins" w:eastAsia="Times New Roman" w:hAnsi="poppins"/>
                      <w:color w:val="FFFFFF"/>
                      <w:sz w:val="27"/>
                      <w:szCs w:val="27"/>
                    </w:rPr>
                  </w:pPr>
                  <w:hyperlink r:id="rId14" w:history="1">
                    <w:r>
                      <w:rPr>
                        <w:rStyle w:val="Hyperlink"/>
                        <w:rFonts w:ascii="poppins" w:eastAsia="Times New Roman" w:hAnsi="poppins"/>
                        <w:b/>
                        <w:bCs/>
                        <w:color w:val="FFFFFF"/>
                        <w:sz w:val="27"/>
                        <w:szCs w:val="27"/>
                        <w:shd w:val="clear" w:color="auto" w:fill="E60E58"/>
                      </w:rPr>
                      <w:t>Find out more</w:t>
                    </w:r>
                  </w:hyperlink>
                  <w:r>
                    <w:rPr>
                      <w:rFonts w:ascii="poppins" w:eastAsia="Times New Roman" w:hAnsi="poppins"/>
                      <w:color w:val="FFFFFF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14:paraId="71FCD69D" w14:textId="77777777" w:rsidR="009C21E8" w:rsidRDefault="009C2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1E8" w14:paraId="3F090398" w14:textId="77777777" w:rsidTr="009C21E8">
        <w:trPr>
          <w:jc w:val="center"/>
        </w:trPr>
        <w:tc>
          <w:tcPr>
            <w:tcW w:w="0" w:type="auto"/>
            <w:shd w:val="clear" w:color="auto" w:fill="3ABFF0"/>
            <w:tcMar>
              <w:top w:w="0" w:type="dxa"/>
              <w:left w:w="0" w:type="dxa"/>
              <w:bottom w:w="375" w:type="dxa"/>
              <w:right w:w="0" w:type="dxa"/>
            </w:tcMar>
            <w:hideMark/>
          </w:tcPr>
          <w:p w14:paraId="331B729F" w14:textId="53ABC3B3" w:rsidR="009C21E8" w:rsidRDefault="009C21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00"/>
              </w:rPr>
              <w:lastRenderedPageBreak/>
              <w:drawing>
                <wp:inline distT="0" distB="0" distL="0" distR="0" wp14:anchorId="6B4B42F6" wp14:editId="39B79A6B">
                  <wp:extent cx="5095240" cy="2838450"/>
                  <wp:effectExtent l="0" t="0" r="0" b="0"/>
                  <wp:docPr id="2" name="Picture 2" descr="Every Mind Matters tool’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very Mind Matters tool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24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8" w14:paraId="24DA55FC" w14:textId="77777777" w:rsidTr="009C21E8">
        <w:trPr>
          <w:jc w:val="center"/>
        </w:trPr>
        <w:tc>
          <w:tcPr>
            <w:tcW w:w="0" w:type="auto"/>
            <w:shd w:val="clear" w:color="auto" w:fill="3ABFF0"/>
            <w:hideMark/>
          </w:tcPr>
          <w:p w14:paraId="57DBC325" w14:textId="171B4FAD" w:rsidR="009C21E8" w:rsidRDefault="009C21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154B5A1" wp14:editId="7D433A2A">
                  <wp:extent cx="5095240" cy="829945"/>
                  <wp:effectExtent l="0" t="0" r="0" b="8255"/>
                  <wp:docPr id="1" name="Picture 1" descr="Every Mind Ma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very Mind Ma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24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8" w14:paraId="09248BA1" w14:textId="77777777" w:rsidTr="009C21E8">
        <w:trPr>
          <w:jc w:val="center"/>
        </w:trPr>
        <w:tc>
          <w:tcPr>
            <w:tcW w:w="9000" w:type="dxa"/>
            <w:shd w:val="clear" w:color="auto" w:fill="3ABFF0"/>
            <w:tcMar>
              <w:top w:w="0" w:type="dxa"/>
              <w:left w:w="0" w:type="dxa"/>
              <w:bottom w:w="375" w:type="dxa"/>
              <w:right w:w="0" w:type="dxa"/>
            </w:tcMar>
            <w:hideMark/>
          </w:tcPr>
          <w:tbl>
            <w:tblPr>
              <w:tblW w:w="80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9C21E8" w14:paraId="05BEE9E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215B78" w14:textId="77777777" w:rsidR="009C21E8" w:rsidRDefault="009C21E8">
                  <w:pPr>
                    <w:pStyle w:val="Heading2"/>
                    <w:spacing w:before="0" w:beforeAutospacing="0" w:after="0" w:afterAutospacing="0" w:line="375" w:lineRule="atLeast"/>
                    <w:jc w:val="center"/>
                    <w:rPr>
                      <w:rFonts w:ascii="poppins" w:eastAsia="Times New Roman" w:hAnsi="poppins"/>
                      <w:sz w:val="33"/>
                      <w:szCs w:val="33"/>
                    </w:rPr>
                  </w:pPr>
                  <w:r>
                    <w:rPr>
                      <w:rStyle w:val="Strong"/>
                      <w:rFonts w:ascii="poppins" w:eastAsia="Times New Roman" w:hAnsi="poppins"/>
                      <w:b/>
                      <w:bCs/>
                      <w:sz w:val="33"/>
                      <w:szCs w:val="33"/>
                    </w:rPr>
                    <w:t>Resources to support your students’</w:t>
                  </w:r>
                  <w:r>
                    <w:rPr>
                      <w:rFonts w:ascii="poppins" w:eastAsia="Times New Roman" w:hAnsi="poppins"/>
                      <w:sz w:val="33"/>
                      <w:szCs w:val="33"/>
                    </w:rPr>
                    <w:br/>
                  </w:r>
                  <w:r>
                    <w:rPr>
                      <w:rStyle w:val="Strong"/>
                      <w:rFonts w:ascii="poppins" w:eastAsia="Times New Roman" w:hAnsi="poppins"/>
                      <w:b/>
                      <w:bCs/>
                      <w:sz w:val="33"/>
                      <w:szCs w:val="33"/>
                    </w:rPr>
                    <w:t>sleep and mental wellbeing</w:t>
                  </w:r>
                </w:p>
              </w:tc>
            </w:tr>
            <w:tr w:rsidR="009C21E8" w14:paraId="3052E04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14:paraId="08201E8F" w14:textId="77777777" w:rsidR="009C21E8" w:rsidRDefault="009C21E8">
                  <w:pPr>
                    <w:spacing w:line="30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you’re looking for engaging resources to share with your pupils either in school, or to adapt for home learning, head to the 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80"/>
                        <w:sz w:val="20"/>
                        <w:szCs w:val="20"/>
                      </w:rPr>
                      <w:t>School Zone</w:t>
                    </w:r>
                  </w:hyperlink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 download our free resources today.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Our </w:t>
                  </w:r>
                  <w:r>
                    <w:rPr>
                      <w:rStyle w:val="Emphasis"/>
                      <w:rFonts w:ascii="Arial" w:hAnsi="Arial" w:cs="Arial"/>
                      <w:color w:val="000000"/>
                      <w:sz w:val="20"/>
                      <w:szCs w:val="20"/>
                    </w:rPr>
                    <w:t>Rise Above for Schools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resources provide flexible, adaptable lessons on a variety of topics which can support your pupils during this time.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</w:p>
                <w:p w14:paraId="53410D0B" w14:textId="77777777" w:rsidR="009C21E8" w:rsidRDefault="009C21E8">
                  <w:pPr>
                    <w:spacing w:line="30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One topic that may be particularly relevant for your students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 the moment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sleep. Our</w:t>
                  </w:r>
                  <w: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 </w:t>
                  </w:r>
                  <w:hyperlink r:id="rId19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80"/>
                        <w:sz w:val="20"/>
                        <w:szCs w:val="20"/>
                      </w:rPr>
                      <w:t>Sleep resource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20" w:history="1">
                    <w:r>
                      <w:rPr>
                        <w:rStyle w:val="Hyperlink"/>
                        <w:rFonts w:ascii="Arial" w:hAnsi="Arial" w:cs="Arial"/>
                        <w:color w:val="000080"/>
                        <w:sz w:val="20"/>
                        <w:szCs w:val="20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helps pupils to explore the mental and physical benefits of sleep and provides tips on getting better quality sleep.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</w:p>
                <w:p w14:paraId="019E4893" w14:textId="77777777" w:rsidR="009C21E8" w:rsidRDefault="009C21E8">
                  <w:pPr>
                    <w:spacing w:line="30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You can also direct your pupils at home to our youth-facing </w:t>
                  </w:r>
                  <w:hyperlink r:id="rId21" w:history="1">
                    <w:r>
                      <w:rPr>
                        <w:rStyle w:val="Strong"/>
                        <w:rFonts w:ascii="Arial" w:hAnsi="Arial" w:cs="Arial"/>
                        <w:color w:val="000080"/>
                        <w:sz w:val="20"/>
                        <w:szCs w:val="20"/>
                        <w:u w:val="single"/>
                      </w:rPr>
                      <w:t>Rise Above website</w:t>
                    </w:r>
                  </w:hyperlink>
                  <w:r>
                    <w:rPr>
                      <w:rStyle w:val="Emphasis"/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which includes videos on daily challenges, co-created by young people, including the latest tips on how to feel good now we are all staying at home more.</w:t>
                  </w:r>
                </w:p>
              </w:tc>
            </w:tr>
            <w:tr w:rsidR="009C21E8" w14:paraId="0FA75DD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600" w:type="dxa"/>
                    <w:right w:w="300" w:type="dxa"/>
                  </w:tcMar>
                  <w:hideMark/>
                </w:tcPr>
                <w:p w14:paraId="767207EF" w14:textId="77777777" w:rsidR="009C21E8" w:rsidRDefault="009C21E8">
                  <w:pPr>
                    <w:spacing w:line="270" w:lineRule="atLeast"/>
                    <w:jc w:val="center"/>
                    <w:rPr>
                      <w:rFonts w:ascii="poppins" w:eastAsia="Times New Roman" w:hAnsi="poppins"/>
                      <w:color w:val="FFFFFF"/>
                      <w:sz w:val="27"/>
                      <w:szCs w:val="27"/>
                    </w:rPr>
                  </w:pPr>
                  <w:hyperlink r:id="rId22" w:anchor="sleep" w:history="1">
                    <w:r>
                      <w:rPr>
                        <w:rStyle w:val="Hyperlink"/>
                        <w:rFonts w:ascii="poppins" w:eastAsia="Times New Roman" w:hAnsi="poppins"/>
                        <w:b/>
                        <w:bCs/>
                        <w:color w:val="FFFFFF"/>
                        <w:sz w:val="27"/>
                        <w:szCs w:val="27"/>
                        <w:shd w:val="clear" w:color="auto" w:fill="E60E58"/>
                      </w:rPr>
                      <w:t>Find out more</w:t>
                    </w:r>
                  </w:hyperlink>
                  <w:r>
                    <w:rPr>
                      <w:rFonts w:ascii="poppins" w:eastAsia="Times New Roman" w:hAnsi="poppins"/>
                      <w:color w:val="FFFFFF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14:paraId="22C8B716" w14:textId="77777777" w:rsidR="009C21E8" w:rsidRDefault="009C2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8131B5" w14:textId="77777777" w:rsidR="00B11A75" w:rsidRDefault="00B11A75"/>
    <w:sectPr w:rsidR="00B1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E8"/>
    <w:rsid w:val="009C21E8"/>
    <w:rsid w:val="00B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E307"/>
  <w15:chartTrackingRefBased/>
  <w15:docId w15:val="{0C8F89BC-80EC-46CC-85B4-E94B5889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rlin Sans FB" w:eastAsiaTheme="minorHAnsi" w:hAnsi="Berlin Sans FB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E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21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21E8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21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21E8"/>
    <w:rPr>
      <w:b/>
      <w:bCs/>
    </w:rPr>
  </w:style>
  <w:style w:type="character" w:styleId="Emphasis">
    <w:name w:val="Emphasis"/>
    <w:basedOn w:val="DefaultParagraphFont"/>
    <w:uiPriority w:val="20"/>
    <w:qFormat/>
    <w:rsid w:val="009C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ntent.phepartnerships.co.uk/?V4Tk6303j0Et8rovpC8.u5Yk8KU8WDQiV&amp;https://www.nhs.uk/oneyou/every-mind-matters/sleep/?utm_source=newsletter&amp;utm_medium=email&amp;utm_campaign=may_secondary_edcoms&amp;utm_content=emmsleep" TargetMode="External"/><Relationship Id="rId18" Type="http://schemas.openxmlformats.org/officeDocument/2006/relationships/hyperlink" Target="http://content.phepartnerships.co.uk/?V4TkzC0ir2Et4rhvf34fu5Yk4KUrvjRiV&amp;https://campaignresources.phe.gov.uk/schools?utm_source=newsletter&amp;utm_medium=email&amp;utm_campaign=may_secondary_edcoms&amp;utm_content=schoolzo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ontent.phepartnerships.co.uk/?V4Tk6C2ij0Qw4BhCp34.u5Yk8vU8vDQ3V&amp;https://riseabove.org.uk/?utm_source=newsletter&amp;utm_medium=email&amp;utm_campaign=may_secondary_edcoms&amp;utm_content=riseabove" TargetMode="External"/><Relationship Id="rId7" Type="http://schemas.openxmlformats.org/officeDocument/2006/relationships/hyperlink" Target="http://content.phepartnerships.co.uk/?V4TR6303DtYOarhCfC4fuaQ48KU8vDR3V&amp;https://campaignresources.phe.gov.uk/schools?utm_source=newsletter&amp;utm_medium=email&amp;utm_campaign=may_secondary_edcoms&amp;utm_content=phelogo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content.phepartnerships.co.uk/?V4TRz32iQ0Qt4rhvf34.u5Y44vbrWjQiV&amp;http://https://campaignresources.phe.gov.uk/schools/resources/sleep-KS3-KS4-lesson-plan-pack?utm_source=newsletter&amp;utm_medium=email&amp;utm_campaign=may_secondary_edcoms&amp;utm_content=riseabov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tent.phepartnerships.co.uk/?V4TRzC2iD0Ew4BhCp34fu5Y44KbrvDR3V&amp;https://campaignresources.phe.gov.uk/schools/resources/every-mind-matters-self-care-tool?utm_source=newsletter&amp;utm_medium=email&amp;utm_campaign=may_secondary_edcoms&amp;utm_content=banne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ontent.phepartnerships.co.uk/?V4TRz32iQoYw4rE9wS4.u5Y44KbrWDR3V&amp;https://campaignresources.phe.gov.uk/schools/resources/every-mind-matters-self-care-tool?utm_source=newsletter&amp;utm_medium=email&amp;utm_campaign=may_secondary_edcoms&amp;utm_content=emmimag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content.phepartnerships.co.uk/?V4TRz32iQ0Qt4rhvf34.u5Y44vbrWjQiV&amp;https://campaignresources.phe.gov.uk/schools/resources/sleep-KS3-KS4-lesson-plan-pack?utm_source=newsletter&amp;utm_medium=email&amp;utm_campaign=may_secondary_edcoms&amp;utm_content=riseabove" TargetMode="External"/><Relationship Id="rId4" Type="http://schemas.openxmlformats.org/officeDocument/2006/relationships/styles" Target="styles.xml"/><Relationship Id="rId9" Type="http://schemas.openxmlformats.org/officeDocument/2006/relationships/hyperlink" Target="http://content.phepartnerships.co.uk/?V4Tkz323r2YyIBhvf34fuaQk4vb8vjQiV&amp;https://campaignresources.phe.gov.uk/schools/topics/rise-above/overview?utm_source=newsletter&amp;utm_medium=email&amp;utm_campaign=may_secondary_edcoms&amp;utm_content=ralogo" TargetMode="External"/><Relationship Id="rId14" Type="http://schemas.openxmlformats.org/officeDocument/2006/relationships/hyperlink" Target="http://content.phepartnerships.co.uk/?V4TR6C23DtEw8rhCfC4fu5Y48vUrvDQiV&amp;https://campaignresources.phe.gov.uk/schools/resources/every-mind-matters-self-care-tool?utm_source=newsletter&amp;utm_medium=email&amp;utm_campaign=may_secondary_edcoms&amp;utm_content=findoutmorecta" TargetMode="External"/><Relationship Id="rId22" Type="http://schemas.openxmlformats.org/officeDocument/2006/relationships/hyperlink" Target="http://content.phepartnerships.co.uk/?V4TR6323QtQt8BoCf38.u5Y48Kb8WjRiV&amp;https://campaignresources.phe.gov.uk/schools/topics/rise-above/overview?utm_source=newsletter&amp;utm_medium=email&amp;utm_campaign=may_secondary_edcoms&amp;utm_content=findoutmorect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C1812321BD4F8DD48FCAACD5A239" ma:contentTypeVersion="13" ma:contentTypeDescription="Create a new document." ma:contentTypeScope="" ma:versionID="3c447e4b24c78b0df4914ce0630553e5">
  <xsd:schema xmlns:xsd="http://www.w3.org/2001/XMLSchema" xmlns:xs="http://www.w3.org/2001/XMLSchema" xmlns:p="http://schemas.microsoft.com/office/2006/metadata/properties" xmlns:ns3="f0751dd9-3fc9-4f41-9d4e-39f1f84337f9" xmlns:ns4="47bc6103-38e7-475e-a435-634b4e9f9b13" targetNamespace="http://schemas.microsoft.com/office/2006/metadata/properties" ma:root="true" ma:fieldsID="cb962d3efb01ab3e5fa0fa65b00cb728" ns3:_="" ns4:_="">
    <xsd:import namespace="f0751dd9-3fc9-4f41-9d4e-39f1f84337f9"/>
    <xsd:import namespace="47bc6103-38e7-475e-a435-634b4e9f9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1dd9-3fc9-4f41-9d4e-39f1f8433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6103-38e7-475e-a435-634b4e9f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17098-0AE7-4BCD-AA9B-C4FD1AA85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1dd9-3fc9-4f41-9d4e-39f1f84337f9"/>
    <ds:schemaRef ds:uri="47bc6103-38e7-475e-a435-634b4e9f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73E2B-E6A6-4136-839C-9942004E0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D9BD3-4EF7-4CA8-84F9-1D6F43C9F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House</dc:creator>
  <cp:keywords/>
  <dc:description/>
  <cp:lastModifiedBy>William House</cp:lastModifiedBy>
  <cp:revision>1</cp:revision>
  <dcterms:created xsi:type="dcterms:W3CDTF">2020-05-21T12:20:00Z</dcterms:created>
  <dcterms:modified xsi:type="dcterms:W3CDTF">2020-05-21T12:22:00Z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0x0101003DE5C1812321BD4F8DD48FCAACD5A239</vt:lpwstr>
  </property>
</Properties>
</file>