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A9C60" w14:textId="55B77EDB" w:rsidR="003B4BF9" w:rsidRPr="0059610C" w:rsidRDefault="003B4BF9" w:rsidP="003B4BF9">
      <w:pPr>
        <w:pStyle w:val="DiscHeading1"/>
        <w:tabs>
          <w:tab w:val="left" w:pos="7088"/>
          <w:tab w:val="left" w:pos="7938"/>
          <w:tab w:val="left" w:pos="8789"/>
          <w:tab w:val="right" w:pos="10440"/>
        </w:tabs>
        <w:jc w:val="both"/>
        <w:rPr>
          <w:b/>
          <w:bCs/>
          <w:color w:val="auto"/>
          <w:sz w:val="36"/>
          <w:szCs w:val="36"/>
        </w:rPr>
      </w:pPr>
    </w:p>
    <w:p w14:paraId="5D8DD8E7" w14:textId="77777777" w:rsidR="003B4BF9" w:rsidRPr="003F6FC4" w:rsidRDefault="003B4BF9" w:rsidP="003B4BF9">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color w:val="000000"/>
          <w:sz w:val="36"/>
          <w:szCs w:val="36"/>
          <w:lang w:eastAsia="zh-CN"/>
        </w:rPr>
      </w:pPr>
    </w:p>
    <w:p w14:paraId="25C70171" w14:textId="77777777" w:rsidR="003B4BF9" w:rsidRDefault="003B4BF9" w:rsidP="003B4BF9">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color w:val="000000"/>
          <w:sz w:val="36"/>
          <w:szCs w:val="36"/>
          <w:lang w:eastAsia="zh-CN"/>
        </w:rPr>
      </w:pPr>
    </w:p>
    <w:p w14:paraId="5E8F18A0" w14:textId="77777777" w:rsidR="003B4BF9" w:rsidRDefault="003B4BF9" w:rsidP="003B4BF9">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color w:val="000000"/>
          <w:sz w:val="36"/>
          <w:szCs w:val="36"/>
          <w:lang w:eastAsia="zh-CN"/>
        </w:rPr>
      </w:pPr>
    </w:p>
    <w:p w14:paraId="32B0A464" w14:textId="77777777" w:rsidR="003B4BF9" w:rsidRPr="003F6FC4" w:rsidRDefault="003B4BF9" w:rsidP="003B4BF9">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color w:val="000000"/>
          <w:sz w:val="36"/>
          <w:szCs w:val="36"/>
          <w:lang w:eastAsia="zh-CN"/>
        </w:rPr>
      </w:pPr>
    </w:p>
    <w:p w14:paraId="3D9F6A3E" w14:textId="77777777" w:rsidR="003B4BF9" w:rsidRPr="003C37CB" w:rsidRDefault="003B4BF9" w:rsidP="003B4BF9">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r w:rsidRPr="003C37CB">
        <w:rPr>
          <w:rFonts w:eastAsia="SimSun" w:cs="Arial"/>
          <w:b/>
          <w:sz w:val="36"/>
          <w:szCs w:val="36"/>
          <w:lang w:eastAsia="zh-CN"/>
        </w:rPr>
        <w:t>LONDON BOROUGH OF HAVERING</w:t>
      </w:r>
    </w:p>
    <w:p w14:paraId="27BBA52A" w14:textId="77777777" w:rsidR="003B4BF9" w:rsidRDefault="003B4BF9" w:rsidP="003B4BF9">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36"/>
          <w:szCs w:val="36"/>
          <w:lang w:eastAsia="zh-CN"/>
        </w:rPr>
      </w:pPr>
    </w:p>
    <w:p w14:paraId="64BC1186" w14:textId="77777777" w:rsidR="003B4BF9" w:rsidRPr="003C37CB" w:rsidRDefault="003B4BF9" w:rsidP="003B4BF9">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36"/>
          <w:szCs w:val="36"/>
          <w:lang w:eastAsia="zh-CN"/>
        </w:rPr>
      </w:pPr>
    </w:p>
    <w:p w14:paraId="1DF936A5" w14:textId="77777777" w:rsidR="003B4BF9" w:rsidRPr="006A5EF2" w:rsidRDefault="003B4BF9" w:rsidP="003B4BF9">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48"/>
          <w:szCs w:val="48"/>
          <w:lang w:eastAsia="zh-CN"/>
        </w:rPr>
      </w:pPr>
      <w:r w:rsidRPr="006A5EF2">
        <w:rPr>
          <w:rFonts w:eastAsia="SimSun" w:cs="Arial"/>
          <w:b/>
          <w:sz w:val="48"/>
          <w:szCs w:val="48"/>
          <w:lang w:eastAsia="zh-CN"/>
        </w:rPr>
        <w:t>HES HR</w:t>
      </w:r>
    </w:p>
    <w:p w14:paraId="7CB2202B" w14:textId="77777777" w:rsidR="003B4BF9" w:rsidRDefault="003B4BF9" w:rsidP="003B4BF9">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36"/>
          <w:szCs w:val="36"/>
          <w:lang w:eastAsia="zh-CN"/>
        </w:rPr>
      </w:pPr>
    </w:p>
    <w:p w14:paraId="588915B8" w14:textId="77777777" w:rsidR="003B4BF9" w:rsidRPr="003C37CB" w:rsidRDefault="003B4BF9" w:rsidP="003B4BF9">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36"/>
          <w:szCs w:val="36"/>
          <w:lang w:eastAsia="zh-CN"/>
        </w:rPr>
      </w:pPr>
    </w:p>
    <w:p w14:paraId="1E1316AD" w14:textId="77777777" w:rsidR="003B4BF9" w:rsidRPr="009E1846" w:rsidRDefault="003B4BF9" w:rsidP="003B4BF9">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56"/>
          <w:szCs w:val="56"/>
          <w:lang w:eastAsia="zh-CN"/>
        </w:rPr>
      </w:pPr>
      <w:r>
        <w:rPr>
          <w:rFonts w:eastAsia="SimSun" w:cs="Arial"/>
          <w:b/>
          <w:sz w:val="56"/>
          <w:szCs w:val="56"/>
          <w:lang w:eastAsia="zh-CN"/>
        </w:rPr>
        <w:t xml:space="preserve">MODEL </w:t>
      </w:r>
    </w:p>
    <w:p w14:paraId="5D59B4BA" w14:textId="77777777" w:rsidR="003B4BF9" w:rsidRDefault="003B4BF9" w:rsidP="003B4BF9">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56"/>
          <w:szCs w:val="48"/>
          <w:lang w:eastAsia="zh-CN"/>
        </w:rPr>
      </w:pPr>
      <w:r>
        <w:rPr>
          <w:rFonts w:eastAsia="SimSun" w:cs="Arial"/>
          <w:b/>
          <w:sz w:val="56"/>
          <w:szCs w:val="48"/>
          <w:lang w:eastAsia="zh-CN"/>
        </w:rPr>
        <w:t>CAPABILITY POLICY</w:t>
      </w:r>
      <w:r w:rsidRPr="003C37CB">
        <w:rPr>
          <w:rFonts w:eastAsia="SimSun" w:cs="Arial"/>
          <w:b/>
          <w:sz w:val="56"/>
          <w:szCs w:val="48"/>
          <w:lang w:eastAsia="zh-CN"/>
        </w:rPr>
        <w:t xml:space="preserve"> </w:t>
      </w:r>
    </w:p>
    <w:p w14:paraId="55772128" w14:textId="77777777" w:rsidR="003B4BF9" w:rsidRPr="003F6FC4" w:rsidRDefault="003B4BF9" w:rsidP="003B4BF9">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14:paraId="563FD059" w14:textId="77777777" w:rsidR="003B4BF9" w:rsidRPr="003F6FC4" w:rsidRDefault="003B4BF9" w:rsidP="003B4BF9">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14:paraId="6928D7D9" w14:textId="77777777" w:rsidR="003B4BF9" w:rsidRPr="003C37CB" w:rsidRDefault="003B4BF9" w:rsidP="003B4BF9">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48"/>
          <w:szCs w:val="48"/>
          <w:lang w:eastAsia="zh-CN"/>
        </w:rPr>
      </w:pPr>
      <w:r w:rsidRPr="003C37CB">
        <w:rPr>
          <w:rFonts w:eastAsia="SimSun" w:cs="Arial"/>
          <w:b/>
          <w:sz w:val="48"/>
          <w:szCs w:val="48"/>
          <w:lang w:eastAsia="zh-CN"/>
        </w:rPr>
        <w:t xml:space="preserve">FOR </w:t>
      </w:r>
      <w:r>
        <w:rPr>
          <w:rFonts w:eastAsia="SimSun" w:cs="Arial"/>
          <w:b/>
          <w:sz w:val="48"/>
          <w:szCs w:val="48"/>
          <w:lang w:eastAsia="zh-CN"/>
        </w:rPr>
        <w:t>ALL SCHOOLS</w:t>
      </w:r>
    </w:p>
    <w:p w14:paraId="5EED80CA" w14:textId="77777777" w:rsidR="003B4BF9" w:rsidRPr="003F6FC4" w:rsidRDefault="003B4BF9" w:rsidP="003B4BF9">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14:paraId="5872A0DE" w14:textId="77777777" w:rsidR="003B4BF9" w:rsidRPr="003F6FC4" w:rsidRDefault="003B4BF9" w:rsidP="003B4BF9">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14:paraId="40925C89" w14:textId="77777777" w:rsidR="003B4BF9" w:rsidRPr="003F6FC4" w:rsidRDefault="003B4BF9" w:rsidP="003B4BF9">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14:paraId="49F4BF39" w14:textId="77777777" w:rsidR="003B4BF9" w:rsidRPr="003F6FC4" w:rsidRDefault="003B4BF9" w:rsidP="003B4BF9">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14:paraId="4D58C42C" w14:textId="77777777" w:rsidR="003B4BF9" w:rsidRPr="003F6FC4" w:rsidRDefault="003B4BF9" w:rsidP="003B4BF9">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14:paraId="616ABD59" w14:textId="77777777" w:rsidR="003B4BF9" w:rsidRPr="0059610C" w:rsidRDefault="003B4BF9" w:rsidP="003B4BF9">
      <w:pPr>
        <w:jc w:val="both"/>
        <w:rPr>
          <w:b/>
          <w:sz w:val="36"/>
          <w:szCs w:val="36"/>
        </w:rPr>
      </w:pPr>
    </w:p>
    <w:p w14:paraId="56EEF8B7" w14:textId="77777777" w:rsidR="003B4BF9" w:rsidRPr="0059610C" w:rsidRDefault="003B4BF9" w:rsidP="003B4BF9">
      <w:pPr>
        <w:jc w:val="both"/>
        <w:rPr>
          <w:b/>
          <w:sz w:val="36"/>
          <w:szCs w:val="36"/>
        </w:rPr>
      </w:pPr>
    </w:p>
    <w:tbl>
      <w:tblPr>
        <w:tblW w:w="9751" w:type="dxa"/>
        <w:tblLook w:val="0000" w:firstRow="0" w:lastRow="0" w:firstColumn="0" w:lastColumn="0" w:noHBand="0" w:noVBand="0"/>
      </w:tblPr>
      <w:tblGrid>
        <w:gridCol w:w="1020"/>
        <w:gridCol w:w="8731"/>
      </w:tblGrid>
      <w:tr w:rsidR="00847F07" w14:paraId="74B67DF7" w14:textId="77777777" w:rsidTr="00B66AFB">
        <w:trPr>
          <w:trHeight w:val="283"/>
        </w:trPr>
        <w:tc>
          <w:tcPr>
            <w:tcW w:w="1020" w:type="dxa"/>
          </w:tcPr>
          <w:p w14:paraId="6F301405" w14:textId="77777777" w:rsidR="00EC6D5F" w:rsidRDefault="00EC6D5F" w:rsidP="00281DD9">
            <w:pPr>
              <w:rPr>
                <w:b/>
                <w:bCs/>
                <w:sz w:val="28"/>
              </w:rPr>
            </w:pPr>
          </w:p>
          <w:p w14:paraId="2B52B064" w14:textId="53689BDB" w:rsidR="00847F07" w:rsidRDefault="00847F07" w:rsidP="00281DD9">
            <w:pPr>
              <w:rPr>
                <w:b/>
                <w:bCs/>
                <w:sz w:val="28"/>
              </w:rPr>
            </w:pPr>
            <w:r>
              <w:rPr>
                <w:b/>
                <w:bCs/>
                <w:sz w:val="28"/>
              </w:rPr>
              <w:lastRenderedPageBreak/>
              <w:t>1.0</w:t>
            </w:r>
          </w:p>
        </w:tc>
        <w:tc>
          <w:tcPr>
            <w:tcW w:w="8731" w:type="dxa"/>
          </w:tcPr>
          <w:p w14:paraId="644936C3" w14:textId="77777777" w:rsidR="00EC6D5F" w:rsidRDefault="00EC6D5F" w:rsidP="00281DD9">
            <w:pPr>
              <w:rPr>
                <w:b/>
                <w:bCs/>
                <w:sz w:val="28"/>
              </w:rPr>
            </w:pPr>
          </w:p>
          <w:p w14:paraId="1E45BED4" w14:textId="07D3D2C3" w:rsidR="00847F07" w:rsidRDefault="005B1079" w:rsidP="00281DD9">
            <w:pPr>
              <w:rPr>
                <w:b/>
                <w:bCs/>
                <w:sz w:val="28"/>
              </w:rPr>
            </w:pPr>
            <w:r>
              <w:rPr>
                <w:b/>
                <w:bCs/>
                <w:sz w:val="28"/>
              </w:rPr>
              <w:lastRenderedPageBreak/>
              <w:t>Purpose and Scope</w:t>
            </w:r>
          </w:p>
        </w:tc>
      </w:tr>
      <w:tr w:rsidR="00847F07" w:rsidRPr="009D0524" w14:paraId="4356D283" w14:textId="77777777" w:rsidTr="00B66AFB">
        <w:trPr>
          <w:trHeight w:val="283"/>
        </w:trPr>
        <w:tc>
          <w:tcPr>
            <w:tcW w:w="1020" w:type="dxa"/>
          </w:tcPr>
          <w:p w14:paraId="180B5A5A" w14:textId="77777777" w:rsidR="00847F07" w:rsidRPr="009D0524" w:rsidRDefault="00847F07" w:rsidP="00281DD9">
            <w:pPr>
              <w:spacing w:after="60"/>
              <w:rPr>
                <w:szCs w:val="22"/>
              </w:rPr>
            </w:pPr>
          </w:p>
        </w:tc>
        <w:tc>
          <w:tcPr>
            <w:tcW w:w="8731" w:type="dxa"/>
          </w:tcPr>
          <w:p w14:paraId="0695FEA6" w14:textId="77777777" w:rsidR="00847F07" w:rsidRPr="009D0524" w:rsidRDefault="00847F07" w:rsidP="00281DD9">
            <w:pPr>
              <w:spacing w:after="60"/>
              <w:rPr>
                <w:szCs w:val="22"/>
              </w:rPr>
            </w:pPr>
          </w:p>
        </w:tc>
      </w:tr>
      <w:tr w:rsidR="00BC5E68" w:rsidRPr="00162ABB" w14:paraId="20F158D7" w14:textId="77777777" w:rsidTr="00B66AFB">
        <w:trPr>
          <w:trHeight w:val="283"/>
        </w:trPr>
        <w:tc>
          <w:tcPr>
            <w:tcW w:w="1020" w:type="dxa"/>
          </w:tcPr>
          <w:p w14:paraId="74D6CBDF" w14:textId="77777777" w:rsidR="00BC5E68" w:rsidRPr="00162ABB" w:rsidRDefault="00BC5E68" w:rsidP="00281DD9">
            <w:pPr>
              <w:spacing w:after="60"/>
              <w:rPr>
                <w:szCs w:val="22"/>
              </w:rPr>
            </w:pPr>
            <w:r w:rsidRPr="00162ABB">
              <w:rPr>
                <w:szCs w:val="22"/>
              </w:rPr>
              <w:t>1.1</w:t>
            </w:r>
          </w:p>
        </w:tc>
        <w:tc>
          <w:tcPr>
            <w:tcW w:w="8731" w:type="dxa"/>
          </w:tcPr>
          <w:p w14:paraId="6F581382" w14:textId="77777777" w:rsidR="00BC5E68" w:rsidRPr="00162ABB" w:rsidRDefault="002D4953" w:rsidP="00427129">
            <w:pPr>
              <w:spacing w:after="60"/>
              <w:rPr>
                <w:rFonts w:cs="Arial"/>
                <w:szCs w:val="22"/>
              </w:rPr>
            </w:pPr>
            <w:r w:rsidRPr="00162ABB">
              <w:rPr>
                <w:rFonts w:cs="Arial"/>
                <w:szCs w:val="22"/>
              </w:rPr>
              <w:t>The School</w:t>
            </w:r>
            <w:r w:rsidR="00BC5E68" w:rsidRPr="00162ABB">
              <w:rPr>
                <w:rFonts w:cs="Arial"/>
                <w:szCs w:val="22"/>
              </w:rPr>
              <w:t xml:space="preserve"> is committed to providing appropriate support to </w:t>
            </w:r>
            <w:r w:rsidR="00F160D4">
              <w:rPr>
                <w:rFonts w:cs="Arial"/>
                <w:szCs w:val="22"/>
              </w:rPr>
              <w:t>help employees</w:t>
            </w:r>
            <w:r w:rsidR="003C23D7">
              <w:rPr>
                <w:rFonts w:cs="Arial"/>
                <w:szCs w:val="22"/>
              </w:rPr>
              <w:t xml:space="preserve"> to </w:t>
            </w:r>
            <w:r w:rsidR="00BC5E68" w:rsidRPr="00162ABB">
              <w:rPr>
                <w:rFonts w:cs="Arial"/>
                <w:szCs w:val="22"/>
              </w:rPr>
              <w:t xml:space="preserve">meet </w:t>
            </w:r>
            <w:r w:rsidR="003C23D7">
              <w:rPr>
                <w:rFonts w:cs="Arial"/>
                <w:szCs w:val="22"/>
              </w:rPr>
              <w:t xml:space="preserve">the </w:t>
            </w:r>
            <w:r w:rsidR="00BC5E68" w:rsidRPr="00162ABB">
              <w:rPr>
                <w:rFonts w:cs="Arial"/>
                <w:szCs w:val="22"/>
              </w:rPr>
              <w:t>required standards of performance</w:t>
            </w:r>
            <w:r w:rsidR="0095626D">
              <w:rPr>
                <w:rFonts w:cs="Arial"/>
                <w:szCs w:val="22"/>
              </w:rPr>
              <w:t xml:space="preserve"> in their role</w:t>
            </w:r>
            <w:r w:rsidR="00BC5E68" w:rsidRPr="00162ABB">
              <w:rPr>
                <w:rFonts w:cs="Arial"/>
                <w:szCs w:val="22"/>
              </w:rPr>
              <w:t xml:space="preserve">. To this end </w:t>
            </w:r>
            <w:r w:rsidRPr="00162ABB">
              <w:rPr>
                <w:rFonts w:cs="Arial"/>
                <w:szCs w:val="22"/>
              </w:rPr>
              <w:t>the School</w:t>
            </w:r>
            <w:r w:rsidR="00BC5E68" w:rsidRPr="00162ABB">
              <w:rPr>
                <w:rFonts w:cs="Arial"/>
                <w:szCs w:val="22"/>
              </w:rPr>
              <w:t xml:space="preserve"> will ensure that it </w:t>
            </w:r>
            <w:r w:rsidR="00427129">
              <w:rPr>
                <w:rFonts w:cs="Arial"/>
                <w:szCs w:val="22"/>
              </w:rPr>
              <w:t xml:space="preserve">will provide </w:t>
            </w:r>
            <w:r w:rsidR="00BC5E68" w:rsidRPr="00162ABB">
              <w:rPr>
                <w:rFonts w:cs="Arial"/>
                <w:szCs w:val="22"/>
              </w:rPr>
              <w:t>structured induction, clear work expectations, job instruction, coaching, regular support and supervision, annual performance appraisal, and appropriate training</w:t>
            </w:r>
            <w:r w:rsidR="00624039" w:rsidRPr="00162ABB">
              <w:rPr>
                <w:rFonts w:cs="Arial"/>
                <w:szCs w:val="22"/>
              </w:rPr>
              <w:t>.</w:t>
            </w:r>
          </w:p>
        </w:tc>
      </w:tr>
      <w:tr w:rsidR="003B4BF9" w:rsidRPr="003B4BF9" w14:paraId="209267B0" w14:textId="77777777" w:rsidTr="00B66AFB">
        <w:trPr>
          <w:trHeight w:val="283"/>
        </w:trPr>
        <w:tc>
          <w:tcPr>
            <w:tcW w:w="1020" w:type="dxa"/>
          </w:tcPr>
          <w:p w14:paraId="65E9F842" w14:textId="77777777" w:rsidR="003B4BF9" w:rsidRPr="003B4BF9" w:rsidRDefault="003B4BF9" w:rsidP="00A95416">
            <w:pPr>
              <w:spacing w:after="60"/>
              <w:rPr>
                <w:sz w:val="12"/>
                <w:szCs w:val="12"/>
              </w:rPr>
            </w:pPr>
          </w:p>
        </w:tc>
        <w:tc>
          <w:tcPr>
            <w:tcW w:w="8731" w:type="dxa"/>
          </w:tcPr>
          <w:p w14:paraId="5BE5F91B" w14:textId="77777777" w:rsidR="003B4BF9" w:rsidRPr="003B4BF9" w:rsidRDefault="003B4BF9" w:rsidP="00A95416">
            <w:pPr>
              <w:spacing w:after="60"/>
              <w:rPr>
                <w:sz w:val="12"/>
                <w:szCs w:val="12"/>
              </w:rPr>
            </w:pPr>
          </w:p>
        </w:tc>
      </w:tr>
      <w:tr w:rsidR="00847F07" w:rsidRPr="00162ABB" w14:paraId="0C8B3421" w14:textId="77777777" w:rsidTr="00B66AFB">
        <w:trPr>
          <w:trHeight w:val="283"/>
        </w:trPr>
        <w:tc>
          <w:tcPr>
            <w:tcW w:w="1020" w:type="dxa"/>
          </w:tcPr>
          <w:p w14:paraId="2BA08D7A" w14:textId="77777777" w:rsidR="00847F07" w:rsidRPr="00162ABB" w:rsidRDefault="00847F07" w:rsidP="00281DD9">
            <w:pPr>
              <w:spacing w:after="60"/>
              <w:rPr>
                <w:szCs w:val="22"/>
              </w:rPr>
            </w:pPr>
            <w:r w:rsidRPr="00162ABB">
              <w:rPr>
                <w:szCs w:val="22"/>
              </w:rPr>
              <w:t>1.</w:t>
            </w:r>
            <w:r w:rsidR="00BC5E68" w:rsidRPr="00162ABB">
              <w:rPr>
                <w:szCs w:val="22"/>
              </w:rPr>
              <w:t>2</w:t>
            </w:r>
          </w:p>
        </w:tc>
        <w:tc>
          <w:tcPr>
            <w:tcW w:w="8731" w:type="dxa"/>
          </w:tcPr>
          <w:p w14:paraId="4960402F" w14:textId="56DE7A7D" w:rsidR="00847F07" w:rsidRPr="00162ABB" w:rsidRDefault="00F50493" w:rsidP="002E5F88">
            <w:pPr>
              <w:spacing w:after="60"/>
              <w:rPr>
                <w:rFonts w:cs="Arial"/>
                <w:szCs w:val="22"/>
              </w:rPr>
            </w:pPr>
            <w:r w:rsidRPr="00162ABB">
              <w:rPr>
                <w:rFonts w:cs="Arial"/>
                <w:szCs w:val="22"/>
              </w:rPr>
              <w:t>In cases where</w:t>
            </w:r>
            <w:r w:rsidR="00D16232">
              <w:rPr>
                <w:rFonts w:cs="Arial"/>
                <w:szCs w:val="22"/>
              </w:rPr>
              <w:t>,</w:t>
            </w:r>
            <w:r w:rsidRPr="00162ABB">
              <w:rPr>
                <w:rFonts w:cs="Arial"/>
                <w:szCs w:val="22"/>
              </w:rPr>
              <w:t xml:space="preserve"> despite an appropriate level of support, an employee is failing to or unable to meet the </w:t>
            </w:r>
            <w:r w:rsidRPr="00590E96">
              <w:rPr>
                <w:rFonts w:cs="Arial"/>
                <w:szCs w:val="22"/>
              </w:rPr>
              <w:t>required standards of performance</w:t>
            </w:r>
            <w:r w:rsidR="00C858D1" w:rsidRPr="00590E96">
              <w:rPr>
                <w:rFonts w:cs="Arial"/>
                <w:szCs w:val="22"/>
              </w:rPr>
              <w:t xml:space="preserve"> for reasons connected with skills, knowledge and aptitude</w:t>
            </w:r>
            <w:r w:rsidRPr="00590E96">
              <w:rPr>
                <w:rFonts w:cs="Arial"/>
                <w:szCs w:val="22"/>
              </w:rPr>
              <w:t xml:space="preserve">, this policy will be used to </w:t>
            </w:r>
            <w:r w:rsidR="00427129" w:rsidRPr="00590E96">
              <w:rPr>
                <w:rFonts w:cs="Arial"/>
                <w:szCs w:val="22"/>
              </w:rPr>
              <w:t>address</w:t>
            </w:r>
            <w:r w:rsidR="00F160D4" w:rsidRPr="00590E96">
              <w:rPr>
                <w:rFonts w:cs="Arial"/>
                <w:szCs w:val="22"/>
              </w:rPr>
              <w:t xml:space="preserve"> this</w:t>
            </w:r>
            <w:r w:rsidRPr="00590E96">
              <w:rPr>
                <w:rFonts w:cs="Arial"/>
                <w:szCs w:val="22"/>
              </w:rPr>
              <w:t>.</w:t>
            </w:r>
          </w:p>
        </w:tc>
      </w:tr>
      <w:tr w:rsidR="00296B7A" w:rsidRPr="003B4BF9" w14:paraId="4C1D5D55" w14:textId="77777777" w:rsidTr="00B66AFB">
        <w:trPr>
          <w:trHeight w:val="283"/>
        </w:trPr>
        <w:tc>
          <w:tcPr>
            <w:tcW w:w="1020" w:type="dxa"/>
          </w:tcPr>
          <w:p w14:paraId="535B7C6D" w14:textId="77777777" w:rsidR="00296B7A" w:rsidRPr="003B4BF9" w:rsidRDefault="00296B7A" w:rsidP="00A95416">
            <w:pPr>
              <w:spacing w:after="60"/>
              <w:rPr>
                <w:sz w:val="12"/>
                <w:szCs w:val="12"/>
              </w:rPr>
            </w:pPr>
          </w:p>
        </w:tc>
        <w:tc>
          <w:tcPr>
            <w:tcW w:w="8731" w:type="dxa"/>
          </w:tcPr>
          <w:p w14:paraId="77C14267" w14:textId="77777777" w:rsidR="00296B7A" w:rsidRPr="003B4BF9" w:rsidRDefault="00296B7A" w:rsidP="00A95416">
            <w:pPr>
              <w:spacing w:after="60"/>
              <w:rPr>
                <w:sz w:val="12"/>
                <w:szCs w:val="12"/>
              </w:rPr>
            </w:pPr>
          </w:p>
        </w:tc>
      </w:tr>
      <w:tr w:rsidR="00F50493" w:rsidRPr="00162ABB" w14:paraId="20B48C58" w14:textId="77777777" w:rsidTr="00B66AFB">
        <w:trPr>
          <w:trHeight w:val="283"/>
        </w:trPr>
        <w:tc>
          <w:tcPr>
            <w:tcW w:w="1020" w:type="dxa"/>
          </w:tcPr>
          <w:p w14:paraId="1D925FB8" w14:textId="77777777" w:rsidR="00F50493" w:rsidRPr="00162ABB" w:rsidRDefault="00F50493" w:rsidP="00281DD9">
            <w:pPr>
              <w:spacing w:after="60"/>
              <w:rPr>
                <w:szCs w:val="22"/>
              </w:rPr>
            </w:pPr>
            <w:r w:rsidRPr="00162ABB">
              <w:rPr>
                <w:szCs w:val="22"/>
              </w:rPr>
              <w:t>1.</w:t>
            </w:r>
            <w:r w:rsidR="00BC5E68" w:rsidRPr="00162ABB">
              <w:rPr>
                <w:szCs w:val="22"/>
              </w:rPr>
              <w:t>3</w:t>
            </w:r>
          </w:p>
        </w:tc>
        <w:tc>
          <w:tcPr>
            <w:tcW w:w="8731" w:type="dxa"/>
          </w:tcPr>
          <w:p w14:paraId="136EE785" w14:textId="77777777" w:rsidR="00F50493" w:rsidRPr="00162ABB" w:rsidRDefault="00F50493" w:rsidP="00F42E51">
            <w:pPr>
              <w:spacing w:after="120"/>
              <w:rPr>
                <w:rFonts w:cs="Arial"/>
                <w:bCs/>
                <w:szCs w:val="22"/>
              </w:rPr>
            </w:pPr>
            <w:r w:rsidRPr="00162ABB">
              <w:rPr>
                <w:rFonts w:cs="Arial"/>
                <w:szCs w:val="22"/>
              </w:rPr>
              <w:t>This policy applies to all School employees with the following exceptions:</w:t>
            </w:r>
          </w:p>
        </w:tc>
      </w:tr>
      <w:tr w:rsidR="00B66AFB" w:rsidRPr="00162ABB" w14:paraId="0339B25A" w14:textId="77777777" w:rsidTr="004226A6">
        <w:trPr>
          <w:trHeight w:val="283"/>
        </w:trPr>
        <w:tc>
          <w:tcPr>
            <w:tcW w:w="1020" w:type="dxa"/>
          </w:tcPr>
          <w:p w14:paraId="4978DA32" w14:textId="77777777" w:rsidR="00B66AFB" w:rsidRPr="00162ABB" w:rsidRDefault="00B66AFB" w:rsidP="004226A6">
            <w:pPr>
              <w:spacing w:after="60"/>
              <w:rPr>
                <w:szCs w:val="22"/>
              </w:rPr>
            </w:pPr>
          </w:p>
        </w:tc>
        <w:tc>
          <w:tcPr>
            <w:tcW w:w="8731" w:type="dxa"/>
          </w:tcPr>
          <w:p w14:paraId="3C577BEB" w14:textId="77777777" w:rsidR="00B66AFB" w:rsidRPr="00F42E51" w:rsidRDefault="00B66AFB" w:rsidP="00CB7D79">
            <w:pPr>
              <w:pStyle w:val="ListParagraph"/>
              <w:numPr>
                <w:ilvl w:val="0"/>
                <w:numId w:val="1"/>
              </w:numPr>
              <w:tabs>
                <w:tab w:val="left" w:pos="357"/>
              </w:tabs>
              <w:ind w:left="357" w:hanging="357"/>
              <w:rPr>
                <w:szCs w:val="22"/>
              </w:rPr>
            </w:pPr>
            <w:r w:rsidRPr="00F42E51">
              <w:rPr>
                <w:rFonts w:cs="Arial"/>
                <w:szCs w:val="22"/>
              </w:rPr>
              <w:t>Employees during their probationary period of employment, or any probationary extension period which will be dealt with under the Probationary Policy.</w:t>
            </w:r>
          </w:p>
        </w:tc>
      </w:tr>
      <w:tr w:rsidR="00B66AFB" w:rsidRPr="00162ABB" w14:paraId="16D44E26" w14:textId="77777777" w:rsidTr="004226A6">
        <w:trPr>
          <w:trHeight w:val="283"/>
        </w:trPr>
        <w:tc>
          <w:tcPr>
            <w:tcW w:w="1020" w:type="dxa"/>
          </w:tcPr>
          <w:p w14:paraId="577BE137" w14:textId="77777777" w:rsidR="00B66AFB" w:rsidRPr="00162ABB" w:rsidRDefault="00B66AFB" w:rsidP="004226A6">
            <w:pPr>
              <w:spacing w:after="60"/>
              <w:rPr>
                <w:szCs w:val="22"/>
              </w:rPr>
            </w:pPr>
          </w:p>
        </w:tc>
        <w:tc>
          <w:tcPr>
            <w:tcW w:w="8731" w:type="dxa"/>
          </w:tcPr>
          <w:p w14:paraId="467BCF80" w14:textId="71AA8428" w:rsidR="00B66AFB" w:rsidRPr="00B97DB3" w:rsidRDefault="00B66AFB" w:rsidP="00B97DB3">
            <w:pPr>
              <w:tabs>
                <w:tab w:val="left" w:pos="357"/>
              </w:tabs>
              <w:rPr>
                <w:szCs w:val="22"/>
              </w:rPr>
            </w:pPr>
          </w:p>
        </w:tc>
      </w:tr>
      <w:tr w:rsidR="00F50493" w:rsidRPr="00162ABB" w14:paraId="4F35FF31" w14:textId="77777777" w:rsidTr="00B66AFB">
        <w:trPr>
          <w:trHeight w:val="283"/>
        </w:trPr>
        <w:tc>
          <w:tcPr>
            <w:tcW w:w="1020" w:type="dxa"/>
          </w:tcPr>
          <w:p w14:paraId="69C6C9D0" w14:textId="77777777" w:rsidR="00F50493" w:rsidRPr="00162ABB" w:rsidRDefault="00F50493" w:rsidP="00281DD9">
            <w:pPr>
              <w:spacing w:after="60"/>
              <w:rPr>
                <w:szCs w:val="22"/>
              </w:rPr>
            </w:pPr>
          </w:p>
        </w:tc>
        <w:tc>
          <w:tcPr>
            <w:tcW w:w="8731" w:type="dxa"/>
          </w:tcPr>
          <w:p w14:paraId="0A3931BE" w14:textId="1C20ECE7" w:rsidR="00281DD9" w:rsidRPr="00F42E51" w:rsidRDefault="00F160D4" w:rsidP="00CB7D79">
            <w:pPr>
              <w:pStyle w:val="ListParagraph"/>
              <w:numPr>
                <w:ilvl w:val="0"/>
                <w:numId w:val="1"/>
              </w:numPr>
              <w:tabs>
                <w:tab w:val="left" w:pos="357"/>
              </w:tabs>
              <w:spacing w:after="60"/>
              <w:ind w:left="357" w:hanging="357"/>
              <w:rPr>
                <w:szCs w:val="22"/>
              </w:rPr>
            </w:pPr>
            <w:r w:rsidRPr="00F42E51">
              <w:rPr>
                <w:rFonts w:cs="Arial"/>
                <w:szCs w:val="22"/>
              </w:rPr>
              <w:t>Pe</w:t>
            </w:r>
            <w:r w:rsidR="00281DD9" w:rsidRPr="00F42E51">
              <w:rPr>
                <w:rFonts w:cs="Arial"/>
                <w:szCs w:val="22"/>
              </w:rPr>
              <w:t>rformance which is considered to be attributable to a</w:t>
            </w:r>
            <w:r w:rsidR="0095626D">
              <w:rPr>
                <w:rFonts w:cs="Arial"/>
                <w:szCs w:val="22"/>
              </w:rPr>
              <w:t>n</w:t>
            </w:r>
            <w:r w:rsidR="00281DD9" w:rsidRPr="00F42E51">
              <w:rPr>
                <w:rFonts w:cs="Arial"/>
                <w:szCs w:val="22"/>
              </w:rPr>
              <w:t xml:space="preserve"> </w:t>
            </w:r>
            <w:r w:rsidR="0095626D" w:rsidRPr="00F42E51">
              <w:rPr>
                <w:rFonts w:cs="Arial"/>
                <w:szCs w:val="22"/>
              </w:rPr>
              <w:t>unwillingness</w:t>
            </w:r>
            <w:r w:rsidR="00281DD9" w:rsidRPr="00F42E51">
              <w:rPr>
                <w:rFonts w:cs="Arial"/>
                <w:szCs w:val="22"/>
              </w:rPr>
              <w:t xml:space="preserve"> by the employee to carry out their duties efficiently or effectively rather than to lack of skill or aptitude will be dealt with under the Disciplinary Policy</w:t>
            </w:r>
            <w:r w:rsidRPr="00F42E51">
              <w:rPr>
                <w:rFonts w:cs="Arial"/>
                <w:szCs w:val="22"/>
              </w:rPr>
              <w:t>.</w:t>
            </w:r>
          </w:p>
        </w:tc>
      </w:tr>
      <w:tr w:rsidR="00296B7A" w:rsidRPr="003B4BF9" w14:paraId="2C4EEA83" w14:textId="77777777" w:rsidTr="00B66AFB">
        <w:trPr>
          <w:trHeight w:val="283"/>
        </w:trPr>
        <w:tc>
          <w:tcPr>
            <w:tcW w:w="1020" w:type="dxa"/>
          </w:tcPr>
          <w:p w14:paraId="658BEB57" w14:textId="77777777" w:rsidR="00296B7A" w:rsidRPr="003B4BF9" w:rsidRDefault="00296B7A" w:rsidP="00A95416">
            <w:pPr>
              <w:spacing w:after="60"/>
              <w:rPr>
                <w:sz w:val="12"/>
                <w:szCs w:val="12"/>
              </w:rPr>
            </w:pPr>
          </w:p>
        </w:tc>
        <w:tc>
          <w:tcPr>
            <w:tcW w:w="8731" w:type="dxa"/>
          </w:tcPr>
          <w:p w14:paraId="43D06210" w14:textId="77777777" w:rsidR="00296B7A" w:rsidRPr="003B4BF9" w:rsidRDefault="00296B7A" w:rsidP="00A95416">
            <w:pPr>
              <w:spacing w:after="60"/>
              <w:rPr>
                <w:sz w:val="12"/>
                <w:szCs w:val="12"/>
              </w:rPr>
            </w:pPr>
          </w:p>
        </w:tc>
      </w:tr>
      <w:tr w:rsidR="00453F33" w14:paraId="6C79717B" w14:textId="77777777" w:rsidTr="00B66AFB">
        <w:trPr>
          <w:trHeight w:val="283"/>
        </w:trPr>
        <w:tc>
          <w:tcPr>
            <w:tcW w:w="1020" w:type="dxa"/>
          </w:tcPr>
          <w:p w14:paraId="6A87703D" w14:textId="77777777" w:rsidR="00453F33" w:rsidRDefault="00453F33" w:rsidP="00281DD9">
            <w:pPr>
              <w:spacing w:after="60"/>
            </w:pPr>
            <w:r>
              <w:t>1.</w:t>
            </w:r>
            <w:r w:rsidR="000C242E">
              <w:t>4</w:t>
            </w:r>
          </w:p>
        </w:tc>
        <w:tc>
          <w:tcPr>
            <w:tcW w:w="8731" w:type="dxa"/>
          </w:tcPr>
          <w:p w14:paraId="68E9CD64" w14:textId="77777777" w:rsidR="00453F33" w:rsidRPr="009745C3" w:rsidRDefault="00453F33" w:rsidP="00281DD9">
            <w:pPr>
              <w:spacing w:after="60"/>
              <w:rPr>
                <w:rFonts w:cs="Arial"/>
                <w:bCs/>
                <w:szCs w:val="22"/>
              </w:rPr>
            </w:pPr>
            <w:r w:rsidRPr="009745C3">
              <w:rPr>
                <w:rFonts w:cs="Arial"/>
                <w:szCs w:val="22"/>
              </w:rPr>
              <w:t xml:space="preserve">This policy </w:t>
            </w:r>
            <w:r w:rsidR="000C242E">
              <w:rPr>
                <w:rFonts w:cs="Arial"/>
                <w:szCs w:val="22"/>
              </w:rPr>
              <w:t xml:space="preserve">also </w:t>
            </w:r>
            <w:r w:rsidRPr="009745C3">
              <w:rPr>
                <w:rFonts w:cs="Arial"/>
                <w:szCs w:val="22"/>
              </w:rPr>
              <w:t xml:space="preserve">does not apply to agency staff, consultants, casual workers, and external </w:t>
            </w:r>
            <w:proofErr w:type="spellStart"/>
            <w:r w:rsidRPr="009745C3">
              <w:rPr>
                <w:rFonts w:cs="Arial"/>
                <w:szCs w:val="22"/>
              </w:rPr>
              <w:t>secondees</w:t>
            </w:r>
            <w:proofErr w:type="spellEnd"/>
            <w:r w:rsidRPr="009745C3">
              <w:rPr>
                <w:rFonts w:cs="Arial"/>
                <w:szCs w:val="22"/>
              </w:rPr>
              <w:t xml:space="preserve"> working for </w:t>
            </w:r>
            <w:r>
              <w:rPr>
                <w:rFonts w:cs="Arial"/>
                <w:szCs w:val="22"/>
              </w:rPr>
              <w:t>the School.</w:t>
            </w:r>
          </w:p>
        </w:tc>
      </w:tr>
      <w:tr w:rsidR="00296B7A" w:rsidRPr="003B4BF9" w14:paraId="655DDC4E" w14:textId="77777777" w:rsidTr="00B66AFB">
        <w:trPr>
          <w:trHeight w:val="283"/>
        </w:trPr>
        <w:tc>
          <w:tcPr>
            <w:tcW w:w="1020" w:type="dxa"/>
          </w:tcPr>
          <w:p w14:paraId="0A037B11" w14:textId="77777777" w:rsidR="00296B7A" w:rsidRPr="003B4BF9" w:rsidRDefault="00296B7A" w:rsidP="00A95416">
            <w:pPr>
              <w:spacing w:after="60"/>
              <w:rPr>
                <w:sz w:val="12"/>
                <w:szCs w:val="12"/>
              </w:rPr>
            </w:pPr>
          </w:p>
        </w:tc>
        <w:tc>
          <w:tcPr>
            <w:tcW w:w="8731" w:type="dxa"/>
          </w:tcPr>
          <w:p w14:paraId="4294E68F" w14:textId="77777777" w:rsidR="00296B7A" w:rsidRPr="003B4BF9" w:rsidRDefault="00296B7A" w:rsidP="00A95416">
            <w:pPr>
              <w:spacing w:after="60"/>
              <w:rPr>
                <w:sz w:val="12"/>
                <w:szCs w:val="12"/>
              </w:rPr>
            </w:pPr>
          </w:p>
        </w:tc>
      </w:tr>
      <w:tr w:rsidR="00F50493" w:rsidRPr="00162ABB" w14:paraId="6C757A2F" w14:textId="77777777" w:rsidTr="00B66AFB">
        <w:trPr>
          <w:trHeight w:val="283"/>
        </w:trPr>
        <w:tc>
          <w:tcPr>
            <w:tcW w:w="1020" w:type="dxa"/>
          </w:tcPr>
          <w:p w14:paraId="5CD98CCD" w14:textId="77777777" w:rsidR="00F50493" w:rsidRPr="00162ABB" w:rsidRDefault="00F50493" w:rsidP="00281DD9">
            <w:pPr>
              <w:spacing w:after="60"/>
              <w:rPr>
                <w:szCs w:val="22"/>
              </w:rPr>
            </w:pPr>
            <w:r w:rsidRPr="00162ABB">
              <w:rPr>
                <w:szCs w:val="22"/>
              </w:rPr>
              <w:t>1.</w:t>
            </w:r>
            <w:r w:rsidR="000C242E">
              <w:rPr>
                <w:szCs w:val="22"/>
              </w:rPr>
              <w:t>5</w:t>
            </w:r>
          </w:p>
        </w:tc>
        <w:tc>
          <w:tcPr>
            <w:tcW w:w="8731" w:type="dxa"/>
          </w:tcPr>
          <w:p w14:paraId="20FB86F7" w14:textId="77777777" w:rsidR="00F50493" w:rsidRPr="00162ABB" w:rsidRDefault="00F50493" w:rsidP="00281DD9">
            <w:pPr>
              <w:spacing w:after="60"/>
              <w:rPr>
                <w:rFonts w:cs="Arial"/>
                <w:bCs/>
                <w:szCs w:val="22"/>
              </w:rPr>
            </w:pPr>
            <w:r w:rsidRPr="00162ABB">
              <w:rPr>
                <w:rFonts w:cs="Arial"/>
                <w:szCs w:val="22"/>
              </w:rPr>
              <w:t>This policy does not form part of any individual employee’s contract of employment with the School.</w:t>
            </w:r>
          </w:p>
        </w:tc>
      </w:tr>
      <w:tr w:rsidR="00296B7A" w:rsidRPr="003B4BF9" w14:paraId="2DB6163A" w14:textId="77777777" w:rsidTr="00B66AFB">
        <w:trPr>
          <w:trHeight w:val="283"/>
        </w:trPr>
        <w:tc>
          <w:tcPr>
            <w:tcW w:w="1020" w:type="dxa"/>
          </w:tcPr>
          <w:p w14:paraId="71DD4FB6" w14:textId="77777777" w:rsidR="00296B7A" w:rsidRPr="003B4BF9" w:rsidRDefault="00296B7A" w:rsidP="00A95416">
            <w:pPr>
              <w:spacing w:after="60"/>
              <w:rPr>
                <w:sz w:val="12"/>
                <w:szCs w:val="12"/>
              </w:rPr>
            </w:pPr>
          </w:p>
        </w:tc>
        <w:tc>
          <w:tcPr>
            <w:tcW w:w="8731" w:type="dxa"/>
          </w:tcPr>
          <w:p w14:paraId="5247F606" w14:textId="77777777" w:rsidR="00296B7A" w:rsidRPr="003B4BF9" w:rsidRDefault="00296B7A" w:rsidP="00A95416">
            <w:pPr>
              <w:spacing w:after="60"/>
              <w:rPr>
                <w:sz w:val="12"/>
                <w:szCs w:val="12"/>
              </w:rPr>
            </w:pPr>
          </w:p>
        </w:tc>
      </w:tr>
      <w:tr w:rsidR="007A70EF" w:rsidRPr="00C547A7" w14:paraId="254E249D" w14:textId="77777777" w:rsidTr="00B66AFB">
        <w:trPr>
          <w:trHeight w:val="283"/>
        </w:trPr>
        <w:tc>
          <w:tcPr>
            <w:tcW w:w="1020" w:type="dxa"/>
          </w:tcPr>
          <w:p w14:paraId="3D7F84F0" w14:textId="77777777" w:rsidR="007A70EF" w:rsidRPr="00BF06BC" w:rsidRDefault="007A70EF" w:rsidP="007A70EF">
            <w:pPr>
              <w:spacing w:after="60"/>
              <w:rPr>
                <w:szCs w:val="22"/>
              </w:rPr>
            </w:pPr>
            <w:r w:rsidRPr="00BF06BC">
              <w:rPr>
                <w:szCs w:val="22"/>
              </w:rPr>
              <w:t>1.6</w:t>
            </w:r>
          </w:p>
        </w:tc>
        <w:tc>
          <w:tcPr>
            <w:tcW w:w="8731" w:type="dxa"/>
          </w:tcPr>
          <w:p w14:paraId="601BCB2B" w14:textId="77777777" w:rsidR="007A70EF" w:rsidRPr="00BF06BC" w:rsidRDefault="007A70EF" w:rsidP="007A70EF">
            <w:pPr>
              <w:spacing w:after="60"/>
              <w:rPr>
                <w:rFonts w:cs="Arial"/>
                <w:szCs w:val="22"/>
              </w:rPr>
            </w:pPr>
            <w:r w:rsidRPr="00BF06BC">
              <w:rPr>
                <w:rFonts w:cs="Arial"/>
                <w:szCs w:val="22"/>
              </w:rPr>
              <w:t>The purpose of this policy is to set out what is required and the options available to the School in dealing with capability issues. For comprehensive guidance on how to effectively implement this policy the school should refer to the Capability Management Toolkit.</w:t>
            </w:r>
          </w:p>
        </w:tc>
      </w:tr>
    </w:tbl>
    <w:p w14:paraId="41DF5568" w14:textId="77777777" w:rsidR="00847F07" w:rsidRDefault="00847F07" w:rsidP="00281DD9">
      <w:pPr>
        <w:pStyle w:val="Header"/>
        <w:tabs>
          <w:tab w:val="clear" w:pos="4153"/>
          <w:tab w:val="clear" w:pos="8306"/>
        </w:tabs>
      </w:pPr>
    </w:p>
    <w:p w14:paraId="2FDC3D5D" w14:textId="77777777" w:rsidR="00847F07" w:rsidRDefault="00847F07" w:rsidP="00281DD9"/>
    <w:tbl>
      <w:tblPr>
        <w:tblW w:w="9751" w:type="dxa"/>
        <w:tblLook w:val="0000" w:firstRow="0" w:lastRow="0" w:firstColumn="0" w:lastColumn="0" w:noHBand="0" w:noVBand="0"/>
      </w:tblPr>
      <w:tblGrid>
        <w:gridCol w:w="1020"/>
        <w:gridCol w:w="8731"/>
      </w:tblGrid>
      <w:tr w:rsidR="00847F07" w14:paraId="7BE78297" w14:textId="77777777" w:rsidTr="00B66AFB">
        <w:trPr>
          <w:trHeight w:val="283"/>
        </w:trPr>
        <w:tc>
          <w:tcPr>
            <w:tcW w:w="1020" w:type="dxa"/>
          </w:tcPr>
          <w:p w14:paraId="2F2AF6AC" w14:textId="77777777" w:rsidR="00847F07" w:rsidRDefault="00847F07" w:rsidP="00281DD9">
            <w:pPr>
              <w:rPr>
                <w:b/>
                <w:bCs/>
                <w:sz w:val="28"/>
              </w:rPr>
            </w:pPr>
            <w:r>
              <w:rPr>
                <w:b/>
                <w:bCs/>
                <w:sz w:val="28"/>
              </w:rPr>
              <w:t>2.0</w:t>
            </w:r>
          </w:p>
        </w:tc>
        <w:tc>
          <w:tcPr>
            <w:tcW w:w="8731" w:type="dxa"/>
          </w:tcPr>
          <w:p w14:paraId="1E45EED1" w14:textId="77777777" w:rsidR="00847F07" w:rsidRDefault="005B1079" w:rsidP="00281DD9">
            <w:pPr>
              <w:pStyle w:val="Heading2"/>
            </w:pPr>
            <w:r>
              <w:t>Principles</w:t>
            </w:r>
          </w:p>
        </w:tc>
      </w:tr>
      <w:tr w:rsidR="00847F07" w:rsidRPr="009D0524" w14:paraId="60A3EFE4" w14:textId="77777777" w:rsidTr="00B66AFB">
        <w:trPr>
          <w:trHeight w:val="283"/>
        </w:trPr>
        <w:tc>
          <w:tcPr>
            <w:tcW w:w="1020" w:type="dxa"/>
          </w:tcPr>
          <w:p w14:paraId="7B89E3AC" w14:textId="77777777" w:rsidR="00847F07" w:rsidRPr="009D0524" w:rsidRDefault="00847F07" w:rsidP="00281DD9">
            <w:pPr>
              <w:spacing w:after="60"/>
              <w:rPr>
                <w:szCs w:val="22"/>
              </w:rPr>
            </w:pPr>
          </w:p>
        </w:tc>
        <w:tc>
          <w:tcPr>
            <w:tcW w:w="8731" w:type="dxa"/>
          </w:tcPr>
          <w:p w14:paraId="73F03165" w14:textId="77777777" w:rsidR="00847F07" w:rsidRPr="009D0524" w:rsidRDefault="00847F07" w:rsidP="00281DD9">
            <w:pPr>
              <w:spacing w:after="60"/>
              <w:rPr>
                <w:szCs w:val="22"/>
              </w:rPr>
            </w:pPr>
          </w:p>
        </w:tc>
      </w:tr>
      <w:tr w:rsidR="00103DA0" w:rsidRPr="00162ABB" w14:paraId="30D13CF7" w14:textId="77777777" w:rsidTr="00B66AFB">
        <w:trPr>
          <w:trHeight w:val="283"/>
        </w:trPr>
        <w:tc>
          <w:tcPr>
            <w:tcW w:w="1020" w:type="dxa"/>
          </w:tcPr>
          <w:p w14:paraId="0C36F5F1" w14:textId="77777777" w:rsidR="00103DA0" w:rsidRPr="00162ABB" w:rsidRDefault="00103DA0" w:rsidP="00F160D4">
            <w:pPr>
              <w:spacing w:after="60"/>
              <w:rPr>
                <w:szCs w:val="22"/>
              </w:rPr>
            </w:pPr>
            <w:r w:rsidRPr="00162ABB">
              <w:rPr>
                <w:szCs w:val="22"/>
              </w:rPr>
              <w:t>2.</w:t>
            </w:r>
            <w:r w:rsidR="00F160D4">
              <w:rPr>
                <w:szCs w:val="22"/>
              </w:rPr>
              <w:t>1</w:t>
            </w:r>
          </w:p>
        </w:tc>
        <w:tc>
          <w:tcPr>
            <w:tcW w:w="8731" w:type="dxa"/>
          </w:tcPr>
          <w:p w14:paraId="3385D88C" w14:textId="2F65A234" w:rsidR="00103DA0" w:rsidRPr="00590E96" w:rsidRDefault="009F2958" w:rsidP="002E5F88">
            <w:pPr>
              <w:spacing w:after="60"/>
              <w:rPr>
                <w:szCs w:val="22"/>
              </w:rPr>
            </w:pPr>
            <w:r w:rsidRPr="00590E96">
              <w:rPr>
                <w:rFonts w:cs="Arial"/>
                <w:color w:val="000000" w:themeColor="text1"/>
                <w:szCs w:val="22"/>
              </w:rPr>
              <w:t>In circumstances</w:t>
            </w:r>
            <w:r w:rsidR="00103DA0" w:rsidRPr="00590E96">
              <w:rPr>
                <w:rFonts w:cs="Arial"/>
                <w:color w:val="000000" w:themeColor="text1"/>
                <w:szCs w:val="22"/>
              </w:rPr>
              <w:t xml:space="preserve"> where </w:t>
            </w:r>
            <w:r w:rsidRPr="00590E96">
              <w:rPr>
                <w:rFonts w:cs="Arial"/>
                <w:color w:val="000000" w:themeColor="text1"/>
                <w:szCs w:val="22"/>
              </w:rPr>
              <w:t xml:space="preserve">an employee is </w:t>
            </w:r>
            <w:r w:rsidR="00F160D4" w:rsidRPr="00590E96">
              <w:rPr>
                <w:rFonts w:cs="Arial"/>
                <w:color w:val="000000" w:themeColor="text1"/>
                <w:szCs w:val="22"/>
              </w:rPr>
              <w:t xml:space="preserve">not meeting the required standards of performance </w:t>
            </w:r>
            <w:r w:rsidRPr="00590E96">
              <w:rPr>
                <w:rFonts w:cs="Arial"/>
                <w:color w:val="000000" w:themeColor="text1"/>
                <w:szCs w:val="22"/>
              </w:rPr>
              <w:t xml:space="preserve">which </w:t>
            </w:r>
            <w:r w:rsidR="00F160D4" w:rsidRPr="00590E96">
              <w:rPr>
                <w:rFonts w:cs="Arial"/>
                <w:color w:val="000000" w:themeColor="text1"/>
                <w:szCs w:val="22"/>
              </w:rPr>
              <w:t xml:space="preserve">is </w:t>
            </w:r>
            <w:r w:rsidR="00103DA0" w:rsidRPr="00590E96">
              <w:rPr>
                <w:rFonts w:cs="Arial"/>
                <w:color w:val="000000" w:themeColor="text1"/>
                <w:szCs w:val="22"/>
              </w:rPr>
              <w:t xml:space="preserve">considered to be attributable </w:t>
            </w:r>
            <w:r w:rsidR="00F160D4" w:rsidRPr="00590E96">
              <w:rPr>
                <w:rFonts w:cs="Arial"/>
                <w:color w:val="000000" w:themeColor="text1"/>
                <w:szCs w:val="22"/>
              </w:rPr>
              <w:t xml:space="preserve">to ill health or a disability </w:t>
            </w:r>
            <w:r w:rsidR="00427129" w:rsidRPr="00590E96">
              <w:rPr>
                <w:rFonts w:cs="Arial"/>
                <w:color w:val="000000" w:themeColor="text1"/>
                <w:szCs w:val="22"/>
              </w:rPr>
              <w:t xml:space="preserve">this </w:t>
            </w:r>
            <w:r w:rsidR="00C858D1" w:rsidRPr="00590E96">
              <w:rPr>
                <w:rFonts w:cs="Arial"/>
                <w:color w:val="000000" w:themeColor="text1"/>
                <w:szCs w:val="22"/>
              </w:rPr>
              <w:t>should</w:t>
            </w:r>
            <w:r w:rsidR="00103DA0" w:rsidRPr="00590E96">
              <w:rPr>
                <w:rFonts w:cs="Arial"/>
                <w:color w:val="000000" w:themeColor="text1"/>
                <w:szCs w:val="22"/>
              </w:rPr>
              <w:t xml:space="preserve"> be dealt with under </w:t>
            </w:r>
            <w:r w:rsidRPr="00590E96">
              <w:rPr>
                <w:rFonts w:cs="Arial"/>
                <w:color w:val="000000" w:themeColor="text1"/>
                <w:szCs w:val="22"/>
              </w:rPr>
              <w:t xml:space="preserve">the Managing </w:t>
            </w:r>
            <w:r w:rsidR="00800A98">
              <w:rPr>
                <w:rFonts w:cs="Arial"/>
                <w:color w:val="000000" w:themeColor="text1"/>
                <w:szCs w:val="22"/>
              </w:rPr>
              <w:t>Sickness Absence</w:t>
            </w:r>
            <w:r w:rsidR="00800A98" w:rsidRPr="00590E96">
              <w:rPr>
                <w:rFonts w:cs="Arial"/>
                <w:color w:val="000000" w:themeColor="text1"/>
                <w:szCs w:val="22"/>
              </w:rPr>
              <w:t xml:space="preserve"> </w:t>
            </w:r>
            <w:r w:rsidRPr="00590E96">
              <w:rPr>
                <w:rFonts w:cs="Arial"/>
                <w:color w:val="000000" w:themeColor="text1"/>
                <w:szCs w:val="22"/>
              </w:rPr>
              <w:t>policy</w:t>
            </w:r>
            <w:r w:rsidR="00103DA0" w:rsidRPr="00590E96">
              <w:rPr>
                <w:rFonts w:cs="Arial"/>
                <w:color w:val="000000" w:themeColor="text1"/>
                <w:szCs w:val="22"/>
              </w:rPr>
              <w:t xml:space="preserve">. </w:t>
            </w:r>
          </w:p>
        </w:tc>
      </w:tr>
      <w:tr w:rsidR="00296B7A" w:rsidRPr="003B4BF9" w14:paraId="351EC884" w14:textId="77777777" w:rsidTr="00B66AFB">
        <w:trPr>
          <w:trHeight w:val="283"/>
        </w:trPr>
        <w:tc>
          <w:tcPr>
            <w:tcW w:w="1020" w:type="dxa"/>
          </w:tcPr>
          <w:p w14:paraId="661C9BDB" w14:textId="77777777" w:rsidR="00296B7A" w:rsidRPr="003B4BF9" w:rsidRDefault="00296B7A" w:rsidP="00A95416">
            <w:pPr>
              <w:spacing w:after="60"/>
              <w:rPr>
                <w:sz w:val="12"/>
                <w:szCs w:val="12"/>
              </w:rPr>
            </w:pPr>
          </w:p>
        </w:tc>
        <w:tc>
          <w:tcPr>
            <w:tcW w:w="8731" w:type="dxa"/>
          </w:tcPr>
          <w:p w14:paraId="72940F60" w14:textId="77777777" w:rsidR="00296B7A" w:rsidRPr="003B4BF9" w:rsidRDefault="00296B7A" w:rsidP="00A95416">
            <w:pPr>
              <w:spacing w:after="60"/>
              <w:rPr>
                <w:sz w:val="12"/>
                <w:szCs w:val="12"/>
              </w:rPr>
            </w:pPr>
          </w:p>
        </w:tc>
      </w:tr>
      <w:tr w:rsidR="00847F07" w:rsidRPr="00162ABB" w14:paraId="611B2938" w14:textId="77777777" w:rsidTr="00B66AFB">
        <w:trPr>
          <w:trHeight w:val="283"/>
        </w:trPr>
        <w:tc>
          <w:tcPr>
            <w:tcW w:w="1020" w:type="dxa"/>
          </w:tcPr>
          <w:p w14:paraId="78FF467E" w14:textId="77777777" w:rsidR="00847F07" w:rsidRPr="00791ACA" w:rsidRDefault="00847F07" w:rsidP="00F160D4">
            <w:pPr>
              <w:spacing w:after="60"/>
              <w:rPr>
                <w:szCs w:val="22"/>
              </w:rPr>
            </w:pPr>
            <w:r w:rsidRPr="00791ACA">
              <w:rPr>
                <w:szCs w:val="22"/>
              </w:rPr>
              <w:t>2.</w:t>
            </w:r>
            <w:r w:rsidR="00F160D4" w:rsidRPr="00791ACA">
              <w:rPr>
                <w:szCs w:val="22"/>
              </w:rPr>
              <w:t>2</w:t>
            </w:r>
          </w:p>
        </w:tc>
        <w:tc>
          <w:tcPr>
            <w:tcW w:w="8731" w:type="dxa"/>
          </w:tcPr>
          <w:p w14:paraId="7440481B" w14:textId="194A0739" w:rsidR="00847F07" w:rsidRPr="00590E96" w:rsidRDefault="00F50493" w:rsidP="0029718F">
            <w:pPr>
              <w:spacing w:after="60"/>
              <w:rPr>
                <w:szCs w:val="22"/>
              </w:rPr>
            </w:pPr>
            <w:r w:rsidRPr="00791ACA">
              <w:rPr>
                <w:rFonts w:cs="Arial"/>
                <w:color w:val="000000" w:themeColor="text1"/>
                <w:szCs w:val="22"/>
              </w:rPr>
              <w:t>If sickness absence occurs</w:t>
            </w:r>
            <w:r w:rsidR="002617D5" w:rsidRPr="00791ACA">
              <w:rPr>
                <w:rFonts w:cs="Arial"/>
                <w:color w:val="000000" w:themeColor="text1"/>
                <w:szCs w:val="22"/>
              </w:rPr>
              <w:t xml:space="preserve"> during the capability process</w:t>
            </w:r>
            <w:r w:rsidR="0095626D" w:rsidRPr="00791ACA">
              <w:rPr>
                <w:rFonts w:cs="Arial"/>
                <w:color w:val="000000" w:themeColor="text1"/>
                <w:szCs w:val="22"/>
              </w:rPr>
              <w:t>,</w:t>
            </w:r>
            <w:r w:rsidR="003C23D7" w:rsidRPr="00791ACA">
              <w:rPr>
                <w:rFonts w:cs="Arial"/>
                <w:color w:val="000000" w:themeColor="text1"/>
                <w:szCs w:val="22"/>
              </w:rPr>
              <w:t xml:space="preserve"> then </w:t>
            </w:r>
            <w:r w:rsidR="00427129" w:rsidRPr="00791ACA">
              <w:rPr>
                <w:rFonts w:cs="Arial"/>
                <w:color w:val="000000" w:themeColor="text1"/>
                <w:szCs w:val="22"/>
              </w:rPr>
              <w:t>the Capability policy</w:t>
            </w:r>
            <w:r w:rsidR="002E4AF7" w:rsidRPr="00791ACA">
              <w:rPr>
                <w:rFonts w:cs="Arial"/>
                <w:color w:val="000000" w:themeColor="text1"/>
                <w:szCs w:val="22"/>
              </w:rPr>
              <w:t xml:space="preserve"> would continue to apply</w:t>
            </w:r>
            <w:r w:rsidR="0008694B" w:rsidRPr="00791ACA">
              <w:rPr>
                <w:rFonts w:cs="Arial"/>
                <w:color w:val="000000" w:themeColor="text1"/>
                <w:szCs w:val="22"/>
              </w:rPr>
              <w:t xml:space="preserve"> in parallel with the Managing </w:t>
            </w:r>
            <w:r w:rsidR="0029718F" w:rsidRPr="00791ACA">
              <w:rPr>
                <w:rFonts w:cs="Arial"/>
                <w:color w:val="000000" w:themeColor="text1"/>
                <w:szCs w:val="22"/>
              </w:rPr>
              <w:t>Sickness Absence</w:t>
            </w:r>
            <w:r w:rsidR="0008694B" w:rsidRPr="00791ACA">
              <w:rPr>
                <w:rFonts w:cs="Arial"/>
                <w:color w:val="000000" w:themeColor="text1"/>
                <w:szCs w:val="22"/>
              </w:rPr>
              <w:t xml:space="preserve"> policy.</w:t>
            </w:r>
          </w:p>
        </w:tc>
      </w:tr>
      <w:tr w:rsidR="00296B7A" w:rsidRPr="003B4BF9" w14:paraId="1229E45B" w14:textId="77777777" w:rsidTr="00B66AFB">
        <w:trPr>
          <w:trHeight w:val="283"/>
        </w:trPr>
        <w:tc>
          <w:tcPr>
            <w:tcW w:w="1020" w:type="dxa"/>
          </w:tcPr>
          <w:p w14:paraId="6A093B75" w14:textId="77777777" w:rsidR="00296B7A" w:rsidRPr="003B4BF9" w:rsidRDefault="00296B7A" w:rsidP="00A95416">
            <w:pPr>
              <w:spacing w:after="60"/>
              <w:rPr>
                <w:sz w:val="12"/>
                <w:szCs w:val="12"/>
              </w:rPr>
            </w:pPr>
          </w:p>
        </w:tc>
        <w:tc>
          <w:tcPr>
            <w:tcW w:w="8731" w:type="dxa"/>
          </w:tcPr>
          <w:p w14:paraId="7F3AE9D7" w14:textId="77777777" w:rsidR="00296B7A" w:rsidRPr="003B4BF9" w:rsidRDefault="00296B7A" w:rsidP="00A95416">
            <w:pPr>
              <w:spacing w:after="60"/>
              <w:rPr>
                <w:sz w:val="12"/>
                <w:szCs w:val="12"/>
              </w:rPr>
            </w:pPr>
          </w:p>
        </w:tc>
      </w:tr>
      <w:tr w:rsidR="00847F07" w:rsidRPr="00162ABB" w14:paraId="264D2319" w14:textId="77777777" w:rsidTr="00B66AFB">
        <w:trPr>
          <w:trHeight w:val="283"/>
        </w:trPr>
        <w:tc>
          <w:tcPr>
            <w:tcW w:w="1020" w:type="dxa"/>
          </w:tcPr>
          <w:p w14:paraId="6C2A2549" w14:textId="77777777" w:rsidR="00847F07" w:rsidRPr="00162ABB" w:rsidRDefault="00847F07" w:rsidP="00F160D4">
            <w:pPr>
              <w:spacing w:after="60"/>
              <w:rPr>
                <w:szCs w:val="22"/>
              </w:rPr>
            </w:pPr>
            <w:r w:rsidRPr="00162ABB">
              <w:rPr>
                <w:szCs w:val="22"/>
              </w:rPr>
              <w:t>2.</w:t>
            </w:r>
            <w:r w:rsidR="00F160D4">
              <w:rPr>
                <w:szCs w:val="22"/>
              </w:rPr>
              <w:t>3</w:t>
            </w:r>
          </w:p>
        </w:tc>
        <w:tc>
          <w:tcPr>
            <w:tcW w:w="8731" w:type="dxa"/>
          </w:tcPr>
          <w:p w14:paraId="27E5647F" w14:textId="77777777" w:rsidR="00847F07" w:rsidRPr="00162ABB" w:rsidRDefault="00F50493" w:rsidP="00590E96">
            <w:pPr>
              <w:spacing w:after="60"/>
              <w:rPr>
                <w:szCs w:val="22"/>
              </w:rPr>
            </w:pPr>
            <w:r w:rsidRPr="00162ABB">
              <w:rPr>
                <w:rFonts w:cs="Arial"/>
                <w:color w:val="000000" w:themeColor="text1"/>
                <w:szCs w:val="22"/>
              </w:rPr>
              <w:t xml:space="preserve">If an employee raises a grievance that is related to their capability, </w:t>
            </w:r>
            <w:r w:rsidR="00FB78B0" w:rsidRPr="00162ABB">
              <w:rPr>
                <w:rFonts w:cs="Arial"/>
                <w:color w:val="000000" w:themeColor="text1"/>
                <w:szCs w:val="22"/>
              </w:rPr>
              <w:t>the School</w:t>
            </w:r>
            <w:r w:rsidRPr="00162ABB">
              <w:rPr>
                <w:rFonts w:cs="Arial"/>
                <w:color w:val="000000" w:themeColor="text1"/>
                <w:szCs w:val="22"/>
              </w:rPr>
              <w:t xml:space="preserve"> will consider if it is appr</w:t>
            </w:r>
            <w:r w:rsidR="00590E96">
              <w:rPr>
                <w:rFonts w:cs="Arial"/>
                <w:color w:val="000000" w:themeColor="text1"/>
                <w:szCs w:val="22"/>
              </w:rPr>
              <w:t xml:space="preserve">opriate to temporarily suspend </w:t>
            </w:r>
            <w:r w:rsidR="003C23D7">
              <w:rPr>
                <w:rFonts w:cs="Arial"/>
                <w:color w:val="000000" w:themeColor="text1"/>
                <w:szCs w:val="22"/>
              </w:rPr>
              <w:t>this policy</w:t>
            </w:r>
            <w:r w:rsidRPr="00162ABB">
              <w:rPr>
                <w:rFonts w:cs="Arial"/>
                <w:color w:val="000000" w:themeColor="text1"/>
                <w:szCs w:val="22"/>
              </w:rPr>
              <w:t xml:space="preserve"> in order to deal with the grievance. In most cases, </w:t>
            </w:r>
            <w:r w:rsidR="005310A2">
              <w:rPr>
                <w:rFonts w:cs="Arial"/>
                <w:color w:val="000000" w:themeColor="text1"/>
                <w:szCs w:val="22"/>
              </w:rPr>
              <w:t>it is expected that</w:t>
            </w:r>
            <w:r w:rsidRPr="00162ABB">
              <w:rPr>
                <w:rFonts w:cs="Arial"/>
                <w:color w:val="000000" w:themeColor="text1"/>
                <w:szCs w:val="22"/>
              </w:rPr>
              <w:t xml:space="preserve"> the grievance and capability cases will be dealt with concurrently. </w:t>
            </w:r>
            <w:r w:rsidR="009F2958" w:rsidRPr="00AA666E">
              <w:rPr>
                <w:rFonts w:cs="Arial"/>
                <w:color w:val="000000" w:themeColor="text1"/>
                <w:szCs w:val="22"/>
              </w:rPr>
              <w:t>After the grievance has been investigated, the School will make a final decision as to whether or not to continue to follow the Capability policy.</w:t>
            </w:r>
          </w:p>
        </w:tc>
      </w:tr>
      <w:tr w:rsidR="00296B7A" w:rsidRPr="003B4BF9" w14:paraId="5DC9A676" w14:textId="77777777" w:rsidTr="00B66AFB">
        <w:trPr>
          <w:trHeight w:val="283"/>
        </w:trPr>
        <w:tc>
          <w:tcPr>
            <w:tcW w:w="1020" w:type="dxa"/>
          </w:tcPr>
          <w:p w14:paraId="78482A14" w14:textId="77777777" w:rsidR="00296B7A" w:rsidRPr="003B4BF9" w:rsidRDefault="00296B7A" w:rsidP="00A95416">
            <w:pPr>
              <w:spacing w:after="60"/>
              <w:rPr>
                <w:sz w:val="12"/>
                <w:szCs w:val="12"/>
              </w:rPr>
            </w:pPr>
          </w:p>
        </w:tc>
        <w:tc>
          <w:tcPr>
            <w:tcW w:w="8731" w:type="dxa"/>
          </w:tcPr>
          <w:p w14:paraId="038343B8" w14:textId="77777777" w:rsidR="00296B7A" w:rsidRPr="003B4BF9" w:rsidRDefault="00296B7A" w:rsidP="00A95416">
            <w:pPr>
              <w:spacing w:after="60"/>
              <w:rPr>
                <w:sz w:val="12"/>
                <w:szCs w:val="12"/>
              </w:rPr>
            </w:pPr>
          </w:p>
        </w:tc>
      </w:tr>
      <w:tr w:rsidR="00BC5E68" w:rsidRPr="00162ABB" w14:paraId="42F996F0" w14:textId="77777777" w:rsidTr="00B66AFB">
        <w:trPr>
          <w:trHeight w:val="283"/>
        </w:trPr>
        <w:tc>
          <w:tcPr>
            <w:tcW w:w="1020" w:type="dxa"/>
          </w:tcPr>
          <w:p w14:paraId="1C03D4B0" w14:textId="77777777" w:rsidR="00BC5E68" w:rsidRPr="003F1E6C" w:rsidRDefault="00BC5E68" w:rsidP="00EC6D5F">
            <w:pPr>
              <w:spacing w:after="60"/>
              <w:rPr>
                <w:szCs w:val="22"/>
              </w:rPr>
            </w:pPr>
            <w:r w:rsidRPr="003F1E6C">
              <w:rPr>
                <w:szCs w:val="22"/>
              </w:rPr>
              <w:t>2.</w:t>
            </w:r>
            <w:r w:rsidR="00F160D4" w:rsidRPr="003F1E6C">
              <w:rPr>
                <w:szCs w:val="22"/>
              </w:rPr>
              <w:t>4</w:t>
            </w:r>
          </w:p>
        </w:tc>
        <w:tc>
          <w:tcPr>
            <w:tcW w:w="8731" w:type="dxa"/>
          </w:tcPr>
          <w:p w14:paraId="5A0312EB" w14:textId="2FDFDCBD" w:rsidR="002E4AF7" w:rsidRPr="00EC6D5F" w:rsidRDefault="00EC6D5F" w:rsidP="00EC6D5F">
            <w:pPr>
              <w:rPr>
                <w:rFonts w:asciiTheme="minorHAnsi" w:hAnsiTheme="minorHAnsi" w:cs="Arial"/>
                <w:lang w:val="en-US"/>
              </w:rPr>
            </w:pPr>
            <w:r w:rsidRPr="003F1E6C">
              <w:rPr>
                <w:rFonts w:cs="Arial"/>
                <w:lang w:val="en-US"/>
              </w:rPr>
              <w:t xml:space="preserve">The personnel designated to handle the stages within this policy are either Head Teacher and/or Line Manager.  However, it is for the School to determine who within their structure is responsible for undertaking any stages within this policy.  This could include Deputy Head Teachers, Assistant Head Teachers and School Business Managers.  Where the School designates any employee other than Head Teacher or </w:t>
            </w:r>
            <w:r w:rsidRPr="003F1E6C">
              <w:rPr>
                <w:rFonts w:cs="Arial"/>
                <w:lang w:val="en-US"/>
              </w:rPr>
              <w:lastRenderedPageBreak/>
              <w:t>Line Manager to undertake meetings under this policy, the role should be substituted throughout.</w:t>
            </w:r>
            <w:bookmarkStart w:id="0" w:name="_GoBack"/>
            <w:bookmarkEnd w:id="0"/>
            <w:r>
              <w:rPr>
                <w:rFonts w:cs="Arial"/>
                <w:lang w:val="en-US"/>
              </w:rPr>
              <w:t xml:space="preserve"> </w:t>
            </w:r>
          </w:p>
        </w:tc>
      </w:tr>
      <w:tr w:rsidR="00296B7A" w:rsidRPr="003B4BF9" w14:paraId="5FD39818" w14:textId="77777777" w:rsidTr="00B66AFB">
        <w:trPr>
          <w:trHeight w:val="283"/>
        </w:trPr>
        <w:tc>
          <w:tcPr>
            <w:tcW w:w="1020" w:type="dxa"/>
          </w:tcPr>
          <w:p w14:paraId="7C205FA8" w14:textId="77777777" w:rsidR="00296B7A" w:rsidRPr="003B4BF9" w:rsidRDefault="00296B7A" w:rsidP="00A95416">
            <w:pPr>
              <w:spacing w:after="60"/>
              <w:rPr>
                <w:sz w:val="12"/>
                <w:szCs w:val="12"/>
              </w:rPr>
            </w:pPr>
          </w:p>
        </w:tc>
        <w:tc>
          <w:tcPr>
            <w:tcW w:w="8731" w:type="dxa"/>
          </w:tcPr>
          <w:p w14:paraId="0102B482" w14:textId="77777777" w:rsidR="00296B7A" w:rsidRPr="003B4BF9" w:rsidRDefault="00296B7A" w:rsidP="00A95416">
            <w:pPr>
              <w:spacing w:after="60"/>
              <w:rPr>
                <w:sz w:val="12"/>
                <w:szCs w:val="12"/>
              </w:rPr>
            </w:pPr>
          </w:p>
        </w:tc>
      </w:tr>
      <w:tr w:rsidR="00817EB3" w:rsidRPr="00162ABB" w14:paraId="497613EE" w14:textId="77777777" w:rsidTr="00B66AFB">
        <w:trPr>
          <w:trHeight w:val="283"/>
        </w:trPr>
        <w:tc>
          <w:tcPr>
            <w:tcW w:w="1020" w:type="dxa"/>
          </w:tcPr>
          <w:p w14:paraId="537ECBC0" w14:textId="77777777" w:rsidR="00817EB3" w:rsidRPr="00162ABB" w:rsidRDefault="00166F49" w:rsidP="00F160D4">
            <w:pPr>
              <w:spacing w:after="60"/>
              <w:rPr>
                <w:szCs w:val="22"/>
              </w:rPr>
            </w:pPr>
            <w:r w:rsidRPr="00162ABB">
              <w:rPr>
                <w:szCs w:val="22"/>
              </w:rPr>
              <w:t>2.</w:t>
            </w:r>
            <w:r w:rsidR="00F160D4">
              <w:rPr>
                <w:szCs w:val="22"/>
              </w:rPr>
              <w:t>5</w:t>
            </w:r>
          </w:p>
        </w:tc>
        <w:tc>
          <w:tcPr>
            <w:tcW w:w="8731" w:type="dxa"/>
          </w:tcPr>
          <w:p w14:paraId="425B73CB" w14:textId="2FE38D14" w:rsidR="002542EA" w:rsidRPr="00162ABB" w:rsidRDefault="00817EB3" w:rsidP="00C40AC1">
            <w:pPr>
              <w:spacing w:after="60"/>
              <w:rPr>
                <w:rFonts w:cs="Arial"/>
                <w:szCs w:val="22"/>
              </w:rPr>
            </w:pPr>
            <w:r w:rsidRPr="00162ABB">
              <w:rPr>
                <w:rFonts w:cs="Arial"/>
                <w:szCs w:val="22"/>
              </w:rPr>
              <w:t xml:space="preserve">The employee will have the right to be accompanied at all </w:t>
            </w:r>
            <w:r w:rsidR="00C40AC1">
              <w:rPr>
                <w:rFonts w:cs="Arial"/>
                <w:szCs w:val="22"/>
              </w:rPr>
              <w:t xml:space="preserve">formal </w:t>
            </w:r>
            <w:r w:rsidR="009603D4" w:rsidRPr="00BF06BC">
              <w:rPr>
                <w:rFonts w:cs="Arial"/>
                <w:szCs w:val="22"/>
              </w:rPr>
              <w:t>capability</w:t>
            </w:r>
            <w:r w:rsidR="00C40AC1">
              <w:rPr>
                <w:rFonts w:cs="Arial"/>
                <w:szCs w:val="22"/>
              </w:rPr>
              <w:t xml:space="preserve"> </w:t>
            </w:r>
            <w:r w:rsidR="009603D4" w:rsidRPr="00BF06BC">
              <w:rPr>
                <w:rFonts w:cs="Arial"/>
                <w:szCs w:val="22"/>
              </w:rPr>
              <w:t>meeting</w:t>
            </w:r>
            <w:r w:rsidR="009603D4">
              <w:rPr>
                <w:rFonts w:cs="Arial"/>
                <w:szCs w:val="22"/>
              </w:rPr>
              <w:t>s</w:t>
            </w:r>
            <w:r w:rsidR="00C40AC1">
              <w:rPr>
                <w:rFonts w:cs="Arial"/>
                <w:szCs w:val="22"/>
              </w:rPr>
              <w:t>/hearings</w:t>
            </w:r>
            <w:r w:rsidRPr="00162ABB">
              <w:rPr>
                <w:rFonts w:cs="Arial"/>
                <w:szCs w:val="22"/>
              </w:rPr>
              <w:t xml:space="preserve"> and any appeal hearing</w:t>
            </w:r>
            <w:r w:rsidR="00624039" w:rsidRPr="00162ABB">
              <w:rPr>
                <w:rFonts w:cs="Arial"/>
                <w:szCs w:val="22"/>
              </w:rPr>
              <w:t>s</w:t>
            </w:r>
            <w:r w:rsidR="005310A2">
              <w:rPr>
                <w:rFonts w:cs="Arial"/>
                <w:szCs w:val="22"/>
              </w:rPr>
              <w:t>,</w:t>
            </w:r>
            <w:r w:rsidRPr="00162ABB">
              <w:rPr>
                <w:rFonts w:cs="Arial"/>
                <w:szCs w:val="22"/>
              </w:rPr>
              <w:t xml:space="preserve"> by a trade union representative or a work</w:t>
            </w:r>
            <w:r w:rsidR="00624039" w:rsidRPr="00162ABB">
              <w:rPr>
                <w:rFonts w:cs="Arial"/>
                <w:szCs w:val="22"/>
              </w:rPr>
              <w:t xml:space="preserve"> place</w:t>
            </w:r>
            <w:r w:rsidRPr="00162ABB">
              <w:rPr>
                <w:rFonts w:cs="Arial"/>
                <w:szCs w:val="22"/>
              </w:rPr>
              <w:t xml:space="preserve"> colleague</w:t>
            </w:r>
            <w:r w:rsidR="007A70EF">
              <w:rPr>
                <w:rFonts w:cs="Arial"/>
                <w:szCs w:val="22"/>
              </w:rPr>
              <w:t xml:space="preserve"> </w:t>
            </w:r>
            <w:r w:rsidR="007A70EF" w:rsidRPr="00BF06BC">
              <w:rPr>
                <w:rFonts w:cs="Arial"/>
                <w:szCs w:val="22"/>
              </w:rPr>
              <w:t>of their choice</w:t>
            </w:r>
            <w:r w:rsidRPr="00BF06BC">
              <w:rPr>
                <w:rFonts w:cs="Arial"/>
                <w:szCs w:val="22"/>
              </w:rPr>
              <w:t>.</w:t>
            </w:r>
            <w:r w:rsidR="002542EA">
              <w:rPr>
                <w:rFonts w:cs="Arial"/>
                <w:szCs w:val="22"/>
              </w:rPr>
              <w:t xml:space="preserve"> </w:t>
            </w:r>
            <w:r w:rsidR="002542EA" w:rsidRPr="00593987">
              <w:rPr>
                <w:rFonts w:cs="Arial"/>
                <w:szCs w:val="22"/>
              </w:rPr>
              <w:t>I</w:t>
            </w:r>
            <w:r w:rsidR="002542EA" w:rsidRPr="00593987">
              <w:rPr>
                <w:rFonts w:cs="Arial"/>
                <w:color w:val="000000" w:themeColor="text1"/>
                <w:szCs w:val="22"/>
              </w:rPr>
              <w:t>t is the employee's responsibility to make such arrangements and to supply copies of all relevant information and documentation. Wherever possible, if the representative is a workplace colleague they will be granted paid time off work to accompany the employee when necessary to do so.</w:t>
            </w:r>
            <w:r w:rsidR="00296B7A" w:rsidRPr="00162ABB">
              <w:rPr>
                <w:rFonts w:cs="Arial"/>
                <w:szCs w:val="22"/>
              </w:rPr>
              <w:t xml:space="preserve"> </w:t>
            </w:r>
          </w:p>
        </w:tc>
      </w:tr>
      <w:tr w:rsidR="00296B7A" w:rsidRPr="003B4BF9" w14:paraId="2A295E67" w14:textId="77777777" w:rsidTr="00B66AFB">
        <w:trPr>
          <w:trHeight w:val="283"/>
        </w:trPr>
        <w:tc>
          <w:tcPr>
            <w:tcW w:w="1020" w:type="dxa"/>
          </w:tcPr>
          <w:p w14:paraId="51E75B7D" w14:textId="77777777" w:rsidR="00296B7A" w:rsidRPr="003B4BF9" w:rsidRDefault="00296B7A" w:rsidP="00A95416">
            <w:pPr>
              <w:spacing w:after="60"/>
              <w:rPr>
                <w:sz w:val="12"/>
                <w:szCs w:val="12"/>
              </w:rPr>
            </w:pPr>
          </w:p>
        </w:tc>
        <w:tc>
          <w:tcPr>
            <w:tcW w:w="8731" w:type="dxa"/>
          </w:tcPr>
          <w:p w14:paraId="33ADB5EF" w14:textId="77777777" w:rsidR="00296B7A" w:rsidRPr="003B4BF9" w:rsidRDefault="00296B7A" w:rsidP="00A95416">
            <w:pPr>
              <w:spacing w:after="60"/>
              <w:rPr>
                <w:sz w:val="12"/>
                <w:szCs w:val="12"/>
              </w:rPr>
            </w:pPr>
          </w:p>
        </w:tc>
      </w:tr>
      <w:tr w:rsidR="007A70EF" w:rsidRPr="009B45BA" w14:paraId="7273B207" w14:textId="77777777" w:rsidTr="00B66AFB">
        <w:trPr>
          <w:trHeight w:val="283"/>
        </w:trPr>
        <w:tc>
          <w:tcPr>
            <w:tcW w:w="1020" w:type="dxa"/>
          </w:tcPr>
          <w:p w14:paraId="10176153" w14:textId="77777777" w:rsidR="007A70EF" w:rsidRPr="00052D21" w:rsidRDefault="007A70EF" w:rsidP="007A70EF">
            <w:pPr>
              <w:spacing w:after="60"/>
            </w:pPr>
            <w:r w:rsidRPr="00052D21">
              <w:t>2.6</w:t>
            </w:r>
          </w:p>
        </w:tc>
        <w:tc>
          <w:tcPr>
            <w:tcW w:w="8731" w:type="dxa"/>
          </w:tcPr>
          <w:p w14:paraId="6BFD60B3" w14:textId="70B5050F" w:rsidR="007A70EF" w:rsidRPr="00BF06BC" w:rsidRDefault="007A70EF" w:rsidP="0029718F">
            <w:pPr>
              <w:spacing w:after="60"/>
            </w:pPr>
            <w:r w:rsidRPr="00052D21">
              <w:rPr>
                <w:rFonts w:cs="Arial"/>
                <w:szCs w:val="22"/>
              </w:rPr>
              <w:t xml:space="preserve">If the employee’s chosen representative is not able to attend a </w:t>
            </w:r>
            <w:r w:rsidR="00C40AC1" w:rsidRPr="00052D21">
              <w:rPr>
                <w:rFonts w:cs="Arial"/>
                <w:szCs w:val="22"/>
              </w:rPr>
              <w:t xml:space="preserve">formal </w:t>
            </w:r>
            <w:r w:rsidRPr="00052D21">
              <w:rPr>
                <w:rFonts w:cs="Arial"/>
                <w:szCs w:val="22"/>
              </w:rPr>
              <w:t>capability</w:t>
            </w:r>
            <w:r w:rsidR="00C40AC1" w:rsidRPr="00052D21">
              <w:rPr>
                <w:rFonts w:cs="Arial"/>
                <w:szCs w:val="22"/>
              </w:rPr>
              <w:t xml:space="preserve"> meeting/hearing</w:t>
            </w:r>
            <w:r w:rsidRPr="00052D21">
              <w:rPr>
                <w:rFonts w:cs="Arial"/>
                <w:szCs w:val="22"/>
              </w:rPr>
              <w:t xml:space="preserve"> or an appeal hearing the School will seek to arrange an alternative date within one working week of the original date with the representative. If it is not possible to arrange a date within this period, a later date will then have to be set at which </w:t>
            </w:r>
            <w:r w:rsidR="0029718F" w:rsidRPr="00052D21">
              <w:rPr>
                <w:rFonts w:cs="Arial"/>
                <w:szCs w:val="22"/>
              </w:rPr>
              <w:t>all parties</w:t>
            </w:r>
            <w:r w:rsidRPr="00052D21">
              <w:rPr>
                <w:rFonts w:cs="Arial"/>
                <w:szCs w:val="22"/>
              </w:rPr>
              <w:t xml:space="preserve"> can attend unless it would be unreasonable to do so. </w:t>
            </w:r>
            <w:r w:rsidR="00B8283A" w:rsidRPr="00052D21">
              <w:rPr>
                <w:rFonts w:cs="Arial"/>
                <w:szCs w:val="22"/>
              </w:rPr>
              <w:t xml:space="preserve">In the circumstances where the employee will not be able to have their first choice present, they would need to either accept any representative </w:t>
            </w:r>
            <w:r w:rsidR="00B8283A" w:rsidRPr="00052D21">
              <w:rPr>
                <w:rFonts w:cs="Arial"/>
                <w:color w:val="000000" w:themeColor="text1"/>
                <w:szCs w:val="22"/>
              </w:rPr>
              <w:t>who is available to accompany them to the meeting, as</w:t>
            </w:r>
            <w:r w:rsidR="00B8283A" w:rsidRPr="00052D21">
              <w:rPr>
                <w:rFonts w:cs="Arial"/>
                <w:szCs w:val="22"/>
              </w:rPr>
              <w:t xml:space="preserve"> provided by their trade union</w:t>
            </w:r>
            <w:r w:rsidR="00B8283A" w:rsidRPr="00052D21">
              <w:rPr>
                <w:rFonts w:cs="Arial"/>
                <w:color w:val="000000" w:themeColor="text1"/>
                <w:szCs w:val="22"/>
              </w:rPr>
              <w:t>,</w:t>
            </w:r>
            <w:r w:rsidR="00B8283A" w:rsidRPr="00052D21">
              <w:rPr>
                <w:rFonts w:cs="Arial"/>
                <w:szCs w:val="22"/>
              </w:rPr>
              <w:t xml:space="preserve"> or find another workplace colleague.</w:t>
            </w:r>
          </w:p>
        </w:tc>
      </w:tr>
      <w:tr w:rsidR="00296B7A" w:rsidRPr="003B4BF9" w14:paraId="2D9B1A45" w14:textId="77777777" w:rsidTr="00B66AFB">
        <w:trPr>
          <w:trHeight w:val="283"/>
        </w:trPr>
        <w:tc>
          <w:tcPr>
            <w:tcW w:w="1020" w:type="dxa"/>
          </w:tcPr>
          <w:p w14:paraId="5B81B240" w14:textId="77777777" w:rsidR="00296B7A" w:rsidRPr="003B4BF9" w:rsidRDefault="00296B7A" w:rsidP="00A95416">
            <w:pPr>
              <w:spacing w:after="60"/>
              <w:rPr>
                <w:sz w:val="12"/>
                <w:szCs w:val="12"/>
              </w:rPr>
            </w:pPr>
          </w:p>
        </w:tc>
        <w:tc>
          <w:tcPr>
            <w:tcW w:w="8731" w:type="dxa"/>
          </w:tcPr>
          <w:p w14:paraId="19A016E5" w14:textId="77777777" w:rsidR="00296B7A" w:rsidRPr="003B4BF9" w:rsidRDefault="00296B7A" w:rsidP="00A95416">
            <w:pPr>
              <w:spacing w:after="60"/>
              <w:rPr>
                <w:sz w:val="12"/>
                <w:szCs w:val="12"/>
              </w:rPr>
            </w:pPr>
          </w:p>
        </w:tc>
      </w:tr>
      <w:tr w:rsidR="00F678D4" w:rsidRPr="009B45BA" w14:paraId="1A2190D0" w14:textId="77777777" w:rsidTr="00B66AFB">
        <w:trPr>
          <w:trHeight w:val="283"/>
        </w:trPr>
        <w:tc>
          <w:tcPr>
            <w:tcW w:w="1020" w:type="dxa"/>
          </w:tcPr>
          <w:p w14:paraId="324BA30E" w14:textId="77777777" w:rsidR="00F678D4" w:rsidRPr="00736505" w:rsidRDefault="00F678D4" w:rsidP="007A70EF">
            <w:pPr>
              <w:spacing w:after="60"/>
            </w:pPr>
            <w:r w:rsidRPr="00736505">
              <w:t>2.</w:t>
            </w:r>
            <w:r w:rsidR="007A70EF">
              <w:t>7</w:t>
            </w:r>
          </w:p>
        </w:tc>
        <w:tc>
          <w:tcPr>
            <w:tcW w:w="8731" w:type="dxa"/>
          </w:tcPr>
          <w:p w14:paraId="1ABB2FB2" w14:textId="77777777" w:rsidR="001938CC" w:rsidRPr="00BF06BC" w:rsidRDefault="00F14A1A" w:rsidP="007A70EF">
            <w:pPr>
              <w:spacing w:after="60"/>
            </w:pPr>
            <w:r>
              <w:rPr>
                <w:rFonts w:cs="Arial"/>
                <w:szCs w:val="22"/>
              </w:rPr>
              <w:t>The</w:t>
            </w:r>
            <w:r w:rsidR="00F678D4" w:rsidRPr="00BF06BC">
              <w:rPr>
                <w:rFonts w:cs="Arial"/>
                <w:szCs w:val="22"/>
              </w:rPr>
              <w:t xml:space="preserve"> right to representation at formal meetings does not extend to a right of a representative of the employee’s choice. The employee will need to accept any representative </w:t>
            </w:r>
            <w:r w:rsidR="00F678D4" w:rsidRPr="00BF06BC">
              <w:rPr>
                <w:rFonts w:cs="Arial"/>
                <w:color w:val="000000" w:themeColor="text1"/>
                <w:szCs w:val="22"/>
              </w:rPr>
              <w:t>who is available to accompany them to the meeting, as</w:t>
            </w:r>
            <w:r w:rsidR="00F678D4" w:rsidRPr="00BF06BC">
              <w:rPr>
                <w:rFonts w:cs="Arial"/>
                <w:szCs w:val="22"/>
              </w:rPr>
              <w:t xml:space="preserve"> provided by their trade union</w:t>
            </w:r>
            <w:r w:rsidR="00F678D4" w:rsidRPr="00BF06BC">
              <w:rPr>
                <w:rFonts w:cs="Arial"/>
                <w:color w:val="000000" w:themeColor="text1"/>
                <w:szCs w:val="22"/>
              </w:rPr>
              <w:t>,</w:t>
            </w:r>
            <w:r w:rsidR="00F678D4" w:rsidRPr="00BF06BC">
              <w:rPr>
                <w:rFonts w:cs="Arial"/>
                <w:szCs w:val="22"/>
              </w:rPr>
              <w:t xml:space="preserve"> or if their first choice work colleague is not available then they will need to find another.</w:t>
            </w:r>
          </w:p>
        </w:tc>
      </w:tr>
      <w:tr w:rsidR="00296B7A" w:rsidRPr="003B4BF9" w14:paraId="2B80AB9A" w14:textId="77777777" w:rsidTr="00B66AFB">
        <w:trPr>
          <w:trHeight w:val="283"/>
        </w:trPr>
        <w:tc>
          <w:tcPr>
            <w:tcW w:w="1020" w:type="dxa"/>
          </w:tcPr>
          <w:p w14:paraId="14BD4A8A" w14:textId="77777777" w:rsidR="00296B7A" w:rsidRPr="003B4BF9" w:rsidRDefault="00296B7A" w:rsidP="00A95416">
            <w:pPr>
              <w:spacing w:after="60"/>
              <w:rPr>
                <w:sz w:val="12"/>
                <w:szCs w:val="12"/>
              </w:rPr>
            </w:pPr>
          </w:p>
        </w:tc>
        <w:tc>
          <w:tcPr>
            <w:tcW w:w="8731" w:type="dxa"/>
          </w:tcPr>
          <w:p w14:paraId="3CE154D8" w14:textId="77777777" w:rsidR="00296B7A" w:rsidRPr="003B4BF9" w:rsidRDefault="00296B7A" w:rsidP="00A95416">
            <w:pPr>
              <w:spacing w:after="60"/>
              <w:rPr>
                <w:sz w:val="12"/>
                <w:szCs w:val="12"/>
              </w:rPr>
            </w:pPr>
          </w:p>
        </w:tc>
      </w:tr>
      <w:tr w:rsidR="00281A5C" w:rsidRPr="009B45BA" w14:paraId="4C71C3EE" w14:textId="77777777" w:rsidTr="00B66AFB">
        <w:trPr>
          <w:trHeight w:val="283"/>
        </w:trPr>
        <w:tc>
          <w:tcPr>
            <w:tcW w:w="1020" w:type="dxa"/>
          </w:tcPr>
          <w:p w14:paraId="0243F137" w14:textId="77777777" w:rsidR="00281A5C" w:rsidRPr="007D5580" w:rsidRDefault="00281A5C" w:rsidP="00281A5C">
            <w:pPr>
              <w:spacing w:after="60"/>
            </w:pPr>
            <w:r w:rsidRPr="007D5580">
              <w:t>2.8</w:t>
            </w:r>
          </w:p>
        </w:tc>
        <w:tc>
          <w:tcPr>
            <w:tcW w:w="8731" w:type="dxa"/>
          </w:tcPr>
          <w:p w14:paraId="03897C4A" w14:textId="77777777" w:rsidR="00281A5C" w:rsidRPr="00CA1C0C" w:rsidRDefault="00281A5C" w:rsidP="00C76E95">
            <w:pPr>
              <w:spacing w:after="60"/>
              <w:rPr>
                <w:szCs w:val="22"/>
              </w:rPr>
            </w:pPr>
            <w:r w:rsidRPr="007D5580">
              <w:rPr>
                <w:rFonts w:cs="Arial"/>
                <w:szCs w:val="22"/>
              </w:rPr>
              <w:t xml:space="preserve">The Governing Body will need to determine its involvement in the implementation of this Policy including the identification of Governors to be involved in any specific case. The </w:t>
            </w:r>
            <w:r w:rsidRPr="007D5580">
              <w:rPr>
                <w:szCs w:val="22"/>
              </w:rPr>
              <w:t>Governing Body must also have regard to their own delegated powers in respect of this Policy.</w:t>
            </w:r>
          </w:p>
        </w:tc>
      </w:tr>
      <w:tr w:rsidR="00296B7A" w:rsidRPr="003B4BF9" w14:paraId="470454C3" w14:textId="77777777" w:rsidTr="00B66AFB">
        <w:trPr>
          <w:trHeight w:val="283"/>
        </w:trPr>
        <w:tc>
          <w:tcPr>
            <w:tcW w:w="1020" w:type="dxa"/>
          </w:tcPr>
          <w:p w14:paraId="43764FE7" w14:textId="77777777" w:rsidR="00296B7A" w:rsidRPr="003B4BF9" w:rsidRDefault="00296B7A" w:rsidP="00A95416">
            <w:pPr>
              <w:spacing w:after="60"/>
              <w:rPr>
                <w:sz w:val="12"/>
                <w:szCs w:val="12"/>
              </w:rPr>
            </w:pPr>
          </w:p>
        </w:tc>
        <w:tc>
          <w:tcPr>
            <w:tcW w:w="8731" w:type="dxa"/>
          </w:tcPr>
          <w:p w14:paraId="2CE4224B" w14:textId="77777777" w:rsidR="00296B7A" w:rsidRPr="003B4BF9" w:rsidRDefault="00296B7A" w:rsidP="00A95416">
            <w:pPr>
              <w:spacing w:after="60"/>
              <w:rPr>
                <w:sz w:val="12"/>
                <w:szCs w:val="12"/>
              </w:rPr>
            </w:pPr>
          </w:p>
        </w:tc>
      </w:tr>
      <w:tr w:rsidR="00F678D4" w:rsidRPr="009B45BA" w14:paraId="10103463" w14:textId="77777777" w:rsidTr="00B66AFB">
        <w:trPr>
          <w:trHeight w:val="283"/>
        </w:trPr>
        <w:tc>
          <w:tcPr>
            <w:tcW w:w="1020" w:type="dxa"/>
          </w:tcPr>
          <w:p w14:paraId="0C349B8D" w14:textId="77777777" w:rsidR="00F678D4" w:rsidRPr="00736505" w:rsidRDefault="00F678D4" w:rsidP="00281A5C">
            <w:pPr>
              <w:spacing w:after="60"/>
            </w:pPr>
            <w:r w:rsidRPr="00736505">
              <w:t>2.</w:t>
            </w:r>
            <w:r w:rsidR="00281A5C">
              <w:t>9</w:t>
            </w:r>
          </w:p>
        </w:tc>
        <w:tc>
          <w:tcPr>
            <w:tcW w:w="8731" w:type="dxa"/>
          </w:tcPr>
          <w:p w14:paraId="59403A7A" w14:textId="6121CC8C" w:rsidR="00F678D4" w:rsidRPr="00CA1C0C" w:rsidRDefault="00F678D4" w:rsidP="00C40AC1">
            <w:pPr>
              <w:spacing w:after="60"/>
              <w:rPr>
                <w:szCs w:val="22"/>
              </w:rPr>
            </w:pPr>
            <w:r w:rsidRPr="00CA1C0C">
              <w:rPr>
                <w:rFonts w:cs="Arial"/>
                <w:szCs w:val="22"/>
              </w:rPr>
              <w:t xml:space="preserve">Due to </w:t>
            </w:r>
            <w:r>
              <w:rPr>
                <w:rFonts w:cs="Arial"/>
                <w:szCs w:val="22"/>
              </w:rPr>
              <w:t xml:space="preserve">the time </w:t>
            </w:r>
            <w:r w:rsidRPr="00CA1C0C">
              <w:rPr>
                <w:rFonts w:cs="Arial"/>
                <w:szCs w:val="22"/>
              </w:rPr>
              <w:t>constraints of the academic year and</w:t>
            </w:r>
            <w:r>
              <w:rPr>
                <w:rFonts w:cs="Arial"/>
                <w:szCs w:val="22"/>
              </w:rPr>
              <w:t>, where appropriate,</w:t>
            </w:r>
            <w:r w:rsidRPr="00CA1C0C">
              <w:rPr>
                <w:rFonts w:cs="Arial"/>
                <w:szCs w:val="22"/>
              </w:rPr>
              <w:t xml:space="preserve"> governor availability, </w:t>
            </w:r>
            <w:r>
              <w:rPr>
                <w:rFonts w:cs="Arial"/>
                <w:szCs w:val="22"/>
              </w:rPr>
              <w:t>the School</w:t>
            </w:r>
            <w:r w:rsidRPr="00CA1C0C">
              <w:rPr>
                <w:rFonts w:cs="Arial"/>
                <w:szCs w:val="22"/>
              </w:rPr>
              <w:t xml:space="preserve"> reserve</w:t>
            </w:r>
            <w:r>
              <w:rPr>
                <w:rFonts w:cs="Arial"/>
                <w:szCs w:val="22"/>
              </w:rPr>
              <w:t>s</w:t>
            </w:r>
            <w:r w:rsidRPr="00CA1C0C">
              <w:rPr>
                <w:rFonts w:cs="Arial"/>
                <w:szCs w:val="22"/>
              </w:rPr>
              <w:t xml:space="preserve"> the right to s</w:t>
            </w:r>
            <w:r>
              <w:rPr>
                <w:rFonts w:cs="Arial"/>
                <w:szCs w:val="22"/>
              </w:rPr>
              <w:t xml:space="preserve">tipulate </w:t>
            </w:r>
            <w:r w:rsidRPr="00CA1C0C">
              <w:rPr>
                <w:rFonts w:cs="Arial"/>
                <w:szCs w:val="22"/>
              </w:rPr>
              <w:t xml:space="preserve">the date for re-arranged </w:t>
            </w:r>
            <w:r>
              <w:rPr>
                <w:rFonts w:cs="Arial"/>
                <w:szCs w:val="22"/>
              </w:rPr>
              <w:t>meetings.</w:t>
            </w:r>
          </w:p>
        </w:tc>
      </w:tr>
      <w:tr w:rsidR="00296B7A" w:rsidRPr="003B4BF9" w14:paraId="42EE3902" w14:textId="77777777" w:rsidTr="00B66AFB">
        <w:trPr>
          <w:trHeight w:val="283"/>
        </w:trPr>
        <w:tc>
          <w:tcPr>
            <w:tcW w:w="1020" w:type="dxa"/>
          </w:tcPr>
          <w:p w14:paraId="58B67A2D" w14:textId="77777777" w:rsidR="00296B7A" w:rsidRPr="003B4BF9" w:rsidRDefault="00296B7A" w:rsidP="00A95416">
            <w:pPr>
              <w:spacing w:after="60"/>
              <w:rPr>
                <w:sz w:val="12"/>
                <w:szCs w:val="12"/>
              </w:rPr>
            </w:pPr>
          </w:p>
        </w:tc>
        <w:tc>
          <w:tcPr>
            <w:tcW w:w="8731" w:type="dxa"/>
          </w:tcPr>
          <w:p w14:paraId="6B7A03BC" w14:textId="77777777" w:rsidR="00296B7A" w:rsidRPr="003B4BF9" w:rsidRDefault="00296B7A" w:rsidP="00A95416">
            <w:pPr>
              <w:spacing w:after="60"/>
              <w:rPr>
                <w:sz w:val="12"/>
                <w:szCs w:val="12"/>
              </w:rPr>
            </w:pPr>
          </w:p>
        </w:tc>
      </w:tr>
      <w:tr w:rsidR="00E84B4C" w:rsidRPr="00162ABB" w14:paraId="0C9B1A9B" w14:textId="77777777" w:rsidTr="00B66AFB">
        <w:trPr>
          <w:trHeight w:val="283"/>
        </w:trPr>
        <w:tc>
          <w:tcPr>
            <w:tcW w:w="1020" w:type="dxa"/>
          </w:tcPr>
          <w:p w14:paraId="480DE95A" w14:textId="2859225C" w:rsidR="00AE59EA" w:rsidRPr="00162ABB" w:rsidRDefault="00E84B4C" w:rsidP="00281A5C">
            <w:pPr>
              <w:spacing w:after="60"/>
              <w:rPr>
                <w:szCs w:val="22"/>
              </w:rPr>
            </w:pPr>
            <w:r w:rsidRPr="00162ABB">
              <w:rPr>
                <w:szCs w:val="22"/>
              </w:rPr>
              <w:t>2.</w:t>
            </w:r>
            <w:r w:rsidR="00281A5C">
              <w:rPr>
                <w:szCs w:val="22"/>
              </w:rPr>
              <w:t>10</w:t>
            </w:r>
          </w:p>
        </w:tc>
        <w:tc>
          <w:tcPr>
            <w:tcW w:w="8731" w:type="dxa"/>
          </w:tcPr>
          <w:p w14:paraId="58BE038D" w14:textId="399C7357" w:rsidR="005765CA" w:rsidRPr="00162ABB" w:rsidRDefault="00E84B4C" w:rsidP="00C40AC1">
            <w:pPr>
              <w:spacing w:after="60"/>
              <w:rPr>
                <w:rFonts w:cs="Arial"/>
                <w:szCs w:val="22"/>
              </w:rPr>
            </w:pPr>
            <w:r w:rsidRPr="00162ABB">
              <w:rPr>
                <w:rFonts w:cs="Arial"/>
                <w:szCs w:val="22"/>
              </w:rPr>
              <w:t xml:space="preserve">At </w:t>
            </w:r>
            <w:r w:rsidR="0095626D">
              <w:rPr>
                <w:rFonts w:cs="Arial"/>
                <w:szCs w:val="22"/>
              </w:rPr>
              <w:t>any stage of this policy</w:t>
            </w:r>
            <w:r w:rsidRPr="00162ABB">
              <w:rPr>
                <w:rFonts w:cs="Arial"/>
                <w:szCs w:val="22"/>
              </w:rPr>
              <w:t>, there may also be a HR Representative and note taker present.</w:t>
            </w:r>
          </w:p>
        </w:tc>
      </w:tr>
      <w:tr w:rsidR="005765CA" w:rsidRPr="00162ABB" w14:paraId="134CBDDC" w14:textId="77777777" w:rsidTr="00B66AFB">
        <w:trPr>
          <w:trHeight w:val="283"/>
        </w:trPr>
        <w:tc>
          <w:tcPr>
            <w:tcW w:w="1020" w:type="dxa"/>
          </w:tcPr>
          <w:p w14:paraId="13E4D592" w14:textId="77777777" w:rsidR="005765CA" w:rsidRPr="00162ABB" w:rsidRDefault="005765CA" w:rsidP="00281A5C">
            <w:pPr>
              <w:spacing w:after="60"/>
              <w:rPr>
                <w:szCs w:val="22"/>
              </w:rPr>
            </w:pPr>
          </w:p>
        </w:tc>
        <w:tc>
          <w:tcPr>
            <w:tcW w:w="8731" w:type="dxa"/>
          </w:tcPr>
          <w:p w14:paraId="4CE1F3A4" w14:textId="77777777" w:rsidR="005765CA" w:rsidRPr="00162ABB" w:rsidRDefault="005765CA" w:rsidP="00C40AC1">
            <w:pPr>
              <w:spacing w:after="60"/>
              <w:rPr>
                <w:rFonts w:cs="Arial"/>
                <w:szCs w:val="22"/>
              </w:rPr>
            </w:pPr>
          </w:p>
        </w:tc>
      </w:tr>
      <w:tr w:rsidR="005765CA" w:rsidRPr="00162ABB" w14:paraId="2D11F8D0" w14:textId="77777777" w:rsidTr="00B66AFB">
        <w:trPr>
          <w:trHeight w:val="283"/>
        </w:trPr>
        <w:tc>
          <w:tcPr>
            <w:tcW w:w="1020" w:type="dxa"/>
          </w:tcPr>
          <w:p w14:paraId="0B22B262" w14:textId="186988E9" w:rsidR="005765CA" w:rsidRPr="00162ABB" w:rsidRDefault="005765CA" w:rsidP="00281A5C">
            <w:pPr>
              <w:spacing w:after="60"/>
              <w:rPr>
                <w:szCs w:val="22"/>
              </w:rPr>
            </w:pPr>
            <w:r>
              <w:rPr>
                <w:szCs w:val="22"/>
              </w:rPr>
              <w:t>2.11</w:t>
            </w:r>
          </w:p>
        </w:tc>
        <w:tc>
          <w:tcPr>
            <w:tcW w:w="8731" w:type="dxa"/>
          </w:tcPr>
          <w:p w14:paraId="4D220476" w14:textId="52A3808E" w:rsidR="005765CA" w:rsidRPr="00162ABB" w:rsidRDefault="005765CA" w:rsidP="0095626D">
            <w:pPr>
              <w:spacing w:after="60"/>
              <w:rPr>
                <w:rFonts w:cs="Arial"/>
                <w:szCs w:val="22"/>
              </w:rPr>
            </w:pPr>
            <w:r>
              <w:t>Employees will also be informed that any reference request will contain the fact that they are subject to a Formal Capability procedure. A reference for any teacher (including Heads of School and the E</w:t>
            </w:r>
            <w:r w:rsidR="0029718F">
              <w:t xml:space="preserve">xecutive </w:t>
            </w:r>
            <w:r>
              <w:t>H</w:t>
            </w:r>
            <w:r w:rsidR="0029718F">
              <w:t xml:space="preserve">ead </w:t>
            </w:r>
            <w:r>
              <w:t>T</w:t>
            </w:r>
            <w:r w:rsidR="0029718F">
              <w:t>eacher</w:t>
            </w:r>
            <w:r>
              <w:t>) who has been subject to formal capability procedures in the previous two years will include details of the duration of capability and an explanation of the outcome.</w:t>
            </w:r>
          </w:p>
        </w:tc>
      </w:tr>
    </w:tbl>
    <w:p w14:paraId="355872BE" w14:textId="77777777" w:rsidR="00601F64" w:rsidRDefault="00601F64" w:rsidP="00281DD9">
      <w:bookmarkStart w:id="1" w:name="8"/>
      <w:bookmarkEnd w:id="1"/>
    </w:p>
    <w:p w14:paraId="1D36B2F9" w14:textId="77777777" w:rsidR="007A70EF" w:rsidRDefault="007A70EF" w:rsidP="00281DD9"/>
    <w:tbl>
      <w:tblPr>
        <w:tblW w:w="9751" w:type="dxa"/>
        <w:tblLook w:val="0000" w:firstRow="0" w:lastRow="0" w:firstColumn="0" w:lastColumn="0" w:noHBand="0" w:noVBand="0"/>
      </w:tblPr>
      <w:tblGrid>
        <w:gridCol w:w="1020"/>
        <w:gridCol w:w="8731"/>
      </w:tblGrid>
      <w:tr w:rsidR="00601F64" w14:paraId="7E993926" w14:textId="77777777" w:rsidTr="00B66AFB">
        <w:trPr>
          <w:trHeight w:val="283"/>
        </w:trPr>
        <w:tc>
          <w:tcPr>
            <w:tcW w:w="1020" w:type="dxa"/>
          </w:tcPr>
          <w:p w14:paraId="567CCD07" w14:textId="77777777" w:rsidR="00601F64" w:rsidRDefault="00601F64" w:rsidP="00281DD9">
            <w:pPr>
              <w:rPr>
                <w:b/>
                <w:bCs/>
                <w:sz w:val="28"/>
              </w:rPr>
            </w:pPr>
            <w:r>
              <w:rPr>
                <w:b/>
                <w:bCs/>
                <w:sz w:val="28"/>
              </w:rPr>
              <w:t>3.0</w:t>
            </w:r>
          </w:p>
        </w:tc>
        <w:tc>
          <w:tcPr>
            <w:tcW w:w="8731" w:type="dxa"/>
          </w:tcPr>
          <w:p w14:paraId="0CD265D4" w14:textId="77777777" w:rsidR="00601F64" w:rsidRPr="006A5EF2" w:rsidRDefault="005F04A7" w:rsidP="00281DD9">
            <w:pPr>
              <w:pStyle w:val="Heading2"/>
            </w:pPr>
            <w:r w:rsidRPr="006A5EF2">
              <w:t>Informal Resolution</w:t>
            </w:r>
          </w:p>
        </w:tc>
      </w:tr>
      <w:tr w:rsidR="00601F64" w:rsidRPr="009D0524" w14:paraId="43BFD54F" w14:textId="77777777" w:rsidTr="00B66AFB">
        <w:trPr>
          <w:trHeight w:val="283"/>
        </w:trPr>
        <w:tc>
          <w:tcPr>
            <w:tcW w:w="1020" w:type="dxa"/>
          </w:tcPr>
          <w:p w14:paraId="57325D6A" w14:textId="77777777" w:rsidR="00601F64" w:rsidRPr="009D0524" w:rsidRDefault="00601F64" w:rsidP="00281DD9">
            <w:pPr>
              <w:spacing w:after="60"/>
              <w:rPr>
                <w:szCs w:val="22"/>
              </w:rPr>
            </w:pPr>
          </w:p>
        </w:tc>
        <w:tc>
          <w:tcPr>
            <w:tcW w:w="8731" w:type="dxa"/>
          </w:tcPr>
          <w:p w14:paraId="42369A07" w14:textId="77777777" w:rsidR="00601F64" w:rsidRPr="006A5EF2" w:rsidRDefault="00601F64" w:rsidP="00281DD9">
            <w:pPr>
              <w:spacing w:after="60"/>
              <w:rPr>
                <w:szCs w:val="22"/>
              </w:rPr>
            </w:pPr>
          </w:p>
        </w:tc>
      </w:tr>
      <w:tr w:rsidR="00601F64" w:rsidRPr="00162ABB" w14:paraId="73862D33" w14:textId="77777777" w:rsidTr="00B66AFB">
        <w:trPr>
          <w:trHeight w:val="283"/>
        </w:trPr>
        <w:tc>
          <w:tcPr>
            <w:tcW w:w="1020" w:type="dxa"/>
          </w:tcPr>
          <w:p w14:paraId="31671E94" w14:textId="77777777" w:rsidR="00601F64" w:rsidRPr="00162ABB" w:rsidRDefault="001B21E0" w:rsidP="005F04A7">
            <w:pPr>
              <w:spacing w:after="60"/>
              <w:rPr>
                <w:szCs w:val="22"/>
              </w:rPr>
            </w:pPr>
            <w:r w:rsidRPr="00162ABB">
              <w:rPr>
                <w:szCs w:val="22"/>
              </w:rPr>
              <w:t>3.</w:t>
            </w:r>
            <w:r w:rsidR="005F04A7">
              <w:rPr>
                <w:szCs w:val="22"/>
              </w:rPr>
              <w:t>1</w:t>
            </w:r>
          </w:p>
        </w:tc>
        <w:tc>
          <w:tcPr>
            <w:tcW w:w="8731" w:type="dxa"/>
          </w:tcPr>
          <w:p w14:paraId="5C0CD64D" w14:textId="77777777" w:rsidR="00601F64" w:rsidRPr="006A5EF2" w:rsidRDefault="00FE7F68" w:rsidP="005F04A7">
            <w:pPr>
              <w:spacing w:after="60"/>
              <w:rPr>
                <w:szCs w:val="22"/>
              </w:rPr>
            </w:pPr>
            <w:r w:rsidRPr="006A5EF2">
              <w:rPr>
                <w:rFonts w:cs="Arial"/>
              </w:rPr>
              <w:t>Where an e</w:t>
            </w:r>
            <w:r w:rsidR="005F04A7" w:rsidRPr="006A5EF2">
              <w:rPr>
                <w:rFonts w:cs="Arial"/>
              </w:rPr>
              <w:t xml:space="preserve">mployee may be under-performing, the School should seek to resolve this informally </w:t>
            </w:r>
            <w:r w:rsidRPr="006A5EF2">
              <w:rPr>
                <w:rFonts w:cs="Arial"/>
              </w:rPr>
              <w:t xml:space="preserve">with the employee </w:t>
            </w:r>
            <w:r w:rsidR="00D210A1" w:rsidRPr="006A5EF2">
              <w:rPr>
                <w:rFonts w:cs="Arial"/>
              </w:rPr>
              <w:t xml:space="preserve">to </w:t>
            </w:r>
            <w:r w:rsidRPr="006A5EF2">
              <w:rPr>
                <w:rFonts w:cs="Arial"/>
              </w:rPr>
              <w:t>identify and address the issues of concern.</w:t>
            </w:r>
            <w:r w:rsidR="00DC3284" w:rsidRPr="006A5EF2">
              <w:rPr>
                <w:rFonts w:cs="Arial"/>
              </w:rPr>
              <w:t xml:space="preserve"> With the exceptions as state in 3.3, any formal capability proceedings should only take place if</w:t>
            </w:r>
            <w:r w:rsidR="008B4DF1" w:rsidRPr="006A5EF2">
              <w:rPr>
                <w:rFonts w:cs="Arial"/>
              </w:rPr>
              <w:t>,</w:t>
            </w:r>
            <w:r w:rsidR="00DC3284" w:rsidRPr="006A5EF2">
              <w:rPr>
                <w:rFonts w:cs="Arial"/>
              </w:rPr>
              <w:t xml:space="preserve"> despite every reasonable attempt</w:t>
            </w:r>
            <w:r w:rsidR="008B4DF1" w:rsidRPr="006A5EF2">
              <w:rPr>
                <w:rFonts w:cs="Arial"/>
              </w:rPr>
              <w:t>,</w:t>
            </w:r>
            <w:r w:rsidR="00DC3284" w:rsidRPr="006A5EF2">
              <w:rPr>
                <w:rFonts w:cs="Arial"/>
              </w:rPr>
              <w:t xml:space="preserve"> the issues of under-performance have not been addressed.</w:t>
            </w:r>
          </w:p>
        </w:tc>
      </w:tr>
      <w:tr w:rsidR="00AB5EDA" w:rsidRPr="00B57210" w14:paraId="75FBC34C" w14:textId="77777777" w:rsidTr="00B66AFB">
        <w:trPr>
          <w:trHeight w:val="283"/>
        </w:trPr>
        <w:tc>
          <w:tcPr>
            <w:tcW w:w="1020" w:type="dxa"/>
          </w:tcPr>
          <w:p w14:paraId="7D80E693" w14:textId="77777777" w:rsidR="00AB5EDA" w:rsidRPr="00B57210" w:rsidRDefault="00AB5EDA" w:rsidP="009C4357">
            <w:pPr>
              <w:spacing w:after="60"/>
              <w:rPr>
                <w:sz w:val="12"/>
                <w:szCs w:val="12"/>
              </w:rPr>
            </w:pPr>
          </w:p>
        </w:tc>
        <w:tc>
          <w:tcPr>
            <w:tcW w:w="8731" w:type="dxa"/>
          </w:tcPr>
          <w:p w14:paraId="551A88B7" w14:textId="77777777" w:rsidR="00AB5EDA" w:rsidRPr="006A5EF2" w:rsidRDefault="00AB5EDA" w:rsidP="009C4357">
            <w:pPr>
              <w:spacing w:after="60"/>
              <w:rPr>
                <w:rFonts w:cs="Arial"/>
                <w:sz w:val="12"/>
                <w:szCs w:val="12"/>
              </w:rPr>
            </w:pPr>
          </w:p>
        </w:tc>
      </w:tr>
      <w:tr w:rsidR="005F4251" w:rsidRPr="00162ABB" w14:paraId="655B2BB7" w14:textId="77777777" w:rsidTr="00B66AFB">
        <w:trPr>
          <w:trHeight w:val="283"/>
        </w:trPr>
        <w:tc>
          <w:tcPr>
            <w:tcW w:w="1020" w:type="dxa"/>
          </w:tcPr>
          <w:p w14:paraId="56802D40" w14:textId="77777777" w:rsidR="005F4251" w:rsidRPr="00162ABB" w:rsidRDefault="001B21E0" w:rsidP="005F04A7">
            <w:pPr>
              <w:spacing w:after="60"/>
              <w:rPr>
                <w:szCs w:val="22"/>
              </w:rPr>
            </w:pPr>
            <w:r w:rsidRPr="00162ABB">
              <w:rPr>
                <w:szCs w:val="22"/>
              </w:rPr>
              <w:t>3.</w:t>
            </w:r>
            <w:r w:rsidR="005F04A7">
              <w:rPr>
                <w:szCs w:val="22"/>
              </w:rPr>
              <w:t>2</w:t>
            </w:r>
          </w:p>
        </w:tc>
        <w:tc>
          <w:tcPr>
            <w:tcW w:w="8731" w:type="dxa"/>
          </w:tcPr>
          <w:p w14:paraId="0E54C6CC" w14:textId="77777777" w:rsidR="005F4251" w:rsidRPr="005765CA" w:rsidRDefault="00D24A0B" w:rsidP="005765CA">
            <w:pPr>
              <w:spacing w:after="60"/>
              <w:rPr>
                <w:rFonts w:cs="Arial"/>
                <w:szCs w:val="22"/>
              </w:rPr>
            </w:pPr>
            <w:r w:rsidRPr="005765CA">
              <w:rPr>
                <w:rFonts w:cs="Arial"/>
                <w:color w:val="000000" w:themeColor="text1"/>
                <w:szCs w:val="22"/>
              </w:rPr>
              <w:t xml:space="preserve">If </w:t>
            </w:r>
            <w:r w:rsidR="005F4251" w:rsidRPr="005765CA">
              <w:rPr>
                <w:rFonts w:cs="Arial"/>
                <w:color w:val="000000" w:themeColor="text1"/>
                <w:szCs w:val="22"/>
              </w:rPr>
              <w:t xml:space="preserve">the employee </w:t>
            </w:r>
            <w:r w:rsidRPr="005765CA">
              <w:rPr>
                <w:rFonts w:cs="Arial"/>
                <w:color w:val="000000" w:themeColor="text1"/>
                <w:szCs w:val="22"/>
              </w:rPr>
              <w:t>has under-performed</w:t>
            </w:r>
            <w:r w:rsidR="005F4251" w:rsidRPr="005765CA">
              <w:rPr>
                <w:rFonts w:cs="Arial"/>
                <w:color w:val="000000" w:themeColor="text1"/>
                <w:szCs w:val="22"/>
              </w:rPr>
              <w:t xml:space="preserve"> through their own negligence or wilful misconduct/disregard for </w:t>
            </w:r>
            <w:r w:rsidR="002D4953" w:rsidRPr="005765CA">
              <w:rPr>
                <w:rFonts w:cs="Arial"/>
                <w:color w:val="000000" w:themeColor="text1"/>
                <w:szCs w:val="22"/>
              </w:rPr>
              <w:t>the School</w:t>
            </w:r>
            <w:r w:rsidR="00AA666E" w:rsidRPr="005765CA">
              <w:rPr>
                <w:rFonts w:cs="Arial"/>
                <w:color w:val="000000" w:themeColor="text1"/>
                <w:szCs w:val="22"/>
              </w:rPr>
              <w:t>’s performance standards</w:t>
            </w:r>
            <w:r w:rsidR="005F4251" w:rsidRPr="005765CA">
              <w:rPr>
                <w:rFonts w:cs="Arial"/>
                <w:color w:val="000000" w:themeColor="text1"/>
                <w:szCs w:val="22"/>
              </w:rPr>
              <w:t xml:space="preserve"> or where there is a lack </w:t>
            </w:r>
            <w:r w:rsidR="005F4251" w:rsidRPr="005765CA">
              <w:rPr>
                <w:rFonts w:cs="Arial"/>
                <w:color w:val="000000" w:themeColor="text1"/>
                <w:szCs w:val="22"/>
              </w:rPr>
              <w:lastRenderedPageBreak/>
              <w:t xml:space="preserve">of co-operation with reasonable measures </w:t>
            </w:r>
            <w:r w:rsidR="009F2958" w:rsidRPr="005765CA">
              <w:rPr>
                <w:rFonts w:cs="Arial"/>
                <w:color w:val="000000" w:themeColor="text1"/>
                <w:szCs w:val="22"/>
              </w:rPr>
              <w:t xml:space="preserve">put in place to </w:t>
            </w:r>
            <w:r w:rsidR="004863F5" w:rsidRPr="005765CA">
              <w:rPr>
                <w:rFonts w:cs="Arial"/>
                <w:color w:val="000000" w:themeColor="text1"/>
                <w:szCs w:val="22"/>
              </w:rPr>
              <w:t>achie</w:t>
            </w:r>
            <w:r w:rsidR="005F4251" w:rsidRPr="005765CA">
              <w:rPr>
                <w:rFonts w:cs="Arial"/>
                <w:color w:val="000000" w:themeColor="text1"/>
                <w:szCs w:val="22"/>
              </w:rPr>
              <w:t>ve improvement the</w:t>
            </w:r>
            <w:r w:rsidRPr="005765CA">
              <w:rPr>
                <w:rFonts w:cs="Arial"/>
                <w:color w:val="000000" w:themeColor="text1"/>
                <w:szCs w:val="22"/>
              </w:rPr>
              <w:t xml:space="preserve">n </w:t>
            </w:r>
            <w:r w:rsidR="004863F5" w:rsidRPr="005765CA">
              <w:rPr>
                <w:rFonts w:cs="Arial"/>
                <w:color w:val="000000" w:themeColor="text1"/>
                <w:szCs w:val="22"/>
              </w:rPr>
              <w:t>this would be dealt with under the Disciplinary policy instead</w:t>
            </w:r>
            <w:r w:rsidR="005F4251" w:rsidRPr="005765CA">
              <w:rPr>
                <w:rFonts w:cs="Arial"/>
                <w:color w:val="000000" w:themeColor="text1"/>
                <w:szCs w:val="22"/>
              </w:rPr>
              <w:t>.</w:t>
            </w:r>
          </w:p>
        </w:tc>
      </w:tr>
      <w:tr w:rsidR="005765CA" w:rsidRPr="00162ABB" w14:paraId="790A152D" w14:textId="77777777" w:rsidTr="00B66AFB">
        <w:trPr>
          <w:trHeight w:val="283"/>
        </w:trPr>
        <w:tc>
          <w:tcPr>
            <w:tcW w:w="1020" w:type="dxa"/>
          </w:tcPr>
          <w:p w14:paraId="3D523659" w14:textId="77777777" w:rsidR="005765CA" w:rsidRPr="00162ABB" w:rsidRDefault="005765CA" w:rsidP="005F04A7">
            <w:pPr>
              <w:spacing w:after="60"/>
              <w:rPr>
                <w:szCs w:val="22"/>
              </w:rPr>
            </w:pPr>
          </w:p>
        </w:tc>
        <w:tc>
          <w:tcPr>
            <w:tcW w:w="8731" w:type="dxa"/>
          </w:tcPr>
          <w:p w14:paraId="15FBD43E" w14:textId="77777777" w:rsidR="005765CA" w:rsidRPr="005765CA" w:rsidRDefault="005765CA" w:rsidP="005765CA">
            <w:pPr>
              <w:spacing w:after="60"/>
              <w:rPr>
                <w:rFonts w:cs="Arial"/>
                <w:color w:val="000000" w:themeColor="text1"/>
                <w:szCs w:val="22"/>
              </w:rPr>
            </w:pPr>
          </w:p>
        </w:tc>
      </w:tr>
      <w:tr w:rsidR="00AF251C" w:rsidRPr="00324FC6" w14:paraId="0DBF1CA5" w14:textId="77777777" w:rsidTr="00B66AFB">
        <w:trPr>
          <w:trHeight w:val="283"/>
        </w:trPr>
        <w:tc>
          <w:tcPr>
            <w:tcW w:w="1020" w:type="dxa"/>
          </w:tcPr>
          <w:p w14:paraId="3378F9E8" w14:textId="77777777" w:rsidR="00AF251C" w:rsidRPr="00324FC6" w:rsidRDefault="001B21E0" w:rsidP="00AB5EDA">
            <w:pPr>
              <w:spacing w:after="60"/>
              <w:rPr>
                <w:szCs w:val="22"/>
              </w:rPr>
            </w:pPr>
            <w:r w:rsidRPr="00324FC6">
              <w:rPr>
                <w:szCs w:val="22"/>
              </w:rPr>
              <w:t>3.</w:t>
            </w:r>
            <w:r w:rsidR="00AB5EDA">
              <w:rPr>
                <w:szCs w:val="22"/>
              </w:rPr>
              <w:t>3</w:t>
            </w:r>
          </w:p>
        </w:tc>
        <w:tc>
          <w:tcPr>
            <w:tcW w:w="8731" w:type="dxa"/>
          </w:tcPr>
          <w:p w14:paraId="431813DF" w14:textId="77777777" w:rsidR="00AF251C" w:rsidRPr="006A5EF2" w:rsidRDefault="005067E0" w:rsidP="00F42E51">
            <w:pPr>
              <w:spacing w:after="120"/>
              <w:rPr>
                <w:rFonts w:cs="Arial"/>
                <w:color w:val="000000" w:themeColor="text1"/>
                <w:szCs w:val="22"/>
              </w:rPr>
            </w:pPr>
            <w:r w:rsidRPr="006A5EF2">
              <w:rPr>
                <w:rFonts w:cs="Arial"/>
                <w:color w:val="000000" w:themeColor="text1"/>
                <w:szCs w:val="22"/>
              </w:rPr>
              <w:t xml:space="preserve">Under performance may proceed direct </w:t>
            </w:r>
            <w:r w:rsidR="005310A2" w:rsidRPr="006A5EF2">
              <w:rPr>
                <w:rFonts w:cs="Arial"/>
                <w:color w:val="000000" w:themeColor="text1"/>
                <w:szCs w:val="22"/>
              </w:rPr>
              <w:t xml:space="preserve">to a </w:t>
            </w:r>
            <w:r w:rsidR="00AB5EDA" w:rsidRPr="006A5EF2">
              <w:rPr>
                <w:rFonts w:cs="Arial"/>
                <w:color w:val="000000" w:themeColor="text1"/>
                <w:szCs w:val="22"/>
              </w:rPr>
              <w:t>formal c</w:t>
            </w:r>
            <w:r w:rsidR="005310A2" w:rsidRPr="006A5EF2">
              <w:rPr>
                <w:rFonts w:cs="Arial"/>
                <w:color w:val="000000" w:themeColor="text1"/>
                <w:szCs w:val="22"/>
              </w:rPr>
              <w:t xml:space="preserve">apability </w:t>
            </w:r>
            <w:r w:rsidR="00AB5EDA" w:rsidRPr="006A5EF2">
              <w:rPr>
                <w:rFonts w:cs="Arial"/>
                <w:color w:val="000000" w:themeColor="text1"/>
                <w:szCs w:val="22"/>
              </w:rPr>
              <w:t>m</w:t>
            </w:r>
            <w:r w:rsidR="005310A2" w:rsidRPr="006A5EF2">
              <w:rPr>
                <w:rFonts w:cs="Arial"/>
                <w:color w:val="000000" w:themeColor="text1"/>
                <w:szCs w:val="22"/>
              </w:rPr>
              <w:t>eeting</w:t>
            </w:r>
            <w:r w:rsidR="00DC3284" w:rsidRPr="006A5EF2">
              <w:rPr>
                <w:rFonts w:cs="Arial"/>
                <w:color w:val="000000" w:themeColor="text1"/>
                <w:szCs w:val="22"/>
              </w:rPr>
              <w:t xml:space="preserve"> without resort to informal resolution</w:t>
            </w:r>
            <w:r w:rsidR="005310A2" w:rsidRPr="006A5EF2">
              <w:rPr>
                <w:rFonts w:cs="Arial"/>
                <w:color w:val="000000" w:themeColor="text1"/>
                <w:szCs w:val="22"/>
              </w:rPr>
              <w:t xml:space="preserve">, </w:t>
            </w:r>
            <w:r w:rsidR="00D210A1" w:rsidRPr="006A5EF2">
              <w:rPr>
                <w:rFonts w:cs="Arial"/>
                <w:color w:val="000000" w:themeColor="text1"/>
                <w:szCs w:val="22"/>
              </w:rPr>
              <w:t xml:space="preserve">under </w:t>
            </w:r>
            <w:r w:rsidR="00324FC6" w:rsidRPr="006A5EF2">
              <w:rPr>
                <w:rFonts w:cs="Arial"/>
                <w:color w:val="000000" w:themeColor="text1"/>
                <w:szCs w:val="22"/>
              </w:rPr>
              <w:t>one of the following circumstances:</w:t>
            </w:r>
          </w:p>
        </w:tc>
      </w:tr>
      <w:tr w:rsidR="00B66AFB" w:rsidRPr="00324FC6" w14:paraId="3455CDD9" w14:textId="77777777" w:rsidTr="004226A6">
        <w:trPr>
          <w:trHeight w:val="283"/>
        </w:trPr>
        <w:tc>
          <w:tcPr>
            <w:tcW w:w="1020" w:type="dxa"/>
          </w:tcPr>
          <w:p w14:paraId="77BA961E" w14:textId="77777777" w:rsidR="00B66AFB" w:rsidRPr="00324FC6" w:rsidRDefault="00B66AFB" w:rsidP="004226A6">
            <w:pPr>
              <w:spacing w:after="60"/>
              <w:rPr>
                <w:szCs w:val="22"/>
              </w:rPr>
            </w:pPr>
          </w:p>
        </w:tc>
        <w:tc>
          <w:tcPr>
            <w:tcW w:w="8731" w:type="dxa"/>
          </w:tcPr>
          <w:p w14:paraId="4C1DF53C" w14:textId="77777777" w:rsidR="00B66AFB" w:rsidRPr="00FD4770" w:rsidRDefault="00B66AFB" w:rsidP="00CB7D79">
            <w:pPr>
              <w:pStyle w:val="ListParagraph"/>
              <w:numPr>
                <w:ilvl w:val="0"/>
                <w:numId w:val="3"/>
              </w:numPr>
              <w:tabs>
                <w:tab w:val="left" w:pos="357"/>
              </w:tabs>
              <w:spacing w:after="60"/>
              <w:rPr>
                <w:rFonts w:cs="Arial"/>
                <w:color w:val="000000" w:themeColor="text1"/>
                <w:szCs w:val="22"/>
              </w:rPr>
            </w:pPr>
            <w:r w:rsidRPr="00FD4770">
              <w:rPr>
                <w:rFonts w:cs="Arial"/>
                <w:color w:val="000000" w:themeColor="text1"/>
                <w:szCs w:val="22"/>
              </w:rPr>
              <w:t>The informal stage has already been used within the last 6 months.</w:t>
            </w:r>
          </w:p>
        </w:tc>
      </w:tr>
      <w:tr w:rsidR="00B66AFB" w:rsidRPr="00324FC6" w14:paraId="4485B196" w14:textId="77777777" w:rsidTr="004226A6">
        <w:trPr>
          <w:trHeight w:val="283"/>
        </w:trPr>
        <w:tc>
          <w:tcPr>
            <w:tcW w:w="1020" w:type="dxa"/>
          </w:tcPr>
          <w:p w14:paraId="5AC6C982" w14:textId="77777777" w:rsidR="00B66AFB" w:rsidRPr="00324FC6" w:rsidRDefault="00B66AFB" w:rsidP="004226A6">
            <w:pPr>
              <w:spacing w:after="60"/>
              <w:rPr>
                <w:szCs w:val="22"/>
              </w:rPr>
            </w:pPr>
          </w:p>
        </w:tc>
        <w:tc>
          <w:tcPr>
            <w:tcW w:w="8731" w:type="dxa"/>
          </w:tcPr>
          <w:p w14:paraId="172D6B9A" w14:textId="77777777" w:rsidR="00B66AFB" w:rsidRPr="00FD4770" w:rsidRDefault="00B66AFB" w:rsidP="00CB7D79">
            <w:pPr>
              <w:pStyle w:val="ListParagraph"/>
              <w:numPr>
                <w:ilvl w:val="0"/>
                <w:numId w:val="3"/>
              </w:numPr>
              <w:tabs>
                <w:tab w:val="left" w:pos="357"/>
              </w:tabs>
              <w:spacing w:after="60"/>
              <w:rPr>
                <w:rFonts w:cs="Arial"/>
                <w:color w:val="000000" w:themeColor="text1"/>
                <w:szCs w:val="22"/>
              </w:rPr>
            </w:pPr>
            <w:r w:rsidRPr="00FD4770">
              <w:rPr>
                <w:lang w:val="en-US"/>
              </w:rPr>
              <w:t>If the employee has not responded to support provided within the appraisal process.</w:t>
            </w:r>
          </w:p>
        </w:tc>
      </w:tr>
      <w:tr w:rsidR="00B66AFB" w:rsidRPr="00324FC6" w14:paraId="3D3C89EC" w14:textId="77777777" w:rsidTr="004226A6">
        <w:trPr>
          <w:trHeight w:val="283"/>
        </w:trPr>
        <w:tc>
          <w:tcPr>
            <w:tcW w:w="1020" w:type="dxa"/>
          </w:tcPr>
          <w:p w14:paraId="57FA9BA3" w14:textId="77777777" w:rsidR="00B66AFB" w:rsidRPr="00324FC6" w:rsidRDefault="00B66AFB" w:rsidP="004226A6">
            <w:pPr>
              <w:spacing w:after="60"/>
              <w:rPr>
                <w:szCs w:val="22"/>
              </w:rPr>
            </w:pPr>
          </w:p>
        </w:tc>
        <w:tc>
          <w:tcPr>
            <w:tcW w:w="8731" w:type="dxa"/>
          </w:tcPr>
          <w:p w14:paraId="44319561" w14:textId="0D9F8B4C" w:rsidR="00B66AFB" w:rsidRPr="00FD4770" w:rsidRDefault="00B66AFB" w:rsidP="00CB7D79">
            <w:pPr>
              <w:pStyle w:val="ListParagraph"/>
              <w:numPr>
                <w:ilvl w:val="0"/>
                <w:numId w:val="3"/>
              </w:numPr>
              <w:tabs>
                <w:tab w:val="left" w:pos="290"/>
              </w:tabs>
              <w:spacing w:after="60"/>
              <w:rPr>
                <w:rFonts w:cs="Arial"/>
                <w:color w:val="000000" w:themeColor="text1"/>
                <w:szCs w:val="22"/>
              </w:rPr>
            </w:pPr>
            <w:r w:rsidRPr="00FD4770">
              <w:rPr>
                <w:rFonts w:cs="Arial"/>
                <w:color w:val="000000" w:themeColor="text1"/>
                <w:szCs w:val="22"/>
              </w:rPr>
              <w:t>A formal capability meeting has been held within the last 12 months</w:t>
            </w:r>
            <w:r w:rsidR="00800A98" w:rsidRPr="00FD4770">
              <w:rPr>
                <w:rFonts w:cs="Arial"/>
                <w:color w:val="000000" w:themeColor="text1"/>
                <w:szCs w:val="22"/>
              </w:rPr>
              <w:t xml:space="preserve">, in which case, </w:t>
            </w:r>
            <w:r w:rsidR="005765CA">
              <w:rPr>
                <w:rFonts w:cs="Arial"/>
                <w:color w:val="000000" w:themeColor="text1"/>
                <w:szCs w:val="22"/>
              </w:rPr>
              <w:t>t</w:t>
            </w:r>
            <w:r w:rsidR="00800A98" w:rsidRPr="00FD4770">
              <w:rPr>
                <w:rFonts w:cs="Arial"/>
                <w:color w:val="000000" w:themeColor="text1"/>
                <w:szCs w:val="22"/>
              </w:rPr>
              <w:t>he employee would go back to the same stage of the policy as previously</w:t>
            </w:r>
            <w:r w:rsidRPr="00FD4770">
              <w:rPr>
                <w:rFonts w:cs="Arial"/>
                <w:color w:val="000000" w:themeColor="text1"/>
                <w:szCs w:val="22"/>
              </w:rPr>
              <w:t>.</w:t>
            </w:r>
          </w:p>
        </w:tc>
      </w:tr>
      <w:tr w:rsidR="00B66AFB" w:rsidRPr="00324FC6" w14:paraId="1D47DFCF" w14:textId="77777777" w:rsidTr="004226A6">
        <w:trPr>
          <w:trHeight w:val="283"/>
        </w:trPr>
        <w:tc>
          <w:tcPr>
            <w:tcW w:w="1020" w:type="dxa"/>
          </w:tcPr>
          <w:p w14:paraId="5683FAD9" w14:textId="77777777" w:rsidR="00B66AFB" w:rsidRPr="00324FC6" w:rsidRDefault="00B66AFB" w:rsidP="004226A6">
            <w:pPr>
              <w:spacing w:after="60"/>
              <w:rPr>
                <w:szCs w:val="22"/>
              </w:rPr>
            </w:pPr>
          </w:p>
        </w:tc>
        <w:tc>
          <w:tcPr>
            <w:tcW w:w="8731" w:type="dxa"/>
          </w:tcPr>
          <w:p w14:paraId="203B480D" w14:textId="77777777" w:rsidR="00B66AFB" w:rsidRPr="00FD4770" w:rsidRDefault="00B66AFB" w:rsidP="00CB7D79">
            <w:pPr>
              <w:pStyle w:val="ListParagraph"/>
              <w:numPr>
                <w:ilvl w:val="0"/>
                <w:numId w:val="3"/>
              </w:numPr>
              <w:tabs>
                <w:tab w:val="left" w:pos="357"/>
              </w:tabs>
              <w:spacing w:after="60"/>
              <w:rPr>
                <w:rFonts w:cs="Arial"/>
                <w:color w:val="000000" w:themeColor="text1"/>
                <w:szCs w:val="22"/>
              </w:rPr>
            </w:pPr>
            <w:r w:rsidRPr="00FD4770">
              <w:rPr>
                <w:rFonts w:cs="Arial"/>
                <w:color w:val="000000" w:themeColor="text1"/>
                <w:szCs w:val="22"/>
              </w:rPr>
              <w:t>The employee holds a leadership position within the School.</w:t>
            </w:r>
          </w:p>
        </w:tc>
      </w:tr>
      <w:tr w:rsidR="00324FC6" w:rsidRPr="00324FC6" w14:paraId="60C2BA3F" w14:textId="77777777" w:rsidTr="00B66AFB">
        <w:trPr>
          <w:trHeight w:val="283"/>
        </w:trPr>
        <w:tc>
          <w:tcPr>
            <w:tcW w:w="1020" w:type="dxa"/>
          </w:tcPr>
          <w:p w14:paraId="6961CDCE" w14:textId="77777777" w:rsidR="00324FC6" w:rsidRPr="00324FC6" w:rsidRDefault="00324FC6" w:rsidP="00281DD9">
            <w:pPr>
              <w:spacing w:after="60"/>
              <w:rPr>
                <w:szCs w:val="22"/>
              </w:rPr>
            </w:pPr>
          </w:p>
        </w:tc>
        <w:tc>
          <w:tcPr>
            <w:tcW w:w="8731" w:type="dxa"/>
          </w:tcPr>
          <w:p w14:paraId="68214E38" w14:textId="77777777" w:rsidR="00281DD9" w:rsidRPr="00FD4770" w:rsidRDefault="004863F5" w:rsidP="00CB7D79">
            <w:pPr>
              <w:pStyle w:val="ListParagraph"/>
              <w:numPr>
                <w:ilvl w:val="0"/>
                <w:numId w:val="3"/>
              </w:numPr>
              <w:tabs>
                <w:tab w:val="left" w:pos="357"/>
              </w:tabs>
              <w:spacing w:after="60"/>
              <w:rPr>
                <w:rFonts w:cs="Arial"/>
                <w:color w:val="000000" w:themeColor="text1"/>
                <w:szCs w:val="22"/>
              </w:rPr>
            </w:pPr>
            <w:r w:rsidRPr="00FD4770">
              <w:rPr>
                <w:rFonts w:cs="Arial"/>
                <w:color w:val="000000" w:themeColor="text1"/>
                <w:szCs w:val="22"/>
              </w:rPr>
              <w:t>T</w:t>
            </w:r>
            <w:r w:rsidR="00281DD9" w:rsidRPr="00FD4770">
              <w:rPr>
                <w:rFonts w:cs="Arial"/>
                <w:color w:val="000000" w:themeColor="text1"/>
                <w:szCs w:val="22"/>
              </w:rPr>
              <w:t>here is a demonstrable detrimental effect on the quality of teaching and learning received by pupils</w:t>
            </w:r>
            <w:r w:rsidR="00FC4C60" w:rsidRPr="00FD4770">
              <w:rPr>
                <w:rFonts w:cs="Arial"/>
                <w:color w:val="000000" w:themeColor="text1"/>
                <w:szCs w:val="22"/>
              </w:rPr>
              <w:t>.</w:t>
            </w:r>
          </w:p>
        </w:tc>
      </w:tr>
    </w:tbl>
    <w:p w14:paraId="296FDF0D" w14:textId="77777777" w:rsidR="00AF251C" w:rsidRDefault="00AF251C" w:rsidP="00281DD9">
      <w:pPr>
        <w:pStyle w:val="Header"/>
        <w:tabs>
          <w:tab w:val="clear" w:pos="4153"/>
          <w:tab w:val="clear" w:pos="8306"/>
        </w:tabs>
      </w:pPr>
    </w:p>
    <w:p w14:paraId="43CCB93C" w14:textId="77777777" w:rsidR="00281A5C" w:rsidRDefault="00281A5C" w:rsidP="00281DD9">
      <w:pPr>
        <w:pStyle w:val="Header"/>
        <w:tabs>
          <w:tab w:val="clear" w:pos="4153"/>
          <w:tab w:val="clear" w:pos="8306"/>
        </w:tabs>
      </w:pPr>
    </w:p>
    <w:tbl>
      <w:tblPr>
        <w:tblW w:w="9751" w:type="dxa"/>
        <w:tblLook w:val="0000" w:firstRow="0" w:lastRow="0" w:firstColumn="0" w:lastColumn="0" w:noHBand="0" w:noVBand="0"/>
      </w:tblPr>
      <w:tblGrid>
        <w:gridCol w:w="1020"/>
        <w:gridCol w:w="8731"/>
      </w:tblGrid>
      <w:tr w:rsidR="009D0524" w14:paraId="28306CFD" w14:textId="77777777" w:rsidTr="00B66AFB">
        <w:trPr>
          <w:trHeight w:val="283"/>
        </w:trPr>
        <w:tc>
          <w:tcPr>
            <w:tcW w:w="1020" w:type="dxa"/>
          </w:tcPr>
          <w:p w14:paraId="1FEAFF87" w14:textId="77777777" w:rsidR="009D0524" w:rsidRDefault="00D01C67" w:rsidP="00281DD9">
            <w:pPr>
              <w:rPr>
                <w:b/>
                <w:bCs/>
                <w:sz w:val="28"/>
              </w:rPr>
            </w:pPr>
            <w:r>
              <w:rPr>
                <w:b/>
                <w:bCs/>
                <w:sz w:val="28"/>
              </w:rPr>
              <w:t>4</w:t>
            </w:r>
            <w:r w:rsidR="009D0524">
              <w:rPr>
                <w:b/>
                <w:bCs/>
                <w:sz w:val="28"/>
              </w:rPr>
              <w:t>.0</w:t>
            </w:r>
          </w:p>
        </w:tc>
        <w:tc>
          <w:tcPr>
            <w:tcW w:w="8731" w:type="dxa"/>
          </w:tcPr>
          <w:p w14:paraId="15599186" w14:textId="59702C0D" w:rsidR="009D0524" w:rsidRDefault="000A162A" w:rsidP="00AF0B27">
            <w:pPr>
              <w:pStyle w:val="Heading2"/>
            </w:pPr>
            <w:r>
              <w:t xml:space="preserve">First </w:t>
            </w:r>
            <w:r w:rsidR="004E25B7" w:rsidRPr="00EE2D07">
              <w:t xml:space="preserve">Formal </w:t>
            </w:r>
            <w:r w:rsidR="00D01C67" w:rsidRPr="00EE2D07">
              <w:t>Capability</w:t>
            </w:r>
            <w:r w:rsidR="00D01C67">
              <w:t xml:space="preserve"> Meeting </w:t>
            </w:r>
          </w:p>
        </w:tc>
      </w:tr>
      <w:tr w:rsidR="009D0524" w:rsidRPr="009D0524" w14:paraId="03209F49" w14:textId="77777777" w:rsidTr="00B66AFB">
        <w:trPr>
          <w:trHeight w:val="283"/>
        </w:trPr>
        <w:tc>
          <w:tcPr>
            <w:tcW w:w="1020" w:type="dxa"/>
          </w:tcPr>
          <w:p w14:paraId="64D1FF4C" w14:textId="77777777" w:rsidR="009D0524" w:rsidRPr="009D0524" w:rsidRDefault="009D0524" w:rsidP="00281DD9">
            <w:pPr>
              <w:spacing w:after="60"/>
              <w:rPr>
                <w:szCs w:val="22"/>
              </w:rPr>
            </w:pPr>
          </w:p>
        </w:tc>
        <w:tc>
          <w:tcPr>
            <w:tcW w:w="8731" w:type="dxa"/>
          </w:tcPr>
          <w:p w14:paraId="673BFB32" w14:textId="77777777" w:rsidR="009D0524" w:rsidRPr="009D0524" w:rsidRDefault="009D0524" w:rsidP="00281DD9">
            <w:pPr>
              <w:spacing w:after="60"/>
              <w:rPr>
                <w:szCs w:val="22"/>
              </w:rPr>
            </w:pPr>
          </w:p>
        </w:tc>
      </w:tr>
      <w:tr w:rsidR="009D0524" w:rsidRPr="00162ABB" w14:paraId="4DB13F52" w14:textId="77777777" w:rsidTr="00B66AFB">
        <w:trPr>
          <w:trHeight w:val="283"/>
        </w:trPr>
        <w:tc>
          <w:tcPr>
            <w:tcW w:w="1020" w:type="dxa"/>
          </w:tcPr>
          <w:p w14:paraId="158B5923" w14:textId="77777777" w:rsidR="009D0524" w:rsidRPr="00162ABB" w:rsidRDefault="00712A40" w:rsidP="00281DD9">
            <w:pPr>
              <w:spacing w:after="60"/>
              <w:rPr>
                <w:szCs w:val="22"/>
              </w:rPr>
            </w:pPr>
            <w:r w:rsidRPr="00162ABB">
              <w:rPr>
                <w:szCs w:val="22"/>
              </w:rPr>
              <w:t>4</w:t>
            </w:r>
            <w:r w:rsidR="009D0524" w:rsidRPr="00162ABB">
              <w:rPr>
                <w:szCs w:val="22"/>
              </w:rPr>
              <w:t>.1</w:t>
            </w:r>
          </w:p>
        </w:tc>
        <w:tc>
          <w:tcPr>
            <w:tcW w:w="8731" w:type="dxa"/>
          </w:tcPr>
          <w:p w14:paraId="1DE74E3D" w14:textId="6B2F234A" w:rsidR="009D0524" w:rsidRPr="00162ABB" w:rsidRDefault="00606053" w:rsidP="002E5F88">
            <w:pPr>
              <w:spacing w:after="60"/>
              <w:rPr>
                <w:szCs w:val="22"/>
              </w:rPr>
            </w:pPr>
            <w:r w:rsidRPr="00162ABB">
              <w:rPr>
                <w:rFonts w:cs="Arial"/>
                <w:szCs w:val="22"/>
              </w:rPr>
              <w:t xml:space="preserve">Where the </w:t>
            </w:r>
            <w:r w:rsidR="009A4BEF">
              <w:rPr>
                <w:rFonts w:cs="Arial"/>
                <w:szCs w:val="22"/>
              </w:rPr>
              <w:t>School</w:t>
            </w:r>
            <w:r w:rsidRPr="00162ABB">
              <w:rPr>
                <w:rFonts w:cs="Arial"/>
                <w:szCs w:val="22"/>
              </w:rPr>
              <w:t xml:space="preserve"> considers</w:t>
            </w:r>
            <w:r w:rsidR="00817EB3" w:rsidRPr="00162ABB">
              <w:rPr>
                <w:rFonts w:cs="Arial"/>
                <w:szCs w:val="22"/>
              </w:rPr>
              <w:t xml:space="preserve"> that an employee's performance </w:t>
            </w:r>
            <w:r w:rsidR="00FE4B2A" w:rsidRPr="00AF0B27">
              <w:rPr>
                <w:rFonts w:cs="Arial"/>
                <w:szCs w:val="22"/>
              </w:rPr>
              <w:t>fails to reach</w:t>
            </w:r>
            <w:r w:rsidR="000E3817" w:rsidRPr="00AF0B27">
              <w:rPr>
                <w:rFonts w:cs="Arial"/>
                <w:szCs w:val="22"/>
              </w:rPr>
              <w:t xml:space="preserve"> the </w:t>
            </w:r>
            <w:r w:rsidR="00FE4B2A" w:rsidRPr="00AF0B27">
              <w:rPr>
                <w:rFonts w:cs="Arial"/>
                <w:szCs w:val="22"/>
              </w:rPr>
              <w:t>standards set</w:t>
            </w:r>
            <w:r w:rsidR="00FC4C60">
              <w:rPr>
                <w:rFonts w:cs="Arial"/>
                <w:szCs w:val="22"/>
              </w:rPr>
              <w:t xml:space="preserve">, </w:t>
            </w:r>
            <w:r w:rsidR="00FC4C60" w:rsidRPr="00EE2D07">
              <w:rPr>
                <w:rFonts w:cs="Arial"/>
                <w:szCs w:val="22"/>
              </w:rPr>
              <w:t>a</w:t>
            </w:r>
            <w:r w:rsidR="005310A2" w:rsidRPr="00EE2D07">
              <w:rPr>
                <w:rFonts w:cs="Arial"/>
                <w:szCs w:val="22"/>
              </w:rPr>
              <w:t xml:space="preserve"> </w:t>
            </w:r>
            <w:r w:rsidR="004E25B7" w:rsidRPr="00EE2D07">
              <w:rPr>
                <w:rFonts w:cs="Arial"/>
                <w:szCs w:val="22"/>
              </w:rPr>
              <w:t>formal c</w:t>
            </w:r>
            <w:r w:rsidR="000E3817" w:rsidRPr="00EE2D07">
              <w:rPr>
                <w:rFonts w:cs="Arial"/>
                <w:szCs w:val="22"/>
              </w:rPr>
              <w:t>apability</w:t>
            </w:r>
            <w:r w:rsidR="000E3817" w:rsidRPr="00AF0B27">
              <w:rPr>
                <w:rFonts w:cs="Arial"/>
                <w:szCs w:val="22"/>
              </w:rPr>
              <w:t xml:space="preserve"> </w:t>
            </w:r>
            <w:r w:rsidR="00E05471">
              <w:rPr>
                <w:rFonts w:cs="Arial"/>
                <w:szCs w:val="22"/>
              </w:rPr>
              <w:t xml:space="preserve">meeting </w:t>
            </w:r>
            <w:r w:rsidR="000E3817" w:rsidRPr="00AF0B27">
              <w:rPr>
                <w:rFonts w:cs="Arial"/>
                <w:szCs w:val="22"/>
              </w:rPr>
              <w:t xml:space="preserve">shall be held to review </w:t>
            </w:r>
            <w:r w:rsidR="0095626D">
              <w:rPr>
                <w:rFonts w:cs="Arial"/>
                <w:szCs w:val="22"/>
              </w:rPr>
              <w:t>performance concerns</w:t>
            </w:r>
            <w:r w:rsidR="000E3817" w:rsidRPr="00AF0B27">
              <w:rPr>
                <w:rFonts w:cs="Arial"/>
                <w:szCs w:val="22"/>
              </w:rPr>
              <w:t xml:space="preserve"> and to set clear expectations for future performance.</w:t>
            </w:r>
            <w:r w:rsidR="000A162A">
              <w:rPr>
                <w:rFonts w:cs="Arial"/>
                <w:szCs w:val="22"/>
              </w:rPr>
              <w:t xml:space="preserve"> A</w:t>
            </w:r>
            <w:r w:rsidR="00FA541B">
              <w:rPr>
                <w:rFonts w:cs="Arial"/>
                <w:szCs w:val="22"/>
              </w:rPr>
              <w:t>s an outcome of the meeting, a</w:t>
            </w:r>
            <w:r w:rsidR="000A162A">
              <w:rPr>
                <w:rFonts w:cs="Arial"/>
                <w:szCs w:val="22"/>
              </w:rPr>
              <w:t xml:space="preserve"> performance improvement plan </w:t>
            </w:r>
            <w:r w:rsidR="00821DE6">
              <w:rPr>
                <w:rFonts w:cs="Arial"/>
                <w:szCs w:val="22"/>
              </w:rPr>
              <w:t>will</w:t>
            </w:r>
            <w:r w:rsidR="000A162A">
              <w:rPr>
                <w:rFonts w:cs="Arial"/>
                <w:szCs w:val="22"/>
              </w:rPr>
              <w:t xml:space="preserve"> be created to show the expectations required.</w:t>
            </w:r>
          </w:p>
        </w:tc>
      </w:tr>
      <w:tr w:rsidR="00296B7A" w:rsidRPr="003B4BF9" w14:paraId="11FD67A4" w14:textId="77777777" w:rsidTr="00B66AFB">
        <w:trPr>
          <w:trHeight w:val="283"/>
        </w:trPr>
        <w:tc>
          <w:tcPr>
            <w:tcW w:w="1020" w:type="dxa"/>
          </w:tcPr>
          <w:p w14:paraId="23D6F95E" w14:textId="77777777" w:rsidR="00296B7A" w:rsidRPr="003B4BF9" w:rsidRDefault="00296B7A" w:rsidP="00A95416">
            <w:pPr>
              <w:spacing w:after="60"/>
              <w:rPr>
                <w:sz w:val="12"/>
                <w:szCs w:val="12"/>
              </w:rPr>
            </w:pPr>
          </w:p>
        </w:tc>
        <w:tc>
          <w:tcPr>
            <w:tcW w:w="8731" w:type="dxa"/>
          </w:tcPr>
          <w:p w14:paraId="0929570E" w14:textId="77777777" w:rsidR="00296B7A" w:rsidRPr="003B4BF9" w:rsidRDefault="00296B7A" w:rsidP="00A95416">
            <w:pPr>
              <w:spacing w:after="60"/>
              <w:rPr>
                <w:sz w:val="12"/>
                <w:szCs w:val="12"/>
              </w:rPr>
            </w:pPr>
          </w:p>
        </w:tc>
      </w:tr>
      <w:tr w:rsidR="00712A40" w:rsidRPr="00162ABB" w14:paraId="4805119E" w14:textId="77777777" w:rsidTr="00B66AFB">
        <w:trPr>
          <w:trHeight w:val="283"/>
        </w:trPr>
        <w:tc>
          <w:tcPr>
            <w:tcW w:w="1020" w:type="dxa"/>
          </w:tcPr>
          <w:p w14:paraId="417DB0DB" w14:textId="77777777" w:rsidR="00712A40" w:rsidRPr="00162ABB" w:rsidRDefault="00712A40" w:rsidP="00281DD9">
            <w:pPr>
              <w:spacing w:after="60"/>
              <w:rPr>
                <w:szCs w:val="22"/>
              </w:rPr>
            </w:pPr>
            <w:r w:rsidRPr="00162ABB">
              <w:rPr>
                <w:szCs w:val="22"/>
              </w:rPr>
              <w:t>4.2</w:t>
            </w:r>
          </w:p>
        </w:tc>
        <w:tc>
          <w:tcPr>
            <w:tcW w:w="8731" w:type="dxa"/>
          </w:tcPr>
          <w:p w14:paraId="0DF696D5" w14:textId="77777777" w:rsidR="00712A40" w:rsidRPr="00162ABB" w:rsidRDefault="00712A40" w:rsidP="000E3817">
            <w:pPr>
              <w:spacing w:after="60"/>
              <w:rPr>
                <w:szCs w:val="22"/>
              </w:rPr>
            </w:pPr>
            <w:r w:rsidRPr="00162ABB">
              <w:rPr>
                <w:rFonts w:cs="Arial"/>
                <w:szCs w:val="22"/>
              </w:rPr>
              <w:t xml:space="preserve">The </w:t>
            </w:r>
            <w:r w:rsidR="009A4BEF">
              <w:rPr>
                <w:rFonts w:cs="Arial"/>
                <w:szCs w:val="22"/>
              </w:rPr>
              <w:t>School</w:t>
            </w:r>
            <w:r w:rsidRPr="00162ABB">
              <w:rPr>
                <w:rFonts w:cs="Arial"/>
                <w:szCs w:val="22"/>
              </w:rPr>
              <w:t xml:space="preserve"> shall consider any explanation for the unsatisfactory performance provided by the employee </w:t>
            </w:r>
            <w:r w:rsidR="000E3817">
              <w:rPr>
                <w:rFonts w:cs="Arial"/>
                <w:szCs w:val="22"/>
              </w:rPr>
              <w:t>with the view to agree a planned course of action.</w:t>
            </w:r>
          </w:p>
        </w:tc>
      </w:tr>
      <w:tr w:rsidR="00296B7A" w:rsidRPr="003B4BF9" w14:paraId="5A9BE576" w14:textId="77777777" w:rsidTr="00B66AFB">
        <w:trPr>
          <w:trHeight w:val="283"/>
        </w:trPr>
        <w:tc>
          <w:tcPr>
            <w:tcW w:w="1020" w:type="dxa"/>
          </w:tcPr>
          <w:p w14:paraId="0581A2A2" w14:textId="77777777" w:rsidR="00296B7A" w:rsidRPr="003B4BF9" w:rsidRDefault="00296B7A" w:rsidP="00A95416">
            <w:pPr>
              <w:spacing w:after="60"/>
              <w:rPr>
                <w:sz w:val="12"/>
                <w:szCs w:val="12"/>
              </w:rPr>
            </w:pPr>
          </w:p>
        </w:tc>
        <w:tc>
          <w:tcPr>
            <w:tcW w:w="8731" w:type="dxa"/>
          </w:tcPr>
          <w:p w14:paraId="5948D839" w14:textId="77777777" w:rsidR="00296B7A" w:rsidRPr="003B4BF9" w:rsidRDefault="00296B7A" w:rsidP="00A95416">
            <w:pPr>
              <w:spacing w:after="60"/>
              <w:rPr>
                <w:sz w:val="12"/>
                <w:szCs w:val="12"/>
              </w:rPr>
            </w:pPr>
          </w:p>
        </w:tc>
      </w:tr>
      <w:tr w:rsidR="009D0524" w:rsidRPr="00162ABB" w14:paraId="3F633277" w14:textId="77777777" w:rsidTr="00B66AFB">
        <w:trPr>
          <w:trHeight w:val="283"/>
        </w:trPr>
        <w:tc>
          <w:tcPr>
            <w:tcW w:w="1020" w:type="dxa"/>
          </w:tcPr>
          <w:p w14:paraId="29BEC925" w14:textId="77777777" w:rsidR="009D0524" w:rsidRPr="00162ABB" w:rsidRDefault="00712A40" w:rsidP="00281DD9">
            <w:pPr>
              <w:spacing w:after="60"/>
              <w:rPr>
                <w:szCs w:val="22"/>
              </w:rPr>
            </w:pPr>
            <w:r w:rsidRPr="00162ABB">
              <w:rPr>
                <w:szCs w:val="22"/>
              </w:rPr>
              <w:t>4</w:t>
            </w:r>
            <w:r w:rsidR="009D0524" w:rsidRPr="00162ABB">
              <w:rPr>
                <w:szCs w:val="22"/>
              </w:rPr>
              <w:t>.3</w:t>
            </w:r>
          </w:p>
        </w:tc>
        <w:tc>
          <w:tcPr>
            <w:tcW w:w="8731" w:type="dxa"/>
          </w:tcPr>
          <w:p w14:paraId="17374BCA" w14:textId="385225FB" w:rsidR="009D0524" w:rsidRPr="00162ABB" w:rsidRDefault="000F2A11" w:rsidP="002E5F88">
            <w:pPr>
              <w:spacing w:after="60"/>
              <w:rPr>
                <w:szCs w:val="22"/>
              </w:rPr>
            </w:pPr>
            <w:r w:rsidRPr="00162ABB">
              <w:rPr>
                <w:rFonts w:cs="Arial"/>
                <w:szCs w:val="22"/>
              </w:rPr>
              <w:t xml:space="preserve">The </w:t>
            </w:r>
            <w:r w:rsidR="009A4BEF">
              <w:rPr>
                <w:rFonts w:cs="Arial"/>
                <w:szCs w:val="22"/>
              </w:rPr>
              <w:t>School</w:t>
            </w:r>
            <w:r w:rsidRPr="00162ABB">
              <w:rPr>
                <w:rFonts w:cs="Arial"/>
                <w:szCs w:val="22"/>
              </w:rPr>
              <w:t xml:space="preserve"> will s</w:t>
            </w:r>
            <w:r w:rsidR="00817EB3" w:rsidRPr="00162ABB">
              <w:rPr>
                <w:rFonts w:cs="Arial"/>
                <w:szCs w:val="22"/>
              </w:rPr>
              <w:t xml:space="preserve">et a reasonable review period for the employee to reach the </w:t>
            </w:r>
            <w:r w:rsidR="00590E96" w:rsidRPr="00AF0B27">
              <w:rPr>
                <w:rFonts w:cs="Arial"/>
                <w:szCs w:val="22"/>
              </w:rPr>
              <w:t xml:space="preserve">stated </w:t>
            </w:r>
            <w:r w:rsidR="00817EB3" w:rsidRPr="00AF0B27">
              <w:rPr>
                <w:rFonts w:cs="Arial"/>
                <w:szCs w:val="22"/>
              </w:rPr>
              <w:t>required standard</w:t>
            </w:r>
            <w:r w:rsidR="000E3817" w:rsidRPr="00AF0B27">
              <w:rPr>
                <w:rFonts w:cs="Arial"/>
                <w:szCs w:val="22"/>
              </w:rPr>
              <w:t>s</w:t>
            </w:r>
            <w:r w:rsidR="00817EB3" w:rsidRPr="00AF0B27">
              <w:rPr>
                <w:rFonts w:cs="Arial"/>
                <w:szCs w:val="22"/>
              </w:rPr>
              <w:t xml:space="preserve">, and </w:t>
            </w:r>
            <w:r w:rsidR="000E3817" w:rsidRPr="00AF0B27">
              <w:rPr>
                <w:rFonts w:cs="Arial"/>
                <w:szCs w:val="22"/>
              </w:rPr>
              <w:t xml:space="preserve">will also </w:t>
            </w:r>
            <w:r w:rsidR="00817EB3" w:rsidRPr="00AF0B27">
              <w:rPr>
                <w:rFonts w:cs="Arial"/>
                <w:szCs w:val="22"/>
              </w:rPr>
              <w:t>establish arrangements for monitoring</w:t>
            </w:r>
            <w:r w:rsidR="00817EB3" w:rsidRPr="00162ABB">
              <w:rPr>
                <w:rFonts w:cs="Arial"/>
                <w:szCs w:val="22"/>
              </w:rPr>
              <w:t xml:space="preserve"> during this period.</w:t>
            </w:r>
            <w:r w:rsidR="0095626D">
              <w:rPr>
                <w:rFonts w:cs="Arial"/>
                <w:szCs w:val="22"/>
              </w:rPr>
              <w:t xml:space="preserve"> Any review period set will be dependent on the role</w:t>
            </w:r>
            <w:r w:rsidR="000A162A">
              <w:rPr>
                <w:rFonts w:cs="Arial"/>
                <w:szCs w:val="22"/>
              </w:rPr>
              <w:t xml:space="preserve"> the employee has within the school, but no review period should be less than four weeks</w:t>
            </w:r>
            <w:r w:rsidR="00800A98">
              <w:rPr>
                <w:rFonts w:cs="Arial"/>
                <w:szCs w:val="22"/>
              </w:rPr>
              <w:t xml:space="preserve"> in duration</w:t>
            </w:r>
            <w:r w:rsidR="000A162A">
              <w:rPr>
                <w:rFonts w:cs="Arial"/>
                <w:szCs w:val="22"/>
              </w:rPr>
              <w:t xml:space="preserve">.  </w:t>
            </w:r>
          </w:p>
        </w:tc>
      </w:tr>
      <w:tr w:rsidR="00296B7A" w:rsidRPr="003B4BF9" w14:paraId="039EA44D" w14:textId="77777777" w:rsidTr="00B66AFB">
        <w:trPr>
          <w:trHeight w:val="283"/>
        </w:trPr>
        <w:tc>
          <w:tcPr>
            <w:tcW w:w="1020" w:type="dxa"/>
          </w:tcPr>
          <w:p w14:paraId="5B93CDE7" w14:textId="77777777" w:rsidR="00296B7A" w:rsidRPr="003B4BF9" w:rsidRDefault="00296B7A" w:rsidP="00A95416">
            <w:pPr>
              <w:spacing w:after="60"/>
              <w:rPr>
                <w:sz w:val="12"/>
                <w:szCs w:val="12"/>
              </w:rPr>
            </w:pPr>
          </w:p>
        </w:tc>
        <w:tc>
          <w:tcPr>
            <w:tcW w:w="8731" w:type="dxa"/>
          </w:tcPr>
          <w:p w14:paraId="504F0C7B" w14:textId="77777777" w:rsidR="00296B7A" w:rsidRPr="003B4BF9" w:rsidRDefault="00296B7A" w:rsidP="00A95416">
            <w:pPr>
              <w:spacing w:after="60"/>
              <w:rPr>
                <w:sz w:val="12"/>
                <w:szCs w:val="12"/>
              </w:rPr>
            </w:pPr>
          </w:p>
        </w:tc>
      </w:tr>
      <w:tr w:rsidR="00817EB3" w:rsidRPr="00162ABB" w14:paraId="315C31C3" w14:textId="77777777" w:rsidTr="00B66AFB">
        <w:trPr>
          <w:trHeight w:val="283"/>
        </w:trPr>
        <w:tc>
          <w:tcPr>
            <w:tcW w:w="1020" w:type="dxa"/>
          </w:tcPr>
          <w:p w14:paraId="7811DABD" w14:textId="77777777" w:rsidR="00817EB3" w:rsidRPr="00162ABB" w:rsidRDefault="00712A40" w:rsidP="00281DD9">
            <w:pPr>
              <w:spacing w:after="60"/>
              <w:rPr>
                <w:szCs w:val="22"/>
              </w:rPr>
            </w:pPr>
            <w:r w:rsidRPr="00162ABB">
              <w:rPr>
                <w:szCs w:val="22"/>
              </w:rPr>
              <w:t>4.</w:t>
            </w:r>
            <w:r w:rsidR="007337AF" w:rsidRPr="00162ABB">
              <w:rPr>
                <w:szCs w:val="22"/>
              </w:rPr>
              <w:t>4</w:t>
            </w:r>
          </w:p>
        </w:tc>
        <w:tc>
          <w:tcPr>
            <w:tcW w:w="8731" w:type="dxa"/>
          </w:tcPr>
          <w:p w14:paraId="60016A69" w14:textId="61EF54BB" w:rsidR="00817EB3" w:rsidRPr="00162ABB" w:rsidRDefault="000E3817" w:rsidP="00063F70">
            <w:pPr>
              <w:spacing w:after="60"/>
              <w:rPr>
                <w:rFonts w:cs="Arial"/>
                <w:szCs w:val="22"/>
              </w:rPr>
            </w:pPr>
            <w:r>
              <w:rPr>
                <w:rFonts w:cs="Arial"/>
                <w:szCs w:val="22"/>
              </w:rPr>
              <w:t>The employee shall receive formal</w:t>
            </w:r>
            <w:r w:rsidR="000A162A">
              <w:rPr>
                <w:rFonts w:cs="Arial"/>
                <w:szCs w:val="22"/>
              </w:rPr>
              <w:t xml:space="preserve"> written</w:t>
            </w:r>
            <w:r>
              <w:rPr>
                <w:rFonts w:cs="Arial"/>
                <w:szCs w:val="22"/>
              </w:rPr>
              <w:t xml:space="preserve"> </w:t>
            </w:r>
            <w:r w:rsidR="00063F70">
              <w:rPr>
                <w:rFonts w:cs="Arial"/>
                <w:szCs w:val="22"/>
              </w:rPr>
              <w:t>confirmation</w:t>
            </w:r>
            <w:r>
              <w:rPr>
                <w:rFonts w:cs="Arial"/>
                <w:szCs w:val="22"/>
              </w:rPr>
              <w:t xml:space="preserve"> of the </w:t>
            </w:r>
            <w:r w:rsidR="00817EB3" w:rsidRPr="00162ABB">
              <w:rPr>
                <w:rFonts w:cs="Arial"/>
                <w:szCs w:val="22"/>
              </w:rPr>
              <w:t>outcome</w:t>
            </w:r>
            <w:r>
              <w:rPr>
                <w:rFonts w:cs="Arial"/>
                <w:szCs w:val="22"/>
              </w:rPr>
              <w:t>s</w:t>
            </w:r>
            <w:r w:rsidR="00817EB3" w:rsidRPr="00162ABB">
              <w:rPr>
                <w:rFonts w:cs="Arial"/>
                <w:szCs w:val="22"/>
              </w:rPr>
              <w:t xml:space="preserve"> of the </w:t>
            </w:r>
            <w:r w:rsidR="00F21E63" w:rsidRPr="00162ABB">
              <w:rPr>
                <w:rFonts w:cs="Arial"/>
                <w:szCs w:val="22"/>
              </w:rPr>
              <w:t>meeting</w:t>
            </w:r>
            <w:r w:rsidR="00817EB3" w:rsidRPr="00162ABB">
              <w:rPr>
                <w:rFonts w:cs="Arial"/>
                <w:szCs w:val="22"/>
              </w:rPr>
              <w:t xml:space="preserve"> and the action to be taken.</w:t>
            </w:r>
          </w:p>
        </w:tc>
      </w:tr>
    </w:tbl>
    <w:p w14:paraId="38EDC3BB" w14:textId="77777777" w:rsidR="00C854D7" w:rsidRDefault="00C854D7"/>
    <w:p w14:paraId="147AB820" w14:textId="77777777" w:rsidR="00C854D7" w:rsidRDefault="00C854D7"/>
    <w:tbl>
      <w:tblPr>
        <w:tblW w:w="9751" w:type="dxa"/>
        <w:tblLook w:val="0000" w:firstRow="0" w:lastRow="0" w:firstColumn="0" w:lastColumn="0" w:noHBand="0" w:noVBand="0"/>
      </w:tblPr>
      <w:tblGrid>
        <w:gridCol w:w="1020"/>
        <w:gridCol w:w="8731"/>
      </w:tblGrid>
      <w:tr w:rsidR="00DE5CCB" w14:paraId="43ED211E" w14:textId="77777777" w:rsidTr="00B66AFB">
        <w:trPr>
          <w:trHeight w:val="283"/>
        </w:trPr>
        <w:tc>
          <w:tcPr>
            <w:tcW w:w="1020" w:type="dxa"/>
          </w:tcPr>
          <w:p w14:paraId="42F65946" w14:textId="77777777" w:rsidR="00DE5CCB" w:rsidRDefault="00D01C67" w:rsidP="00281DD9">
            <w:pPr>
              <w:rPr>
                <w:b/>
                <w:bCs/>
                <w:sz w:val="28"/>
              </w:rPr>
            </w:pPr>
            <w:r>
              <w:rPr>
                <w:b/>
                <w:bCs/>
                <w:sz w:val="28"/>
              </w:rPr>
              <w:t>5</w:t>
            </w:r>
            <w:r w:rsidR="00DE5CCB">
              <w:rPr>
                <w:b/>
                <w:bCs/>
                <w:sz w:val="28"/>
              </w:rPr>
              <w:t>.0</w:t>
            </w:r>
          </w:p>
        </w:tc>
        <w:tc>
          <w:tcPr>
            <w:tcW w:w="8731" w:type="dxa"/>
          </w:tcPr>
          <w:p w14:paraId="7FCBAE5D" w14:textId="4DA5C484" w:rsidR="00DE5CCB" w:rsidRDefault="000A162A" w:rsidP="000A162A">
            <w:pPr>
              <w:pStyle w:val="Heading2"/>
            </w:pPr>
            <w:r>
              <w:t xml:space="preserve">Second Formal Capability </w:t>
            </w:r>
            <w:r w:rsidR="00D01C67">
              <w:t>Meeting</w:t>
            </w:r>
            <w:r w:rsidR="007337AF">
              <w:t xml:space="preserve"> </w:t>
            </w:r>
          </w:p>
        </w:tc>
      </w:tr>
      <w:tr w:rsidR="00DE5CCB" w:rsidRPr="009D0524" w14:paraId="2130184C" w14:textId="77777777" w:rsidTr="00B66AFB">
        <w:trPr>
          <w:trHeight w:val="283"/>
        </w:trPr>
        <w:tc>
          <w:tcPr>
            <w:tcW w:w="1020" w:type="dxa"/>
          </w:tcPr>
          <w:p w14:paraId="7B1C5522" w14:textId="77777777" w:rsidR="00DE5CCB" w:rsidRPr="009D0524" w:rsidRDefault="00DE5CCB" w:rsidP="00281DD9">
            <w:pPr>
              <w:spacing w:after="60"/>
              <w:rPr>
                <w:szCs w:val="22"/>
              </w:rPr>
            </w:pPr>
          </w:p>
        </w:tc>
        <w:tc>
          <w:tcPr>
            <w:tcW w:w="8731" w:type="dxa"/>
          </w:tcPr>
          <w:p w14:paraId="08FB065F" w14:textId="77777777" w:rsidR="00DE5CCB" w:rsidRPr="009D0524" w:rsidRDefault="00DE5CCB" w:rsidP="00281DD9">
            <w:pPr>
              <w:spacing w:after="60"/>
              <w:rPr>
                <w:szCs w:val="22"/>
              </w:rPr>
            </w:pPr>
          </w:p>
        </w:tc>
      </w:tr>
      <w:tr w:rsidR="00DE5CCB" w:rsidRPr="00C145D3" w14:paraId="2C6AAA22" w14:textId="77777777" w:rsidTr="00B66AFB">
        <w:trPr>
          <w:trHeight w:val="283"/>
        </w:trPr>
        <w:tc>
          <w:tcPr>
            <w:tcW w:w="1020" w:type="dxa"/>
          </w:tcPr>
          <w:p w14:paraId="4D20CE69" w14:textId="77777777" w:rsidR="00DE5CCB" w:rsidRPr="00C145D3" w:rsidRDefault="00712A40" w:rsidP="00281DD9">
            <w:pPr>
              <w:spacing w:after="60"/>
              <w:rPr>
                <w:szCs w:val="22"/>
              </w:rPr>
            </w:pPr>
            <w:r w:rsidRPr="00C145D3">
              <w:rPr>
                <w:szCs w:val="22"/>
              </w:rPr>
              <w:t>5</w:t>
            </w:r>
            <w:r w:rsidR="00DE5CCB" w:rsidRPr="00C145D3">
              <w:rPr>
                <w:szCs w:val="22"/>
              </w:rPr>
              <w:t>.1</w:t>
            </w:r>
          </w:p>
        </w:tc>
        <w:tc>
          <w:tcPr>
            <w:tcW w:w="8731" w:type="dxa"/>
          </w:tcPr>
          <w:p w14:paraId="7E9B71D3" w14:textId="2DCB55D3" w:rsidR="00DE5CCB" w:rsidRPr="00C145D3" w:rsidRDefault="00E84B4C" w:rsidP="00E05471">
            <w:pPr>
              <w:spacing w:after="60"/>
              <w:rPr>
                <w:szCs w:val="22"/>
              </w:rPr>
            </w:pPr>
            <w:r w:rsidRPr="00C145D3">
              <w:rPr>
                <w:rFonts w:cs="Arial"/>
                <w:szCs w:val="22"/>
              </w:rPr>
              <w:t xml:space="preserve">The purpose of this meeting is to review the employee’s performance since the </w:t>
            </w:r>
            <w:r w:rsidR="00E05471">
              <w:rPr>
                <w:rFonts w:cs="Arial"/>
                <w:szCs w:val="22"/>
              </w:rPr>
              <w:t>last meeting.</w:t>
            </w:r>
          </w:p>
        </w:tc>
      </w:tr>
      <w:tr w:rsidR="00296B7A" w:rsidRPr="003B4BF9" w14:paraId="282B7A37" w14:textId="77777777" w:rsidTr="00B66AFB">
        <w:trPr>
          <w:trHeight w:val="283"/>
        </w:trPr>
        <w:tc>
          <w:tcPr>
            <w:tcW w:w="1020" w:type="dxa"/>
          </w:tcPr>
          <w:p w14:paraId="130DA535" w14:textId="77777777" w:rsidR="00296B7A" w:rsidRPr="003B4BF9" w:rsidRDefault="00296B7A" w:rsidP="00A95416">
            <w:pPr>
              <w:spacing w:after="60"/>
              <w:rPr>
                <w:sz w:val="12"/>
                <w:szCs w:val="12"/>
              </w:rPr>
            </w:pPr>
          </w:p>
        </w:tc>
        <w:tc>
          <w:tcPr>
            <w:tcW w:w="8731" w:type="dxa"/>
          </w:tcPr>
          <w:p w14:paraId="0D87A757" w14:textId="77777777" w:rsidR="00296B7A" w:rsidRPr="003B4BF9" w:rsidRDefault="00296B7A" w:rsidP="00A95416">
            <w:pPr>
              <w:spacing w:after="60"/>
              <w:rPr>
                <w:sz w:val="12"/>
                <w:szCs w:val="12"/>
              </w:rPr>
            </w:pPr>
          </w:p>
        </w:tc>
      </w:tr>
      <w:tr w:rsidR="00DE5CCB" w:rsidRPr="00C145D3" w14:paraId="6BC97D14" w14:textId="77777777" w:rsidTr="00B66AFB">
        <w:trPr>
          <w:trHeight w:val="283"/>
        </w:trPr>
        <w:tc>
          <w:tcPr>
            <w:tcW w:w="1020" w:type="dxa"/>
          </w:tcPr>
          <w:p w14:paraId="26FC6001" w14:textId="77777777" w:rsidR="00DE5CCB" w:rsidRPr="00C145D3" w:rsidRDefault="00712A40" w:rsidP="00281DD9">
            <w:pPr>
              <w:spacing w:after="60"/>
              <w:rPr>
                <w:szCs w:val="22"/>
              </w:rPr>
            </w:pPr>
            <w:r w:rsidRPr="00C145D3">
              <w:rPr>
                <w:szCs w:val="22"/>
              </w:rPr>
              <w:t>5</w:t>
            </w:r>
            <w:r w:rsidR="00DE5CCB" w:rsidRPr="00C145D3">
              <w:rPr>
                <w:szCs w:val="22"/>
              </w:rPr>
              <w:t>.2</w:t>
            </w:r>
          </w:p>
        </w:tc>
        <w:tc>
          <w:tcPr>
            <w:tcW w:w="8731" w:type="dxa"/>
          </w:tcPr>
          <w:p w14:paraId="3AFBDFE7" w14:textId="77777777" w:rsidR="00DE5CCB" w:rsidRPr="00C145D3" w:rsidRDefault="00E84B4C" w:rsidP="000E3817">
            <w:pPr>
              <w:spacing w:after="60"/>
              <w:rPr>
                <w:szCs w:val="22"/>
              </w:rPr>
            </w:pPr>
            <w:r w:rsidRPr="00C145D3">
              <w:rPr>
                <w:rFonts w:cs="Arial"/>
                <w:color w:val="000000"/>
                <w:szCs w:val="22"/>
                <w:lang w:eastAsia="en-GB"/>
              </w:rPr>
              <w:t xml:space="preserve">At this meeting </w:t>
            </w:r>
            <w:r w:rsidR="003877DB" w:rsidRPr="00C145D3">
              <w:rPr>
                <w:rFonts w:cs="Arial"/>
                <w:color w:val="000000"/>
                <w:szCs w:val="22"/>
                <w:lang w:eastAsia="en-GB"/>
              </w:rPr>
              <w:t>evidence of progress during the review period</w:t>
            </w:r>
            <w:r w:rsidRPr="00C145D3">
              <w:rPr>
                <w:rFonts w:cs="Arial"/>
                <w:color w:val="000000"/>
                <w:szCs w:val="22"/>
                <w:lang w:eastAsia="en-GB"/>
              </w:rPr>
              <w:t xml:space="preserve"> </w:t>
            </w:r>
            <w:r w:rsidR="0082038A">
              <w:rPr>
                <w:rFonts w:cs="Arial"/>
                <w:color w:val="000000"/>
                <w:szCs w:val="22"/>
                <w:lang w:eastAsia="en-GB"/>
              </w:rPr>
              <w:t>will be presented to the employee who</w:t>
            </w:r>
            <w:r w:rsidRPr="00C145D3">
              <w:rPr>
                <w:rFonts w:cs="Arial"/>
                <w:color w:val="000000"/>
                <w:szCs w:val="22"/>
                <w:lang w:eastAsia="en-GB"/>
              </w:rPr>
              <w:t xml:space="preserve"> will</w:t>
            </w:r>
            <w:r w:rsidR="000E3817">
              <w:rPr>
                <w:rFonts w:cs="Arial"/>
                <w:color w:val="000000"/>
                <w:szCs w:val="22"/>
                <w:lang w:eastAsia="en-GB"/>
              </w:rPr>
              <w:t xml:space="preserve"> </w:t>
            </w:r>
            <w:r w:rsidRPr="00C145D3">
              <w:rPr>
                <w:rFonts w:cs="Arial"/>
                <w:color w:val="000000"/>
                <w:szCs w:val="22"/>
                <w:lang w:eastAsia="en-GB"/>
              </w:rPr>
              <w:t>have the opportunity to respond to concerns about their performance and to make any relevant representations.</w:t>
            </w:r>
          </w:p>
        </w:tc>
      </w:tr>
      <w:tr w:rsidR="00296B7A" w:rsidRPr="003B4BF9" w14:paraId="052AC78D" w14:textId="77777777" w:rsidTr="00B66AFB">
        <w:trPr>
          <w:trHeight w:val="283"/>
        </w:trPr>
        <w:tc>
          <w:tcPr>
            <w:tcW w:w="1020" w:type="dxa"/>
          </w:tcPr>
          <w:p w14:paraId="2BD05224" w14:textId="77777777" w:rsidR="00296B7A" w:rsidRPr="003B4BF9" w:rsidRDefault="00296B7A" w:rsidP="00A95416">
            <w:pPr>
              <w:spacing w:after="60"/>
              <w:rPr>
                <w:sz w:val="12"/>
                <w:szCs w:val="12"/>
              </w:rPr>
            </w:pPr>
          </w:p>
        </w:tc>
        <w:tc>
          <w:tcPr>
            <w:tcW w:w="8731" w:type="dxa"/>
          </w:tcPr>
          <w:p w14:paraId="71EBFBE0" w14:textId="77777777" w:rsidR="00296B7A" w:rsidRPr="003B4BF9" w:rsidRDefault="00296B7A" w:rsidP="00A95416">
            <w:pPr>
              <w:spacing w:after="60"/>
              <w:rPr>
                <w:sz w:val="12"/>
                <w:szCs w:val="12"/>
              </w:rPr>
            </w:pPr>
          </w:p>
        </w:tc>
      </w:tr>
      <w:tr w:rsidR="00DE5CCB" w:rsidRPr="00C145D3" w14:paraId="332BC159" w14:textId="77777777" w:rsidTr="00B66AFB">
        <w:trPr>
          <w:trHeight w:val="283"/>
        </w:trPr>
        <w:tc>
          <w:tcPr>
            <w:tcW w:w="1020" w:type="dxa"/>
          </w:tcPr>
          <w:p w14:paraId="55361369" w14:textId="77777777" w:rsidR="00DE5CCB" w:rsidRPr="00C145D3" w:rsidRDefault="00712A40" w:rsidP="00281DD9">
            <w:pPr>
              <w:spacing w:after="60"/>
              <w:rPr>
                <w:szCs w:val="22"/>
              </w:rPr>
            </w:pPr>
            <w:r w:rsidRPr="00C145D3">
              <w:rPr>
                <w:szCs w:val="22"/>
              </w:rPr>
              <w:t>5</w:t>
            </w:r>
            <w:r w:rsidR="00DE5CCB" w:rsidRPr="00C145D3">
              <w:rPr>
                <w:szCs w:val="22"/>
              </w:rPr>
              <w:t>.</w:t>
            </w:r>
            <w:r w:rsidR="00E84B4C" w:rsidRPr="00C145D3">
              <w:rPr>
                <w:szCs w:val="22"/>
              </w:rPr>
              <w:t>3</w:t>
            </w:r>
          </w:p>
        </w:tc>
        <w:tc>
          <w:tcPr>
            <w:tcW w:w="8731" w:type="dxa"/>
          </w:tcPr>
          <w:p w14:paraId="16937CE9" w14:textId="18784CFE" w:rsidR="00166F49" w:rsidRPr="00C145D3" w:rsidRDefault="000E3817" w:rsidP="00BC4A91">
            <w:pPr>
              <w:spacing w:after="60"/>
              <w:rPr>
                <w:rFonts w:cs="Arial"/>
                <w:szCs w:val="22"/>
              </w:rPr>
            </w:pPr>
            <w:r>
              <w:rPr>
                <w:rFonts w:cs="Arial"/>
                <w:szCs w:val="22"/>
              </w:rPr>
              <w:t xml:space="preserve">If </w:t>
            </w:r>
            <w:r w:rsidR="00712A40" w:rsidRPr="00C145D3">
              <w:rPr>
                <w:rFonts w:cs="Arial"/>
                <w:szCs w:val="22"/>
              </w:rPr>
              <w:t xml:space="preserve">the required improvement has been made, the employee will be </w:t>
            </w:r>
            <w:r w:rsidR="00F21E63" w:rsidRPr="00C145D3">
              <w:rPr>
                <w:rFonts w:cs="Arial"/>
                <w:szCs w:val="22"/>
              </w:rPr>
              <w:t>formally notified</w:t>
            </w:r>
            <w:r w:rsidR="00E84B4C" w:rsidRPr="00C145D3">
              <w:rPr>
                <w:rFonts w:cs="Arial"/>
                <w:szCs w:val="22"/>
              </w:rPr>
              <w:t xml:space="preserve"> of this </w:t>
            </w:r>
            <w:r w:rsidR="00712A40" w:rsidRPr="00C145D3">
              <w:rPr>
                <w:rFonts w:cs="Arial"/>
                <w:szCs w:val="22"/>
              </w:rPr>
              <w:t xml:space="preserve">and advised that should there be any further concerns with </w:t>
            </w:r>
            <w:r w:rsidR="00467F01">
              <w:rPr>
                <w:rFonts w:cs="Arial"/>
                <w:szCs w:val="22"/>
              </w:rPr>
              <w:t xml:space="preserve">their </w:t>
            </w:r>
            <w:r w:rsidR="00712A40" w:rsidRPr="00C145D3">
              <w:rPr>
                <w:rFonts w:cs="Arial"/>
                <w:szCs w:val="22"/>
              </w:rPr>
              <w:t xml:space="preserve">performance within 12 months </w:t>
            </w:r>
            <w:r w:rsidR="00FA541B">
              <w:rPr>
                <w:rFonts w:cs="Arial"/>
                <w:szCs w:val="22"/>
              </w:rPr>
              <w:t>from the date of this meeting</w:t>
            </w:r>
            <w:r w:rsidR="00BC4A91" w:rsidRPr="000D7B58">
              <w:rPr>
                <w:rFonts w:cs="Arial"/>
                <w:szCs w:val="22"/>
              </w:rPr>
              <w:t xml:space="preserve">, the process will continue as laid out in </w:t>
            </w:r>
            <w:r w:rsidR="00BC4A91">
              <w:rPr>
                <w:rFonts w:cs="Arial"/>
                <w:szCs w:val="22"/>
              </w:rPr>
              <w:t>5.0.</w:t>
            </w:r>
          </w:p>
        </w:tc>
      </w:tr>
      <w:tr w:rsidR="00296B7A" w:rsidRPr="003B4BF9" w14:paraId="1CE5E511" w14:textId="77777777" w:rsidTr="00B66AFB">
        <w:trPr>
          <w:trHeight w:val="283"/>
        </w:trPr>
        <w:tc>
          <w:tcPr>
            <w:tcW w:w="1020" w:type="dxa"/>
          </w:tcPr>
          <w:p w14:paraId="30A550D8" w14:textId="77777777" w:rsidR="00296B7A" w:rsidRPr="003B4BF9" w:rsidRDefault="00296B7A" w:rsidP="00A95416">
            <w:pPr>
              <w:spacing w:after="60"/>
              <w:rPr>
                <w:sz w:val="12"/>
                <w:szCs w:val="12"/>
              </w:rPr>
            </w:pPr>
          </w:p>
        </w:tc>
        <w:tc>
          <w:tcPr>
            <w:tcW w:w="8731" w:type="dxa"/>
          </w:tcPr>
          <w:p w14:paraId="511B3C52" w14:textId="77777777" w:rsidR="00296B7A" w:rsidRPr="003B4BF9" w:rsidRDefault="00296B7A" w:rsidP="00A95416">
            <w:pPr>
              <w:spacing w:after="60"/>
              <w:rPr>
                <w:sz w:val="12"/>
                <w:szCs w:val="12"/>
              </w:rPr>
            </w:pPr>
          </w:p>
        </w:tc>
      </w:tr>
      <w:tr w:rsidR="003877DB" w:rsidRPr="00C145D3" w14:paraId="468B8528" w14:textId="77777777" w:rsidTr="00B66AFB">
        <w:trPr>
          <w:trHeight w:val="283"/>
        </w:trPr>
        <w:tc>
          <w:tcPr>
            <w:tcW w:w="1020" w:type="dxa"/>
          </w:tcPr>
          <w:p w14:paraId="3A917765" w14:textId="7342325E" w:rsidR="003877DB" w:rsidRPr="00C145D3" w:rsidRDefault="00712A40" w:rsidP="00281DD9">
            <w:pPr>
              <w:spacing w:after="60"/>
              <w:rPr>
                <w:szCs w:val="22"/>
              </w:rPr>
            </w:pPr>
            <w:r w:rsidRPr="00C145D3">
              <w:rPr>
                <w:szCs w:val="22"/>
              </w:rPr>
              <w:lastRenderedPageBreak/>
              <w:t>5.</w:t>
            </w:r>
            <w:r w:rsidR="00230567" w:rsidRPr="00C145D3">
              <w:rPr>
                <w:szCs w:val="22"/>
              </w:rPr>
              <w:t>4</w:t>
            </w:r>
          </w:p>
        </w:tc>
        <w:tc>
          <w:tcPr>
            <w:tcW w:w="8731" w:type="dxa"/>
          </w:tcPr>
          <w:p w14:paraId="799E3CB3" w14:textId="2B48D3F5" w:rsidR="003877DB" w:rsidRPr="00C145D3" w:rsidRDefault="003877DB" w:rsidP="0006726E">
            <w:pPr>
              <w:spacing w:after="60"/>
              <w:rPr>
                <w:rFonts w:cs="Arial"/>
                <w:color w:val="000000"/>
                <w:szCs w:val="22"/>
                <w:lang w:eastAsia="en-GB"/>
              </w:rPr>
            </w:pPr>
            <w:r w:rsidRPr="00C145D3">
              <w:rPr>
                <w:rFonts w:cs="Arial"/>
                <w:color w:val="000000"/>
                <w:szCs w:val="22"/>
                <w:lang w:eastAsia="en-GB"/>
              </w:rPr>
              <w:t xml:space="preserve">If some progress has been made </w:t>
            </w:r>
            <w:r w:rsidR="00F21E63" w:rsidRPr="00C145D3">
              <w:rPr>
                <w:rFonts w:cs="Arial"/>
                <w:color w:val="000000"/>
                <w:szCs w:val="22"/>
                <w:lang w:eastAsia="en-GB"/>
              </w:rPr>
              <w:t xml:space="preserve">and </w:t>
            </w:r>
            <w:r w:rsidR="00467F01">
              <w:rPr>
                <w:rFonts w:cs="Arial"/>
                <w:color w:val="000000"/>
                <w:szCs w:val="22"/>
                <w:lang w:eastAsia="en-GB"/>
              </w:rPr>
              <w:t>the School is confident</w:t>
            </w:r>
            <w:r w:rsidRPr="00C145D3">
              <w:rPr>
                <w:rFonts w:cs="Arial"/>
                <w:color w:val="000000"/>
                <w:szCs w:val="22"/>
                <w:lang w:eastAsia="en-GB"/>
              </w:rPr>
              <w:t xml:space="preserve"> that more progress </w:t>
            </w:r>
            <w:r w:rsidR="00230567" w:rsidRPr="00C145D3">
              <w:rPr>
                <w:rFonts w:cs="Arial"/>
                <w:color w:val="000000"/>
                <w:szCs w:val="22"/>
                <w:lang w:eastAsia="en-GB"/>
              </w:rPr>
              <w:t xml:space="preserve">is likely, </w:t>
            </w:r>
            <w:r w:rsidR="0006726E">
              <w:rPr>
                <w:rFonts w:cs="Arial"/>
                <w:color w:val="000000"/>
                <w:szCs w:val="22"/>
                <w:lang w:eastAsia="en-GB"/>
              </w:rPr>
              <w:t>then the period of monitoring can be extended.</w:t>
            </w:r>
            <w:r w:rsidR="00230567" w:rsidRPr="00C145D3">
              <w:rPr>
                <w:rFonts w:cs="Arial"/>
                <w:color w:val="000000"/>
                <w:szCs w:val="22"/>
                <w:lang w:eastAsia="en-GB"/>
              </w:rPr>
              <w:t xml:space="preserve"> </w:t>
            </w:r>
          </w:p>
        </w:tc>
      </w:tr>
      <w:tr w:rsidR="00296B7A" w:rsidRPr="003B4BF9" w14:paraId="3F77D33B" w14:textId="77777777" w:rsidTr="00B66AFB">
        <w:trPr>
          <w:trHeight w:val="283"/>
        </w:trPr>
        <w:tc>
          <w:tcPr>
            <w:tcW w:w="1020" w:type="dxa"/>
          </w:tcPr>
          <w:p w14:paraId="7180192F" w14:textId="77777777" w:rsidR="00296B7A" w:rsidRPr="003B4BF9" w:rsidRDefault="00296B7A" w:rsidP="00A95416">
            <w:pPr>
              <w:spacing w:after="60"/>
              <w:rPr>
                <w:sz w:val="12"/>
                <w:szCs w:val="12"/>
              </w:rPr>
            </w:pPr>
          </w:p>
        </w:tc>
        <w:tc>
          <w:tcPr>
            <w:tcW w:w="8731" w:type="dxa"/>
          </w:tcPr>
          <w:p w14:paraId="5A530F1E" w14:textId="77777777" w:rsidR="00296B7A" w:rsidRPr="003B4BF9" w:rsidRDefault="00296B7A" w:rsidP="00A95416">
            <w:pPr>
              <w:spacing w:after="60"/>
              <w:rPr>
                <w:sz w:val="12"/>
                <w:szCs w:val="12"/>
              </w:rPr>
            </w:pPr>
          </w:p>
        </w:tc>
      </w:tr>
      <w:tr w:rsidR="003877DB" w:rsidRPr="00C145D3" w14:paraId="3D4632A5" w14:textId="77777777" w:rsidTr="00B66AFB">
        <w:trPr>
          <w:trHeight w:val="283"/>
        </w:trPr>
        <w:tc>
          <w:tcPr>
            <w:tcW w:w="1020" w:type="dxa"/>
          </w:tcPr>
          <w:p w14:paraId="72EF5666" w14:textId="77777777" w:rsidR="003877DB" w:rsidRPr="00C145D3" w:rsidRDefault="00712A40" w:rsidP="00281DD9">
            <w:pPr>
              <w:spacing w:after="60"/>
              <w:rPr>
                <w:szCs w:val="22"/>
              </w:rPr>
            </w:pPr>
            <w:r w:rsidRPr="00C145D3">
              <w:rPr>
                <w:szCs w:val="22"/>
              </w:rPr>
              <w:t>5.</w:t>
            </w:r>
            <w:r w:rsidR="00230567" w:rsidRPr="00C145D3">
              <w:rPr>
                <w:szCs w:val="22"/>
              </w:rPr>
              <w:t>5</w:t>
            </w:r>
          </w:p>
        </w:tc>
        <w:tc>
          <w:tcPr>
            <w:tcW w:w="8731" w:type="dxa"/>
          </w:tcPr>
          <w:p w14:paraId="62D26A55" w14:textId="6FAACBB8" w:rsidR="007A70EF" w:rsidRPr="00C145D3" w:rsidRDefault="00467F01" w:rsidP="00410DD8">
            <w:pPr>
              <w:spacing w:after="60"/>
              <w:rPr>
                <w:rFonts w:cs="Arial"/>
                <w:color w:val="000000"/>
                <w:szCs w:val="22"/>
                <w:lang w:eastAsia="en-GB"/>
              </w:rPr>
            </w:pPr>
            <w:r w:rsidRPr="001510BE">
              <w:rPr>
                <w:rFonts w:cs="Arial"/>
                <w:color w:val="000000"/>
                <w:szCs w:val="22"/>
                <w:lang w:eastAsia="en-GB"/>
              </w:rPr>
              <w:t xml:space="preserve">If </w:t>
            </w:r>
            <w:r w:rsidR="003877DB" w:rsidRPr="001510BE">
              <w:rPr>
                <w:rFonts w:cs="Arial"/>
                <w:color w:val="000000"/>
                <w:szCs w:val="22"/>
                <w:lang w:eastAsia="en-GB"/>
              </w:rPr>
              <w:t>insufficient improvement has been made</w:t>
            </w:r>
            <w:r w:rsidR="00F93568">
              <w:rPr>
                <w:rFonts w:cs="Arial"/>
                <w:color w:val="000000"/>
                <w:szCs w:val="22"/>
                <w:lang w:eastAsia="en-GB"/>
              </w:rPr>
              <w:t>,</w:t>
            </w:r>
            <w:r w:rsidR="003877DB" w:rsidRPr="001510BE">
              <w:rPr>
                <w:rFonts w:cs="Arial"/>
                <w:color w:val="000000"/>
                <w:szCs w:val="22"/>
                <w:lang w:eastAsia="en-GB"/>
              </w:rPr>
              <w:t xml:space="preserve"> </w:t>
            </w:r>
            <w:r w:rsidR="00230567" w:rsidRPr="001510BE">
              <w:rPr>
                <w:rFonts w:cs="Arial"/>
                <w:color w:val="000000"/>
                <w:szCs w:val="22"/>
                <w:lang w:eastAsia="en-GB"/>
              </w:rPr>
              <w:t xml:space="preserve">then </w:t>
            </w:r>
            <w:r w:rsidR="003877DB" w:rsidRPr="001510BE">
              <w:rPr>
                <w:rFonts w:cs="Arial"/>
                <w:color w:val="000000"/>
                <w:szCs w:val="22"/>
                <w:lang w:eastAsia="en-GB"/>
              </w:rPr>
              <w:t xml:space="preserve">the employee will be </w:t>
            </w:r>
            <w:r w:rsidR="00230567" w:rsidRPr="001510BE">
              <w:rPr>
                <w:rFonts w:cs="Arial"/>
                <w:color w:val="000000"/>
                <w:szCs w:val="22"/>
                <w:lang w:eastAsia="en-GB"/>
              </w:rPr>
              <w:t>formally advised</w:t>
            </w:r>
            <w:r w:rsidR="003877DB" w:rsidRPr="001510BE">
              <w:rPr>
                <w:rFonts w:cs="Arial"/>
                <w:color w:val="000000"/>
                <w:szCs w:val="22"/>
                <w:lang w:eastAsia="en-GB"/>
              </w:rPr>
              <w:t xml:space="preserve"> that </w:t>
            </w:r>
            <w:r w:rsidR="00E84B4C" w:rsidRPr="001510BE">
              <w:rPr>
                <w:rFonts w:cs="Arial"/>
                <w:color w:val="000000"/>
                <w:szCs w:val="22"/>
                <w:lang w:eastAsia="en-GB"/>
              </w:rPr>
              <w:t xml:space="preserve">a </w:t>
            </w:r>
            <w:r w:rsidR="00FA541B">
              <w:rPr>
                <w:rFonts w:cs="Arial"/>
                <w:color w:val="000000"/>
                <w:szCs w:val="22"/>
                <w:lang w:eastAsia="en-GB"/>
              </w:rPr>
              <w:t>Third Formal Capability</w:t>
            </w:r>
            <w:r w:rsidR="00FA541B" w:rsidRPr="001510BE">
              <w:rPr>
                <w:rFonts w:cs="Arial"/>
                <w:color w:val="000000"/>
                <w:szCs w:val="22"/>
                <w:lang w:eastAsia="en-GB"/>
              </w:rPr>
              <w:t xml:space="preserve"> </w:t>
            </w:r>
            <w:r w:rsidR="00FA541B">
              <w:rPr>
                <w:rFonts w:cs="Arial"/>
                <w:color w:val="000000"/>
                <w:szCs w:val="22"/>
                <w:lang w:eastAsia="en-GB"/>
              </w:rPr>
              <w:t>M</w:t>
            </w:r>
            <w:r w:rsidR="00AF0B27" w:rsidRPr="001510BE">
              <w:rPr>
                <w:rFonts w:cs="Arial"/>
                <w:color w:val="000000"/>
                <w:szCs w:val="22"/>
                <w:lang w:eastAsia="en-GB"/>
              </w:rPr>
              <w:t>eeting</w:t>
            </w:r>
            <w:r w:rsidR="00E84B4C" w:rsidRPr="001510BE">
              <w:rPr>
                <w:rFonts w:cs="Arial"/>
                <w:color w:val="000000"/>
                <w:szCs w:val="22"/>
                <w:lang w:eastAsia="en-GB"/>
              </w:rPr>
              <w:t xml:space="preserve"> </w:t>
            </w:r>
            <w:r w:rsidR="0034623F" w:rsidRPr="001510BE">
              <w:rPr>
                <w:rFonts w:cs="Arial"/>
                <w:color w:val="000000"/>
                <w:szCs w:val="22"/>
                <w:lang w:eastAsia="en-GB"/>
              </w:rPr>
              <w:t>shal</w:t>
            </w:r>
            <w:r w:rsidR="00E84B4C" w:rsidRPr="001510BE">
              <w:rPr>
                <w:rFonts w:cs="Arial"/>
                <w:color w:val="000000"/>
                <w:szCs w:val="22"/>
                <w:lang w:eastAsia="en-GB"/>
              </w:rPr>
              <w:t xml:space="preserve">l be </w:t>
            </w:r>
            <w:r w:rsidR="00E05471" w:rsidRPr="001510BE">
              <w:rPr>
                <w:rFonts w:cs="Arial"/>
                <w:color w:val="000000"/>
                <w:szCs w:val="22"/>
                <w:lang w:eastAsia="en-GB"/>
              </w:rPr>
              <w:t>arranged</w:t>
            </w:r>
            <w:r w:rsidR="001510BE">
              <w:rPr>
                <w:rFonts w:cs="Arial"/>
                <w:color w:val="000000"/>
                <w:szCs w:val="22"/>
                <w:lang w:eastAsia="en-GB"/>
              </w:rPr>
              <w:t xml:space="preserve"> with </w:t>
            </w:r>
            <w:r w:rsidR="001510BE" w:rsidRPr="00AF0B27">
              <w:rPr>
                <w:rFonts w:cs="Arial"/>
                <w:szCs w:val="22"/>
              </w:rPr>
              <w:t>monitoring</w:t>
            </w:r>
            <w:r w:rsidR="001510BE" w:rsidRPr="00162ABB">
              <w:rPr>
                <w:rFonts w:cs="Arial"/>
                <w:szCs w:val="22"/>
              </w:rPr>
              <w:t xml:space="preserve"> </w:t>
            </w:r>
            <w:r w:rsidR="00FC4C60">
              <w:rPr>
                <w:rFonts w:cs="Arial"/>
                <w:szCs w:val="22"/>
              </w:rPr>
              <w:t>put in place</w:t>
            </w:r>
            <w:r w:rsidR="00FC4C60" w:rsidRPr="00162ABB">
              <w:rPr>
                <w:rFonts w:cs="Arial"/>
                <w:szCs w:val="22"/>
              </w:rPr>
              <w:t xml:space="preserve"> </w:t>
            </w:r>
            <w:r w:rsidR="001510BE" w:rsidRPr="00162ABB">
              <w:rPr>
                <w:rFonts w:cs="Arial"/>
                <w:szCs w:val="22"/>
              </w:rPr>
              <w:t>during this period</w:t>
            </w:r>
            <w:r w:rsidR="001510BE">
              <w:rPr>
                <w:rFonts w:cs="Arial"/>
                <w:szCs w:val="22"/>
              </w:rPr>
              <w:t>.</w:t>
            </w:r>
            <w:r w:rsidR="001510BE" w:rsidRPr="00C145D3">
              <w:rPr>
                <w:rFonts w:cs="Arial"/>
                <w:color w:val="000000"/>
                <w:szCs w:val="22"/>
                <w:lang w:eastAsia="en-GB"/>
              </w:rPr>
              <w:t xml:space="preserve"> </w:t>
            </w:r>
            <w:r w:rsidR="00410DD8">
              <w:rPr>
                <w:rFonts w:cs="Arial"/>
                <w:szCs w:val="22"/>
              </w:rPr>
              <w:t xml:space="preserve">The length of the monitoring period will be dependent on the role the employee has within the school, but no review period should be less than four weeks.  </w:t>
            </w:r>
          </w:p>
        </w:tc>
      </w:tr>
      <w:tr w:rsidR="00296B7A" w:rsidRPr="003B4BF9" w14:paraId="6D64A7A8" w14:textId="77777777" w:rsidTr="00B66AFB">
        <w:trPr>
          <w:trHeight w:val="283"/>
        </w:trPr>
        <w:tc>
          <w:tcPr>
            <w:tcW w:w="1020" w:type="dxa"/>
          </w:tcPr>
          <w:p w14:paraId="4911AFC5" w14:textId="77777777" w:rsidR="00296B7A" w:rsidRPr="003B4BF9" w:rsidRDefault="00296B7A" w:rsidP="00A95416">
            <w:pPr>
              <w:spacing w:after="60"/>
              <w:rPr>
                <w:sz w:val="12"/>
                <w:szCs w:val="12"/>
              </w:rPr>
            </w:pPr>
          </w:p>
        </w:tc>
        <w:tc>
          <w:tcPr>
            <w:tcW w:w="8731" w:type="dxa"/>
          </w:tcPr>
          <w:p w14:paraId="70AE64F9" w14:textId="77777777" w:rsidR="00497026" w:rsidRPr="003B4BF9" w:rsidRDefault="00497026" w:rsidP="00A95416">
            <w:pPr>
              <w:spacing w:after="60"/>
              <w:rPr>
                <w:sz w:val="12"/>
                <w:szCs w:val="12"/>
              </w:rPr>
            </w:pPr>
          </w:p>
        </w:tc>
      </w:tr>
      <w:tr w:rsidR="00230567" w:rsidRPr="00C145D3" w14:paraId="7F73DF50" w14:textId="77777777" w:rsidTr="00B66AFB">
        <w:trPr>
          <w:trHeight w:val="283"/>
        </w:trPr>
        <w:tc>
          <w:tcPr>
            <w:tcW w:w="1020" w:type="dxa"/>
          </w:tcPr>
          <w:p w14:paraId="4980CAE5" w14:textId="77777777" w:rsidR="00230567" w:rsidRPr="00C145D3" w:rsidRDefault="00230567" w:rsidP="00281DD9">
            <w:pPr>
              <w:spacing w:after="60"/>
              <w:rPr>
                <w:szCs w:val="22"/>
              </w:rPr>
            </w:pPr>
            <w:r w:rsidRPr="00C145D3">
              <w:rPr>
                <w:szCs w:val="22"/>
              </w:rPr>
              <w:t>5.6</w:t>
            </w:r>
          </w:p>
        </w:tc>
        <w:tc>
          <w:tcPr>
            <w:tcW w:w="8731" w:type="dxa"/>
          </w:tcPr>
          <w:p w14:paraId="6CF49E90" w14:textId="77777777" w:rsidR="00230567" w:rsidRPr="00C145D3" w:rsidRDefault="00230567" w:rsidP="00467F01">
            <w:pPr>
              <w:spacing w:after="60"/>
              <w:rPr>
                <w:rFonts w:cs="Arial"/>
                <w:color w:val="000000"/>
                <w:szCs w:val="22"/>
                <w:lang w:eastAsia="en-GB"/>
              </w:rPr>
            </w:pPr>
            <w:r w:rsidRPr="00C145D3">
              <w:rPr>
                <w:rFonts w:cs="Arial"/>
                <w:color w:val="000000"/>
                <w:szCs w:val="22"/>
                <w:lang w:eastAsia="en-GB"/>
              </w:rPr>
              <w:t xml:space="preserve">If the </w:t>
            </w:r>
            <w:r w:rsidR="008B33CC">
              <w:rPr>
                <w:rFonts w:cs="Arial"/>
                <w:color w:val="000000"/>
                <w:szCs w:val="22"/>
                <w:lang w:eastAsia="en-GB"/>
              </w:rPr>
              <w:t>School</w:t>
            </w:r>
            <w:r w:rsidRPr="00C145D3">
              <w:rPr>
                <w:rFonts w:cs="Arial"/>
                <w:color w:val="000000"/>
                <w:szCs w:val="22"/>
                <w:lang w:eastAsia="en-GB"/>
              </w:rPr>
              <w:t xml:space="preserve"> decides that the employee is not performing satisfactorily through </w:t>
            </w:r>
            <w:r w:rsidR="00467F01">
              <w:rPr>
                <w:rFonts w:cs="Arial"/>
                <w:color w:val="000000"/>
                <w:szCs w:val="22"/>
                <w:lang w:eastAsia="en-GB"/>
              </w:rPr>
              <w:t xml:space="preserve">their </w:t>
            </w:r>
            <w:r w:rsidRPr="00C145D3">
              <w:rPr>
                <w:rFonts w:cs="Arial"/>
                <w:color w:val="000000"/>
                <w:szCs w:val="22"/>
                <w:lang w:eastAsia="en-GB"/>
              </w:rPr>
              <w:t xml:space="preserve">own negligence or wilful misconduct/disregard for the School’s performance standards, or where there is a lack of co-operation with reasonable measures </w:t>
            </w:r>
            <w:r w:rsidR="00467F01">
              <w:rPr>
                <w:rFonts w:cs="Arial"/>
                <w:color w:val="000000"/>
                <w:szCs w:val="22"/>
                <w:lang w:eastAsia="en-GB"/>
              </w:rPr>
              <w:t xml:space="preserve">put in place </w:t>
            </w:r>
            <w:r w:rsidRPr="00C145D3">
              <w:rPr>
                <w:rFonts w:cs="Arial"/>
                <w:color w:val="000000"/>
                <w:szCs w:val="22"/>
                <w:lang w:eastAsia="en-GB"/>
              </w:rPr>
              <w:t>to achieve im</w:t>
            </w:r>
            <w:r w:rsidR="0082038A">
              <w:rPr>
                <w:rFonts w:cs="Arial"/>
                <w:color w:val="000000"/>
                <w:szCs w:val="22"/>
                <w:lang w:eastAsia="en-GB"/>
              </w:rPr>
              <w:t>provement the</w:t>
            </w:r>
            <w:r w:rsidR="00467F01">
              <w:rPr>
                <w:rFonts w:cs="Arial"/>
                <w:color w:val="000000"/>
                <w:szCs w:val="22"/>
                <w:lang w:eastAsia="en-GB"/>
              </w:rPr>
              <w:t>n this will be dealt with under the Disciplinary policy.</w:t>
            </w:r>
          </w:p>
        </w:tc>
      </w:tr>
    </w:tbl>
    <w:p w14:paraId="1B4AFA93" w14:textId="77777777" w:rsidR="00497026" w:rsidRDefault="00497026"/>
    <w:p w14:paraId="267B8C48" w14:textId="77777777" w:rsidR="00497026" w:rsidRDefault="00497026"/>
    <w:tbl>
      <w:tblPr>
        <w:tblW w:w="9751" w:type="dxa"/>
        <w:tblLook w:val="0000" w:firstRow="0" w:lastRow="0" w:firstColumn="0" w:lastColumn="0" w:noHBand="0" w:noVBand="0"/>
      </w:tblPr>
      <w:tblGrid>
        <w:gridCol w:w="1020"/>
        <w:gridCol w:w="8731"/>
      </w:tblGrid>
      <w:tr w:rsidR="007337AF" w14:paraId="2BB74273" w14:textId="77777777" w:rsidTr="00B66AFB">
        <w:trPr>
          <w:trHeight w:val="283"/>
        </w:trPr>
        <w:tc>
          <w:tcPr>
            <w:tcW w:w="1020" w:type="dxa"/>
          </w:tcPr>
          <w:p w14:paraId="6CC16671" w14:textId="77777777" w:rsidR="007337AF" w:rsidRDefault="00AF0B27" w:rsidP="00281DD9">
            <w:pPr>
              <w:rPr>
                <w:b/>
                <w:bCs/>
                <w:sz w:val="28"/>
              </w:rPr>
            </w:pPr>
            <w:r>
              <w:rPr>
                <w:b/>
                <w:bCs/>
                <w:sz w:val="28"/>
              </w:rPr>
              <w:t>6</w:t>
            </w:r>
            <w:r w:rsidR="007337AF">
              <w:rPr>
                <w:b/>
                <w:bCs/>
                <w:sz w:val="28"/>
              </w:rPr>
              <w:t>.0</w:t>
            </w:r>
          </w:p>
        </w:tc>
        <w:tc>
          <w:tcPr>
            <w:tcW w:w="8731" w:type="dxa"/>
          </w:tcPr>
          <w:p w14:paraId="5283F768" w14:textId="25AE6B4C" w:rsidR="007337AF" w:rsidRDefault="00FA541B" w:rsidP="00F93568">
            <w:pPr>
              <w:pStyle w:val="Heading2"/>
            </w:pPr>
            <w:r>
              <w:t>Third Formal Capability</w:t>
            </w:r>
            <w:r w:rsidR="00AF0B27">
              <w:t xml:space="preserve"> </w:t>
            </w:r>
            <w:r w:rsidR="007337AF">
              <w:t>Meeting</w:t>
            </w:r>
          </w:p>
        </w:tc>
      </w:tr>
      <w:tr w:rsidR="007337AF" w:rsidRPr="009D0524" w14:paraId="77E5E92F" w14:textId="77777777" w:rsidTr="00B66AFB">
        <w:trPr>
          <w:trHeight w:val="283"/>
        </w:trPr>
        <w:tc>
          <w:tcPr>
            <w:tcW w:w="1020" w:type="dxa"/>
          </w:tcPr>
          <w:p w14:paraId="307CFE4F" w14:textId="77777777" w:rsidR="007337AF" w:rsidRPr="009D0524" w:rsidRDefault="007337AF" w:rsidP="00281DD9">
            <w:pPr>
              <w:spacing w:after="60"/>
              <w:rPr>
                <w:szCs w:val="22"/>
              </w:rPr>
            </w:pPr>
          </w:p>
        </w:tc>
        <w:tc>
          <w:tcPr>
            <w:tcW w:w="8731" w:type="dxa"/>
          </w:tcPr>
          <w:p w14:paraId="4634EFF2" w14:textId="77777777" w:rsidR="007337AF" w:rsidRPr="009D0524" w:rsidRDefault="007337AF" w:rsidP="00281DD9">
            <w:pPr>
              <w:spacing w:after="60"/>
              <w:rPr>
                <w:szCs w:val="22"/>
              </w:rPr>
            </w:pPr>
          </w:p>
        </w:tc>
      </w:tr>
      <w:tr w:rsidR="007337AF" w:rsidRPr="00C145D3" w14:paraId="7FBBF2C2" w14:textId="77777777" w:rsidTr="00B66AFB">
        <w:trPr>
          <w:trHeight w:val="283"/>
        </w:trPr>
        <w:tc>
          <w:tcPr>
            <w:tcW w:w="1020" w:type="dxa"/>
          </w:tcPr>
          <w:p w14:paraId="4A2F9AD9" w14:textId="77777777" w:rsidR="007337AF" w:rsidRPr="00C145D3" w:rsidRDefault="00AF0B27" w:rsidP="00281DD9">
            <w:pPr>
              <w:spacing w:after="60"/>
              <w:rPr>
                <w:szCs w:val="22"/>
              </w:rPr>
            </w:pPr>
            <w:r>
              <w:rPr>
                <w:szCs w:val="22"/>
              </w:rPr>
              <w:t>6</w:t>
            </w:r>
            <w:r w:rsidR="007337AF" w:rsidRPr="00C145D3">
              <w:rPr>
                <w:szCs w:val="22"/>
              </w:rPr>
              <w:t>.1</w:t>
            </w:r>
          </w:p>
        </w:tc>
        <w:tc>
          <w:tcPr>
            <w:tcW w:w="8731" w:type="dxa"/>
          </w:tcPr>
          <w:p w14:paraId="1F544A87" w14:textId="59CF59E7" w:rsidR="007337AF" w:rsidRPr="00C145D3" w:rsidRDefault="007337AF" w:rsidP="00FA541B">
            <w:pPr>
              <w:spacing w:after="60"/>
              <w:rPr>
                <w:szCs w:val="22"/>
              </w:rPr>
            </w:pPr>
            <w:r w:rsidRPr="001510BE">
              <w:rPr>
                <w:rFonts w:cs="Arial"/>
                <w:szCs w:val="22"/>
              </w:rPr>
              <w:t xml:space="preserve">The purpose of this meeting is for the </w:t>
            </w:r>
            <w:r w:rsidR="009A4BEF" w:rsidRPr="001510BE">
              <w:rPr>
                <w:rFonts w:cs="Arial"/>
                <w:szCs w:val="22"/>
              </w:rPr>
              <w:t>School</w:t>
            </w:r>
            <w:r w:rsidRPr="001510BE">
              <w:rPr>
                <w:rFonts w:cs="Arial"/>
                <w:szCs w:val="22"/>
              </w:rPr>
              <w:t xml:space="preserve"> to review the employee’s performance since the </w:t>
            </w:r>
            <w:r w:rsidR="00AF0B27" w:rsidRPr="001510BE">
              <w:rPr>
                <w:rFonts w:cs="Arial"/>
                <w:szCs w:val="22"/>
              </w:rPr>
              <w:t>last meeting.</w:t>
            </w:r>
          </w:p>
        </w:tc>
      </w:tr>
      <w:tr w:rsidR="00296B7A" w:rsidRPr="003B4BF9" w14:paraId="0C9D42BC" w14:textId="77777777" w:rsidTr="00B66AFB">
        <w:trPr>
          <w:trHeight w:val="283"/>
        </w:trPr>
        <w:tc>
          <w:tcPr>
            <w:tcW w:w="1020" w:type="dxa"/>
          </w:tcPr>
          <w:p w14:paraId="685CF4E2" w14:textId="77777777" w:rsidR="00296B7A" w:rsidRPr="003B4BF9" w:rsidRDefault="00296B7A" w:rsidP="00A95416">
            <w:pPr>
              <w:spacing w:after="60"/>
              <w:rPr>
                <w:sz w:val="12"/>
                <w:szCs w:val="12"/>
              </w:rPr>
            </w:pPr>
          </w:p>
        </w:tc>
        <w:tc>
          <w:tcPr>
            <w:tcW w:w="8731" w:type="dxa"/>
          </w:tcPr>
          <w:p w14:paraId="512B7E68" w14:textId="77777777" w:rsidR="00296B7A" w:rsidRPr="003B4BF9" w:rsidRDefault="00296B7A" w:rsidP="00A95416">
            <w:pPr>
              <w:spacing w:after="60"/>
              <w:rPr>
                <w:sz w:val="12"/>
                <w:szCs w:val="12"/>
              </w:rPr>
            </w:pPr>
          </w:p>
        </w:tc>
      </w:tr>
      <w:tr w:rsidR="007337AF" w:rsidRPr="00C145D3" w14:paraId="4E5B5330" w14:textId="77777777" w:rsidTr="00B66AFB">
        <w:trPr>
          <w:trHeight w:val="283"/>
        </w:trPr>
        <w:tc>
          <w:tcPr>
            <w:tcW w:w="1020" w:type="dxa"/>
          </w:tcPr>
          <w:p w14:paraId="0815EFCE" w14:textId="77777777" w:rsidR="007337AF" w:rsidRPr="00C145D3" w:rsidRDefault="00AF0B27" w:rsidP="00281DD9">
            <w:pPr>
              <w:spacing w:after="60"/>
              <w:rPr>
                <w:szCs w:val="22"/>
              </w:rPr>
            </w:pPr>
            <w:r>
              <w:rPr>
                <w:szCs w:val="22"/>
              </w:rPr>
              <w:t>6</w:t>
            </w:r>
            <w:r w:rsidR="007337AF" w:rsidRPr="00C145D3">
              <w:rPr>
                <w:szCs w:val="22"/>
              </w:rPr>
              <w:t>.2</w:t>
            </w:r>
          </w:p>
        </w:tc>
        <w:tc>
          <w:tcPr>
            <w:tcW w:w="8731" w:type="dxa"/>
          </w:tcPr>
          <w:p w14:paraId="4C9D6C94" w14:textId="570B48D3" w:rsidR="007337AF" w:rsidRPr="00C145D3" w:rsidRDefault="00307698" w:rsidP="002E5F88">
            <w:pPr>
              <w:spacing w:after="60"/>
              <w:rPr>
                <w:szCs w:val="22"/>
              </w:rPr>
            </w:pPr>
            <w:r>
              <w:rPr>
                <w:rFonts w:cs="Arial"/>
                <w:color w:val="000000"/>
                <w:szCs w:val="22"/>
                <w:lang w:eastAsia="en-GB"/>
              </w:rPr>
              <w:t>At this meeting</w:t>
            </w:r>
            <w:r w:rsidR="00AF0B27">
              <w:rPr>
                <w:rFonts w:cs="Arial"/>
                <w:color w:val="000000"/>
                <w:szCs w:val="22"/>
                <w:lang w:eastAsia="en-GB"/>
              </w:rPr>
              <w:t xml:space="preserve">, the stated required standards, the </w:t>
            </w:r>
            <w:r w:rsidR="00AF0B27" w:rsidRPr="00C145D3">
              <w:rPr>
                <w:rFonts w:cs="Arial"/>
                <w:szCs w:val="22"/>
              </w:rPr>
              <w:t xml:space="preserve">steps taken to </w:t>
            </w:r>
            <w:r w:rsidR="00AF0B27">
              <w:rPr>
                <w:rFonts w:cs="Arial"/>
                <w:szCs w:val="22"/>
              </w:rPr>
              <w:t>date to try to address this</w:t>
            </w:r>
            <w:r w:rsidR="00AF0B27">
              <w:rPr>
                <w:rFonts w:cs="Arial"/>
                <w:color w:val="000000"/>
                <w:szCs w:val="22"/>
                <w:lang w:eastAsia="en-GB"/>
              </w:rPr>
              <w:t xml:space="preserve"> and the </w:t>
            </w:r>
            <w:r w:rsidR="007337AF" w:rsidRPr="00C145D3">
              <w:rPr>
                <w:rFonts w:cs="Arial"/>
                <w:color w:val="000000"/>
                <w:szCs w:val="22"/>
                <w:lang w:eastAsia="en-GB"/>
              </w:rPr>
              <w:t xml:space="preserve">evidence of progress </w:t>
            </w:r>
            <w:r w:rsidR="0082038A">
              <w:rPr>
                <w:rFonts w:cs="Arial"/>
                <w:color w:val="000000"/>
                <w:szCs w:val="22"/>
                <w:lang w:eastAsia="en-GB"/>
              </w:rPr>
              <w:t>will be presented to the employee who</w:t>
            </w:r>
            <w:r w:rsidR="0082038A" w:rsidRPr="00C145D3">
              <w:rPr>
                <w:rFonts w:cs="Arial"/>
                <w:color w:val="000000"/>
                <w:szCs w:val="22"/>
                <w:lang w:eastAsia="en-GB"/>
              </w:rPr>
              <w:t xml:space="preserve"> will</w:t>
            </w:r>
            <w:r w:rsidR="0082038A">
              <w:rPr>
                <w:rFonts w:cs="Arial"/>
                <w:color w:val="000000"/>
                <w:szCs w:val="22"/>
                <w:lang w:eastAsia="en-GB"/>
              </w:rPr>
              <w:t xml:space="preserve"> then </w:t>
            </w:r>
            <w:r w:rsidR="0082038A" w:rsidRPr="00C145D3">
              <w:rPr>
                <w:rFonts w:cs="Arial"/>
                <w:color w:val="000000"/>
                <w:szCs w:val="22"/>
                <w:lang w:eastAsia="en-GB"/>
              </w:rPr>
              <w:t>have the opportunity to respond to concerns about their performance and to make any relevant representations.</w:t>
            </w:r>
          </w:p>
        </w:tc>
      </w:tr>
      <w:tr w:rsidR="00296B7A" w:rsidRPr="003B4BF9" w14:paraId="5588CFCD" w14:textId="77777777" w:rsidTr="00B66AFB">
        <w:trPr>
          <w:trHeight w:val="283"/>
        </w:trPr>
        <w:tc>
          <w:tcPr>
            <w:tcW w:w="1020" w:type="dxa"/>
          </w:tcPr>
          <w:p w14:paraId="20934815" w14:textId="77777777" w:rsidR="00296B7A" w:rsidRPr="003B4BF9" w:rsidRDefault="00296B7A" w:rsidP="00A95416">
            <w:pPr>
              <w:spacing w:after="60"/>
              <w:rPr>
                <w:sz w:val="12"/>
                <w:szCs w:val="12"/>
              </w:rPr>
            </w:pPr>
          </w:p>
        </w:tc>
        <w:tc>
          <w:tcPr>
            <w:tcW w:w="8731" w:type="dxa"/>
          </w:tcPr>
          <w:p w14:paraId="4D4119D5" w14:textId="77777777" w:rsidR="00296B7A" w:rsidRPr="003B4BF9" w:rsidRDefault="00296B7A" w:rsidP="00A95416">
            <w:pPr>
              <w:spacing w:after="60"/>
              <w:rPr>
                <w:sz w:val="12"/>
                <w:szCs w:val="12"/>
              </w:rPr>
            </w:pPr>
          </w:p>
        </w:tc>
      </w:tr>
      <w:tr w:rsidR="00FD4770" w:rsidRPr="00C145D3" w14:paraId="1E0DB2A9" w14:textId="77777777" w:rsidTr="00B66AFB">
        <w:trPr>
          <w:trHeight w:val="283"/>
        </w:trPr>
        <w:tc>
          <w:tcPr>
            <w:tcW w:w="1020" w:type="dxa"/>
          </w:tcPr>
          <w:p w14:paraId="7C98D9FD" w14:textId="77777777" w:rsidR="00FD4770" w:rsidRPr="00C145D3" w:rsidRDefault="00FD4770" w:rsidP="00FD4770">
            <w:pPr>
              <w:spacing w:after="60"/>
              <w:rPr>
                <w:szCs w:val="22"/>
              </w:rPr>
            </w:pPr>
            <w:r>
              <w:rPr>
                <w:szCs w:val="22"/>
              </w:rPr>
              <w:t>6</w:t>
            </w:r>
            <w:r w:rsidRPr="00C145D3">
              <w:rPr>
                <w:szCs w:val="22"/>
              </w:rPr>
              <w:t>.3</w:t>
            </w:r>
          </w:p>
        </w:tc>
        <w:tc>
          <w:tcPr>
            <w:tcW w:w="8731" w:type="dxa"/>
          </w:tcPr>
          <w:p w14:paraId="0EEFBC0B" w14:textId="71DC18F5" w:rsidR="00FD4770" w:rsidRPr="00C145D3" w:rsidRDefault="00FD4770" w:rsidP="00FD4770">
            <w:pPr>
              <w:spacing w:after="60"/>
              <w:rPr>
                <w:rFonts w:cs="Arial"/>
                <w:szCs w:val="22"/>
              </w:rPr>
            </w:pPr>
            <w:r>
              <w:rPr>
                <w:rFonts w:cs="Arial"/>
                <w:szCs w:val="22"/>
              </w:rPr>
              <w:t xml:space="preserve">If </w:t>
            </w:r>
            <w:r w:rsidRPr="00C145D3">
              <w:rPr>
                <w:rFonts w:cs="Arial"/>
                <w:szCs w:val="22"/>
              </w:rPr>
              <w:t xml:space="preserve">the required improvement has been made, the employee will be formally notified of this and advised that should there be any further concerns with </w:t>
            </w:r>
            <w:r>
              <w:rPr>
                <w:rFonts w:cs="Arial"/>
                <w:szCs w:val="22"/>
              </w:rPr>
              <w:t xml:space="preserve">their </w:t>
            </w:r>
            <w:r w:rsidRPr="00C145D3">
              <w:rPr>
                <w:rFonts w:cs="Arial"/>
                <w:szCs w:val="22"/>
              </w:rPr>
              <w:t xml:space="preserve">performance within 12 months </w:t>
            </w:r>
            <w:r>
              <w:rPr>
                <w:rFonts w:cs="Arial"/>
                <w:szCs w:val="22"/>
              </w:rPr>
              <w:t>from the date of this meeting</w:t>
            </w:r>
            <w:r w:rsidRPr="000D7B58">
              <w:rPr>
                <w:rFonts w:cs="Arial"/>
                <w:szCs w:val="22"/>
              </w:rPr>
              <w:t xml:space="preserve">, the process will continue as laid out in </w:t>
            </w:r>
            <w:r>
              <w:rPr>
                <w:rFonts w:cs="Arial"/>
                <w:szCs w:val="22"/>
              </w:rPr>
              <w:t>6.0.</w:t>
            </w:r>
          </w:p>
        </w:tc>
      </w:tr>
      <w:tr w:rsidR="00FD4770" w:rsidRPr="003B4BF9" w14:paraId="68EA22A6" w14:textId="77777777" w:rsidTr="00B66AFB">
        <w:trPr>
          <w:trHeight w:val="283"/>
        </w:trPr>
        <w:tc>
          <w:tcPr>
            <w:tcW w:w="1020" w:type="dxa"/>
          </w:tcPr>
          <w:p w14:paraId="0E8BCDDF" w14:textId="77777777" w:rsidR="00FD4770" w:rsidRPr="003B4BF9" w:rsidRDefault="00FD4770" w:rsidP="00FD4770">
            <w:pPr>
              <w:spacing w:after="60"/>
              <w:rPr>
                <w:sz w:val="12"/>
                <w:szCs w:val="12"/>
              </w:rPr>
            </w:pPr>
          </w:p>
        </w:tc>
        <w:tc>
          <w:tcPr>
            <w:tcW w:w="8731" w:type="dxa"/>
          </w:tcPr>
          <w:p w14:paraId="24659AA3" w14:textId="05DBDFDA" w:rsidR="00FD4770" w:rsidRPr="003B4BF9" w:rsidRDefault="00FD4770" w:rsidP="00FD4770">
            <w:pPr>
              <w:spacing w:after="60"/>
              <w:rPr>
                <w:sz w:val="12"/>
                <w:szCs w:val="12"/>
              </w:rPr>
            </w:pPr>
          </w:p>
        </w:tc>
      </w:tr>
      <w:tr w:rsidR="007337AF" w:rsidRPr="00C145D3" w14:paraId="33BB9C66" w14:textId="77777777" w:rsidTr="00B66AFB">
        <w:trPr>
          <w:trHeight w:val="283"/>
        </w:trPr>
        <w:tc>
          <w:tcPr>
            <w:tcW w:w="1020" w:type="dxa"/>
          </w:tcPr>
          <w:p w14:paraId="7940266C" w14:textId="77777777" w:rsidR="007337AF" w:rsidRPr="00C145D3" w:rsidRDefault="00AF0B27" w:rsidP="00AF0B27">
            <w:pPr>
              <w:spacing w:after="60"/>
              <w:rPr>
                <w:szCs w:val="22"/>
              </w:rPr>
            </w:pPr>
            <w:r>
              <w:rPr>
                <w:szCs w:val="22"/>
              </w:rPr>
              <w:t>6</w:t>
            </w:r>
            <w:r w:rsidR="007337AF" w:rsidRPr="00C145D3">
              <w:rPr>
                <w:szCs w:val="22"/>
              </w:rPr>
              <w:t>.</w:t>
            </w:r>
            <w:r>
              <w:rPr>
                <w:szCs w:val="22"/>
              </w:rPr>
              <w:t>4</w:t>
            </w:r>
          </w:p>
        </w:tc>
        <w:tc>
          <w:tcPr>
            <w:tcW w:w="8731" w:type="dxa"/>
          </w:tcPr>
          <w:p w14:paraId="2D0F018F" w14:textId="17250070" w:rsidR="00281A5C" w:rsidRPr="00C145D3" w:rsidRDefault="0034623F" w:rsidP="00FA541B">
            <w:pPr>
              <w:spacing w:after="60"/>
              <w:rPr>
                <w:rFonts w:cs="Arial"/>
                <w:color w:val="000000"/>
                <w:szCs w:val="22"/>
                <w:lang w:eastAsia="en-GB"/>
              </w:rPr>
            </w:pPr>
            <w:r w:rsidRPr="001510BE">
              <w:rPr>
                <w:rFonts w:cs="Arial"/>
                <w:color w:val="000000"/>
                <w:szCs w:val="22"/>
                <w:lang w:eastAsia="en-GB"/>
              </w:rPr>
              <w:t xml:space="preserve">If insufficient improvement has been </w:t>
            </w:r>
            <w:proofErr w:type="gramStart"/>
            <w:r w:rsidRPr="001510BE">
              <w:rPr>
                <w:rFonts w:cs="Arial"/>
                <w:color w:val="000000"/>
                <w:szCs w:val="22"/>
                <w:lang w:eastAsia="en-GB"/>
              </w:rPr>
              <w:t>made</w:t>
            </w:r>
            <w:proofErr w:type="gramEnd"/>
            <w:r w:rsidRPr="001510BE">
              <w:rPr>
                <w:rFonts w:cs="Arial"/>
                <w:color w:val="000000"/>
                <w:szCs w:val="22"/>
                <w:lang w:eastAsia="en-GB"/>
              </w:rPr>
              <w:t xml:space="preserve"> then the employee </w:t>
            </w:r>
            <w:r w:rsidR="007337AF" w:rsidRPr="001510BE">
              <w:rPr>
                <w:rFonts w:cs="Arial"/>
                <w:color w:val="000000"/>
                <w:szCs w:val="22"/>
                <w:lang w:eastAsia="en-GB"/>
              </w:rPr>
              <w:t xml:space="preserve">will be formally advised that a </w:t>
            </w:r>
            <w:r w:rsidR="00FA541B">
              <w:rPr>
                <w:rFonts w:cs="Arial"/>
                <w:color w:val="000000"/>
                <w:szCs w:val="22"/>
                <w:lang w:eastAsia="en-GB"/>
              </w:rPr>
              <w:t>Formal Capability Hearing</w:t>
            </w:r>
            <w:r w:rsidR="007337AF" w:rsidRPr="001510BE">
              <w:rPr>
                <w:rFonts w:cs="Arial"/>
                <w:color w:val="000000"/>
                <w:szCs w:val="22"/>
                <w:lang w:eastAsia="en-GB"/>
              </w:rPr>
              <w:t xml:space="preserve"> </w:t>
            </w:r>
            <w:r w:rsidRPr="001510BE">
              <w:rPr>
                <w:rFonts w:cs="Arial"/>
                <w:color w:val="000000"/>
                <w:szCs w:val="22"/>
                <w:lang w:eastAsia="en-GB"/>
              </w:rPr>
              <w:t>shall</w:t>
            </w:r>
            <w:r w:rsidR="007337AF" w:rsidRPr="001510BE">
              <w:rPr>
                <w:rFonts w:cs="Arial"/>
                <w:color w:val="000000"/>
                <w:szCs w:val="22"/>
                <w:lang w:eastAsia="en-GB"/>
              </w:rPr>
              <w:t xml:space="preserve"> be held.</w:t>
            </w:r>
            <w:r w:rsidR="00E440D8" w:rsidRPr="001510BE">
              <w:rPr>
                <w:rFonts w:cs="Arial"/>
                <w:szCs w:val="22"/>
              </w:rPr>
              <w:t xml:space="preserve"> </w:t>
            </w:r>
          </w:p>
        </w:tc>
      </w:tr>
      <w:tr w:rsidR="00296B7A" w:rsidRPr="003B4BF9" w14:paraId="4AB02CD6" w14:textId="77777777" w:rsidTr="00B66AFB">
        <w:trPr>
          <w:trHeight w:val="283"/>
        </w:trPr>
        <w:tc>
          <w:tcPr>
            <w:tcW w:w="1020" w:type="dxa"/>
          </w:tcPr>
          <w:p w14:paraId="3F6BB98A" w14:textId="77777777" w:rsidR="00296B7A" w:rsidRPr="003B4BF9" w:rsidRDefault="00296B7A" w:rsidP="00A95416">
            <w:pPr>
              <w:spacing w:after="60"/>
              <w:rPr>
                <w:sz w:val="12"/>
                <w:szCs w:val="12"/>
              </w:rPr>
            </w:pPr>
          </w:p>
        </w:tc>
        <w:tc>
          <w:tcPr>
            <w:tcW w:w="8731" w:type="dxa"/>
          </w:tcPr>
          <w:p w14:paraId="22B9BDB9" w14:textId="77777777" w:rsidR="00296B7A" w:rsidRPr="003B4BF9" w:rsidRDefault="00296B7A" w:rsidP="00A95416">
            <w:pPr>
              <w:spacing w:after="60"/>
              <w:rPr>
                <w:sz w:val="12"/>
                <w:szCs w:val="12"/>
              </w:rPr>
            </w:pPr>
          </w:p>
        </w:tc>
      </w:tr>
      <w:tr w:rsidR="007337AF" w:rsidRPr="00C145D3" w14:paraId="6AE82EAC" w14:textId="77777777" w:rsidTr="00B66AFB">
        <w:trPr>
          <w:trHeight w:val="283"/>
        </w:trPr>
        <w:tc>
          <w:tcPr>
            <w:tcW w:w="1020" w:type="dxa"/>
          </w:tcPr>
          <w:p w14:paraId="63B4E448" w14:textId="77777777" w:rsidR="007337AF" w:rsidRPr="00C145D3" w:rsidRDefault="00AF0B27" w:rsidP="00AF0B27">
            <w:pPr>
              <w:spacing w:after="60"/>
              <w:rPr>
                <w:szCs w:val="22"/>
              </w:rPr>
            </w:pPr>
            <w:r>
              <w:rPr>
                <w:szCs w:val="22"/>
              </w:rPr>
              <w:t>6</w:t>
            </w:r>
            <w:r w:rsidR="007337AF" w:rsidRPr="00C145D3">
              <w:rPr>
                <w:szCs w:val="22"/>
              </w:rPr>
              <w:t>.</w:t>
            </w:r>
            <w:r>
              <w:rPr>
                <w:szCs w:val="22"/>
              </w:rPr>
              <w:t>5</w:t>
            </w:r>
          </w:p>
        </w:tc>
        <w:tc>
          <w:tcPr>
            <w:tcW w:w="8731" w:type="dxa"/>
          </w:tcPr>
          <w:p w14:paraId="2DA6967E" w14:textId="77777777" w:rsidR="007337AF" w:rsidRPr="00C145D3" w:rsidRDefault="007337AF" w:rsidP="00281DD9">
            <w:pPr>
              <w:spacing w:after="60"/>
              <w:rPr>
                <w:rFonts w:cs="Arial"/>
                <w:color w:val="000000"/>
                <w:szCs w:val="22"/>
                <w:lang w:eastAsia="en-GB"/>
              </w:rPr>
            </w:pPr>
            <w:r w:rsidRPr="00C145D3">
              <w:rPr>
                <w:rFonts w:cs="Arial"/>
                <w:color w:val="000000"/>
                <w:szCs w:val="22"/>
                <w:lang w:eastAsia="en-GB"/>
              </w:rPr>
              <w:t xml:space="preserve">If the </w:t>
            </w:r>
            <w:r w:rsidR="009A4BEF">
              <w:rPr>
                <w:rFonts w:cs="Arial"/>
                <w:color w:val="000000"/>
                <w:szCs w:val="22"/>
                <w:lang w:eastAsia="en-GB"/>
              </w:rPr>
              <w:t>School</w:t>
            </w:r>
            <w:r w:rsidRPr="00C145D3">
              <w:rPr>
                <w:rFonts w:cs="Arial"/>
                <w:color w:val="000000"/>
                <w:szCs w:val="22"/>
                <w:lang w:eastAsia="en-GB"/>
              </w:rPr>
              <w:t xml:space="preserve"> decides that the employee is not performing satisfactorily through their own negligence or wilful misconduct/disregard for the School’s performance standards, or where there is a lack of co-operation with reasonable </w:t>
            </w:r>
            <w:r w:rsidR="0034623F">
              <w:rPr>
                <w:rFonts w:cs="Arial"/>
                <w:color w:val="000000"/>
                <w:szCs w:val="22"/>
                <w:lang w:eastAsia="en-GB"/>
              </w:rPr>
              <w:t xml:space="preserve">put in place </w:t>
            </w:r>
            <w:r w:rsidR="0034623F" w:rsidRPr="00C145D3">
              <w:rPr>
                <w:rFonts w:cs="Arial"/>
                <w:color w:val="000000"/>
                <w:szCs w:val="22"/>
                <w:lang w:eastAsia="en-GB"/>
              </w:rPr>
              <w:t>to achieve im</w:t>
            </w:r>
            <w:r w:rsidR="0034623F">
              <w:rPr>
                <w:rFonts w:cs="Arial"/>
                <w:color w:val="000000"/>
                <w:szCs w:val="22"/>
                <w:lang w:eastAsia="en-GB"/>
              </w:rPr>
              <w:t>provement then this will be dealt with under the Disciplinary policy.</w:t>
            </w:r>
          </w:p>
        </w:tc>
      </w:tr>
    </w:tbl>
    <w:p w14:paraId="68536096" w14:textId="77777777" w:rsidR="00307698" w:rsidRDefault="00307698" w:rsidP="00281DD9"/>
    <w:p w14:paraId="61AD4E1B" w14:textId="77777777" w:rsidR="007A70EF" w:rsidRDefault="007A70EF" w:rsidP="00281DD9"/>
    <w:tbl>
      <w:tblPr>
        <w:tblW w:w="9751" w:type="dxa"/>
        <w:tblLook w:val="0000" w:firstRow="0" w:lastRow="0" w:firstColumn="0" w:lastColumn="0" w:noHBand="0" w:noVBand="0"/>
      </w:tblPr>
      <w:tblGrid>
        <w:gridCol w:w="1020"/>
        <w:gridCol w:w="8691"/>
        <w:gridCol w:w="40"/>
      </w:tblGrid>
      <w:tr w:rsidR="00D01C67" w14:paraId="1C0C6F04" w14:textId="77777777" w:rsidTr="00B66AFB">
        <w:trPr>
          <w:gridAfter w:val="1"/>
          <w:wAfter w:w="40" w:type="dxa"/>
          <w:trHeight w:val="283"/>
        </w:trPr>
        <w:tc>
          <w:tcPr>
            <w:tcW w:w="1020" w:type="dxa"/>
          </w:tcPr>
          <w:p w14:paraId="509A4610" w14:textId="77777777" w:rsidR="00D01C67" w:rsidRDefault="00AF0B27" w:rsidP="00281DD9">
            <w:pPr>
              <w:rPr>
                <w:b/>
                <w:bCs/>
                <w:sz w:val="28"/>
              </w:rPr>
            </w:pPr>
            <w:r>
              <w:rPr>
                <w:b/>
                <w:bCs/>
                <w:sz w:val="28"/>
              </w:rPr>
              <w:t>7</w:t>
            </w:r>
            <w:r w:rsidR="00D01C67">
              <w:rPr>
                <w:b/>
                <w:bCs/>
                <w:sz w:val="28"/>
              </w:rPr>
              <w:t>.0</w:t>
            </w:r>
          </w:p>
        </w:tc>
        <w:tc>
          <w:tcPr>
            <w:tcW w:w="8691" w:type="dxa"/>
          </w:tcPr>
          <w:p w14:paraId="497EAF00" w14:textId="0DDB9316" w:rsidR="00D01C67" w:rsidRDefault="00FA541B" w:rsidP="00FA541B">
            <w:pPr>
              <w:pStyle w:val="Heading2"/>
            </w:pPr>
            <w:r>
              <w:t>Formal Capability Hearing</w:t>
            </w:r>
          </w:p>
        </w:tc>
      </w:tr>
      <w:tr w:rsidR="00D01C67" w:rsidRPr="009D0524" w14:paraId="404D69AE" w14:textId="77777777" w:rsidTr="00B66AFB">
        <w:trPr>
          <w:gridAfter w:val="1"/>
          <w:wAfter w:w="40" w:type="dxa"/>
          <w:trHeight w:val="283"/>
        </w:trPr>
        <w:tc>
          <w:tcPr>
            <w:tcW w:w="1020" w:type="dxa"/>
          </w:tcPr>
          <w:p w14:paraId="240BA207" w14:textId="77777777" w:rsidR="00D01C67" w:rsidRPr="009D0524" w:rsidRDefault="00D01C67" w:rsidP="00281DD9">
            <w:pPr>
              <w:spacing w:after="60"/>
              <w:rPr>
                <w:szCs w:val="22"/>
              </w:rPr>
            </w:pPr>
          </w:p>
        </w:tc>
        <w:tc>
          <w:tcPr>
            <w:tcW w:w="8691" w:type="dxa"/>
          </w:tcPr>
          <w:p w14:paraId="6D53BB82" w14:textId="77777777" w:rsidR="00D01C67" w:rsidRPr="009D0524" w:rsidRDefault="00D01C67" w:rsidP="00281DD9">
            <w:pPr>
              <w:spacing w:after="60"/>
              <w:rPr>
                <w:szCs w:val="22"/>
              </w:rPr>
            </w:pPr>
          </w:p>
        </w:tc>
      </w:tr>
      <w:tr w:rsidR="00434B0A" w:rsidRPr="00C145D3" w14:paraId="40CB879D" w14:textId="77777777" w:rsidTr="00B66AFB">
        <w:trPr>
          <w:trHeight w:val="283"/>
        </w:trPr>
        <w:tc>
          <w:tcPr>
            <w:tcW w:w="1020" w:type="dxa"/>
          </w:tcPr>
          <w:p w14:paraId="74DC1100" w14:textId="77777777" w:rsidR="00434B0A" w:rsidRPr="00C145D3" w:rsidRDefault="000672C8" w:rsidP="00281DD9">
            <w:pPr>
              <w:spacing w:after="60"/>
              <w:rPr>
                <w:szCs w:val="22"/>
              </w:rPr>
            </w:pPr>
            <w:r>
              <w:rPr>
                <w:szCs w:val="22"/>
              </w:rPr>
              <w:t>7</w:t>
            </w:r>
            <w:r w:rsidR="00434B0A" w:rsidRPr="00C145D3">
              <w:rPr>
                <w:szCs w:val="22"/>
              </w:rPr>
              <w:t>.1</w:t>
            </w:r>
          </w:p>
        </w:tc>
        <w:tc>
          <w:tcPr>
            <w:tcW w:w="8731" w:type="dxa"/>
            <w:gridSpan w:val="2"/>
          </w:tcPr>
          <w:p w14:paraId="39851035" w14:textId="5BB589B8" w:rsidR="00434B0A" w:rsidRPr="00C145D3" w:rsidRDefault="00434B0A" w:rsidP="00FA541B">
            <w:pPr>
              <w:spacing w:after="60"/>
              <w:rPr>
                <w:szCs w:val="22"/>
              </w:rPr>
            </w:pPr>
            <w:r w:rsidRPr="00C145D3">
              <w:rPr>
                <w:rFonts w:cs="Arial"/>
                <w:szCs w:val="22"/>
              </w:rPr>
              <w:t xml:space="preserve">Where it is determined that </w:t>
            </w:r>
            <w:r w:rsidR="00AF0B27">
              <w:rPr>
                <w:rFonts w:cs="Arial"/>
                <w:szCs w:val="22"/>
              </w:rPr>
              <w:t xml:space="preserve">the </w:t>
            </w:r>
            <w:r w:rsidR="00FA541B">
              <w:rPr>
                <w:rFonts w:cs="Arial"/>
                <w:szCs w:val="22"/>
              </w:rPr>
              <w:t xml:space="preserve">previous formal capability </w:t>
            </w:r>
            <w:r w:rsidR="00AF0B27">
              <w:rPr>
                <w:rFonts w:cs="Arial"/>
                <w:szCs w:val="22"/>
              </w:rPr>
              <w:t>meetings have</w:t>
            </w:r>
            <w:r w:rsidRPr="00C145D3">
              <w:rPr>
                <w:rFonts w:cs="Arial"/>
                <w:szCs w:val="22"/>
              </w:rPr>
              <w:t xml:space="preserve"> not brought the employee's work performance to a satisfactory level</w:t>
            </w:r>
            <w:r w:rsidR="008D50E9" w:rsidRPr="00C145D3">
              <w:rPr>
                <w:rFonts w:cs="Arial"/>
                <w:szCs w:val="22"/>
              </w:rPr>
              <w:t>,</w:t>
            </w:r>
            <w:r w:rsidRPr="00C145D3">
              <w:rPr>
                <w:rFonts w:cs="Arial"/>
                <w:szCs w:val="22"/>
              </w:rPr>
              <w:t xml:space="preserve"> a </w:t>
            </w:r>
            <w:r w:rsidR="00FA541B">
              <w:rPr>
                <w:rFonts w:cs="Arial"/>
                <w:szCs w:val="22"/>
              </w:rPr>
              <w:t>Formal Capability Hearing</w:t>
            </w:r>
            <w:r w:rsidR="00A56CF8" w:rsidRPr="00C145D3">
              <w:rPr>
                <w:rFonts w:cs="Arial"/>
                <w:szCs w:val="22"/>
              </w:rPr>
              <w:t xml:space="preserve"> </w:t>
            </w:r>
            <w:r w:rsidR="00754A5C">
              <w:rPr>
                <w:rFonts w:cs="Arial"/>
                <w:szCs w:val="22"/>
              </w:rPr>
              <w:t>shall</w:t>
            </w:r>
            <w:r w:rsidRPr="00C145D3">
              <w:rPr>
                <w:rFonts w:cs="Arial"/>
                <w:szCs w:val="22"/>
              </w:rPr>
              <w:t xml:space="preserve"> be held</w:t>
            </w:r>
            <w:r w:rsidR="008D50E9" w:rsidRPr="00C145D3">
              <w:rPr>
                <w:rFonts w:cs="Arial"/>
                <w:szCs w:val="22"/>
              </w:rPr>
              <w:t xml:space="preserve"> </w:t>
            </w:r>
            <w:r w:rsidRPr="00C145D3">
              <w:rPr>
                <w:rFonts w:cs="Arial"/>
                <w:szCs w:val="22"/>
              </w:rPr>
              <w:t>to consider the employee’s continuing employment at the School.</w:t>
            </w:r>
          </w:p>
        </w:tc>
      </w:tr>
      <w:tr w:rsidR="00296B7A" w:rsidRPr="003B4BF9" w14:paraId="46988E59" w14:textId="77777777" w:rsidTr="00B66AFB">
        <w:trPr>
          <w:trHeight w:val="283"/>
        </w:trPr>
        <w:tc>
          <w:tcPr>
            <w:tcW w:w="1020" w:type="dxa"/>
          </w:tcPr>
          <w:p w14:paraId="5B1E5B04" w14:textId="77777777" w:rsidR="00296B7A" w:rsidRPr="003B4BF9" w:rsidRDefault="00296B7A" w:rsidP="00A95416">
            <w:pPr>
              <w:spacing w:after="60"/>
              <w:rPr>
                <w:sz w:val="12"/>
                <w:szCs w:val="12"/>
              </w:rPr>
            </w:pPr>
          </w:p>
        </w:tc>
        <w:tc>
          <w:tcPr>
            <w:tcW w:w="8731" w:type="dxa"/>
            <w:gridSpan w:val="2"/>
          </w:tcPr>
          <w:p w14:paraId="36967F25" w14:textId="77777777" w:rsidR="00296B7A" w:rsidRPr="003B4BF9" w:rsidRDefault="00296B7A" w:rsidP="00A95416">
            <w:pPr>
              <w:spacing w:after="60"/>
              <w:rPr>
                <w:sz w:val="12"/>
                <w:szCs w:val="12"/>
              </w:rPr>
            </w:pPr>
          </w:p>
        </w:tc>
      </w:tr>
      <w:tr w:rsidR="00D01C67" w:rsidRPr="00C145D3" w14:paraId="201D856F" w14:textId="77777777" w:rsidTr="00B66AFB">
        <w:trPr>
          <w:trHeight w:val="283"/>
        </w:trPr>
        <w:tc>
          <w:tcPr>
            <w:tcW w:w="1020" w:type="dxa"/>
          </w:tcPr>
          <w:p w14:paraId="6599D95A" w14:textId="77777777" w:rsidR="00D01C67" w:rsidRPr="00C145D3" w:rsidRDefault="000672C8" w:rsidP="00281DD9">
            <w:pPr>
              <w:spacing w:after="60"/>
              <w:rPr>
                <w:szCs w:val="22"/>
              </w:rPr>
            </w:pPr>
            <w:r>
              <w:rPr>
                <w:szCs w:val="22"/>
              </w:rPr>
              <w:t>7</w:t>
            </w:r>
            <w:r w:rsidR="00D01C67" w:rsidRPr="00C145D3">
              <w:rPr>
                <w:szCs w:val="22"/>
              </w:rPr>
              <w:t>.2</w:t>
            </w:r>
          </w:p>
        </w:tc>
        <w:tc>
          <w:tcPr>
            <w:tcW w:w="8731" w:type="dxa"/>
            <w:gridSpan w:val="2"/>
          </w:tcPr>
          <w:p w14:paraId="5A34368C" w14:textId="3FF2F58E" w:rsidR="00D01C67" w:rsidRPr="00C145D3" w:rsidRDefault="00A56CF8" w:rsidP="00FA541B">
            <w:pPr>
              <w:spacing w:after="60"/>
              <w:rPr>
                <w:szCs w:val="22"/>
              </w:rPr>
            </w:pPr>
            <w:r w:rsidRPr="00C145D3">
              <w:rPr>
                <w:rFonts w:cs="Arial"/>
                <w:szCs w:val="22"/>
              </w:rPr>
              <w:t>At this meeting</w:t>
            </w:r>
            <w:r w:rsidR="0029718F">
              <w:rPr>
                <w:rFonts w:cs="Arial"/>
                <w:szCs w:val="22"/>
              </w:rPr>
              <w:t>,</w:t>
            </w:r>
            <w:r w:rsidRPr="00C145D3">
              <w:rPr>
                <w:rFonts w:cs="Arial"/>
                <w:szCs w:val="22"/>
              </w:rPr>
              <w:t xml:space="preserve"> </w:t>
            </w:r>
            <w:r w:rsidR="00691A30">
              <w:rPr>
                <w:rFonts w:cs="Arial"/>
                <w:szCs w:val="22"/>
              </w:rPr>
              <w:t xml:space="preserve">the </w:t>
            </w:r>
            <w:r w:rsidR="008B33CC">
              <w:rPr>
                <w:rFonts w:cs="Arial"/>
                <w:szCs w:val="22"/>
              </w:rPr>
              <w:t xml:space="preserve">manager </w:t>
            </w:r>
            <w:r w:rsidR="00691A30">
              <w:rPr>
                <w:rFonts w:cs="Arial"/>
                <w:szCs w:val="22"/>
              </w:rPr>
              <w:t>who held</w:t>
            </w:r>
            <w:r w:rsidR="008B33CC">
              <w:rPr>
                <w:rFonts w:cs="Arial"/>
                <w:szCs w:val="22"/>
              </w:rPr>
              <w:t xml:space="preserve"> </w:t>
            </w:r>
            <w:r w:rsidR="008B33CC" w:rsidRPr="00EE2D07">
              <w:rPr>
                <w:rFonts w:cs="Arial"/>
                <w:szCs w:val="22"/>
              </w:rPr>
              <w:t xml:space="preserve">the </w:t>
            </w:r>
            <w:r w:rsidR="004E25B7" w:rsidRPr="00EE2D07">
              <w:rPr>
                <w:rFonts w:cs="Arial"/>
                <w:szCs w:val="22"/>
              </w:rPr>
              <w:t xml:space="preserve">Formal </w:t>
            </w:r>
            <w:r w:rsidR="008B33CC" w:rsidRPr="00EE2D07">
              <w:rPr>
                <w:rFonts w:cs="Arial"/>
                <w:szCs w:val="22"/>
              </w:rPr>
              <w:t>Capability</w:t>
            </w:r>
            <w:r w:rsidR="008B33CC">
              <w:rPr>
                <w:rFonts w:cs="Arial"/>
                <w:szCs w:val="22"/>
              </w:rPr>
              <w:t xml:space="preserve"> </w:t>
            </w:r>
            <w:r w:rsidR="00FA541B">
              <w:rPr>
                <w:rFonts w:cs="Arial"/>
                <w:szCs w:val="22"/>
              </w:rPr>
              <w:t>Meetings</w:t>
            </w:r>
            <w:r w:rsidRPr="00C145D3">
              <w:rPr>
                <w:rFonts w:cs="Arial"/>
                <w:szCs w:val="22"/>
              </w:rPr>
              <w:t xml:space="preserve"> will present </w:t>
            </w:r>
            <w:r w:rsidR="00587408" w:rsidRPr="00C145D3">
              <w:rPr>
                <w:rFonts w:cs="Arial"/>
                <w:szCs w:val="22"/>
              </w:rPr>
              <w:t>a report setting out</w:t>
            </w:r>
            <w:r w:rsidRPr="00C145D3">
              <w:rPr>
                <w:rFonts w:cs="Arial"/>
                <w:szCs w:val="22"/>
              </w:rPr>
              <w:t xml:space="preserve"> the </w:t>
            </w:r>
            <w:r w:rsidR="00587408" w:rsidRPr="00C145D3">
              <w:rPr>
                <w:rFonts w:cs="Arial"/>
                <w:szCs w:val="22"/>
              </w:rPr>
              <w:t>identified performance problem</w:t>
            </w:r>
            <w:r w:rsidRPr="00C145D3">
              <w:rPr>
                <w:rFonts w:cs="Arial"/>
                <w:szCs w:val="22"/>
              </w:rPr>
              <w:t>s and the action taken to date. The report should also refer to the</w:t>
            </w:r>
            <w:r w:rsidR="00587408" w:rsidRPr="00C145D3">
              <w:rPr>
                <w:rFonts w:cs="Arial"/>
                <w:szCs w:val="22"/>
              </w:rPr>
              <w:t xml:space="preserve"> </w:t>
            </w:r>
            <w:r w:rsidRPr="00C145D3">
              <w:rPr>
                <w:rFonts w:cs="Arial"/>
                <w:szCs w:val="22"/>
              </w:rPr>
              <w:t xml:space="preserve">impact of the under-performance on the School, the </w:t>
            </w:r>
            <w:r w:rsidR="00587408" w:rsidRPr="00C145D3">
              <w:rPr>
                <w:rFonts w:cs="Arial"/>
                <w:szCs w:val="22"/>
              </w:rPr>
              <w:t>emplo</w:t>
            </w:r>
            <w:r w:rsidRPr="00C145D3">
              <w:rPr>
                <w:rFonts w:cs="Arial"/>
                <w:szCs w:val="22"/>
              </w:rPr>
              <w:t>yee's general employment record and a</w:t>
            </w:r>
            <w:r w:rsidR="00587408" w:rsidRPr="00C145D3">
              <w:rPr>
                <w:rFonts w:cs="Arial"/>
                <w:szCs w:val="22"/>
              </w:rPr>
              <w:t>ny special circumstances referred to by the employee</w:t>
            </w:r>
            <w:r w:rsidR="00EB2CD3">
              <w:rPr>
                <w:rFonts w:cs="Arial"/>
                <w:szCs w:val="22"/>
              </w:rPr>
              <w:t>, who w</w:t>
            </w:r>
            <w:r w:rsidR="00EB2CD3" w:rsidRPr="00C145D3">
              <w:rPr>
                <w:rFonts w:cs="Arial"/>
                <w:color w:val="000000"/>
                <w:szCs w:val="22"/>
                <w:lang w:eastAsia="en-GB"/>
              </w:rPr>
              <w:t>ill</w:t>
            </w:r>
            <w:r w:rsidR="00EB2CD3">
              <w:rPr>
                <w:rFonts w:cs="Arial"/>
                <w:color w:val="000000"/>
                <w:szCs w:val="22"/>
                <w:lang w:eastAsia="en-GB"/>
              </w:rPr>
              <w:t xml:space="preserve"> </w:t>
            </w:r>
            <w:r w:rsidR="00EB2CD3" w:rsidRPr="00C145D3">
              <w:rPr>
                <w:rFonts w:cs="Arial"/>
                <w:color w:val="000000"/>
                <w:szCs w:val="22"/>
                <w:lang w:eastAsia="en-GB"/>
              </w:rPr>
              <w:t xml:space="preserve">have the opportunity to respond to </w:t>
            </w:r>
            <w:r w:rsidR="00EB2CD3">
              <w:rPr>
                <w:rFonts w:cs="Arial"/>
                <w:color w:val="000000"/>
                <w:szCs w:val="22"/>
                <w:lang w:eastAsia="en-GB"/>
              </w:rPr>
              <w:t>the report</w:t>
            </w:r>
            <w:r w:rsidR="00EB2CD3" w:rsidRPr="00C145D3">
              <w:rPr>
                <w:rFonts w:cs="Arial"/>
                <w:color w:val="000000"/>
                <w:szCs w:val="22"/>
                <w:lang w:eastAsia="en-GB"/>
              </w:rPr>
              <w:t xml:space="preserve"> and to make any relevant representations.</w:t>
            </w:r>
          </w:p>
        </w:tc>
      </w:tr>
      <w:tr w:rsidR="00296B7A" w:rsidRPr="003B4BF9" w14:paraId="2DD2D564" w14:textId="77777777" w:rsidTr="00B66AFB">
        <w:trPr>
          <w:trHeight w:val="283"/>
        </w:trPr>
        <w:tc>
          <w:tcPr>
            <w:tcW w:w="1020" w:type="dxa"/>
          </w:tcPr>
          <w:p w14:paraId="2794AE5F" w14:textId="77777777" w:rsidR="00296B7A" w:rsidRPr="003B4BF9" w:rsidRDefault="00296B7A" w:rsidP="00A95416">
            <w:pPr>
              <w:spacing w:after="60"/>
              <w:rPr>
                <w:sz w:val="12"/>
                <w:szCs w:val="12"/>
              </w:rPr>
            </w:pPr>
          </w:p>
        </w:tc>
        <w:tc>
          <w:tcPr>
            <w:tcW w:w="8731" w:type="dxa"/>
            <w:gridSpan w:val="2"/>
          </w:tcPr>
          <w:p w14:paraId="4628FF31" w14:textId="643E856D" w:rsidR="00497026" w:rsidRPr="003B4BF9" w:rsidRDefault="00497026" w:rsidP="00A95416">
            <w:pPr>
              <w:spacing w:after="60"/>
              <w:rPr>
                <w:sz w:val="12"/>
                <w:szCs w:val="12"/>
              </w:rPr>
            </w:pPr>
          </w:p>
        </w:tc>
      </w:tr>
      <w:tr w:rsidR="00D01C67" w:rsidRPr="00C145D3" w14:paraId="0592A4D6" w14:textId="77777777" w:rsidTr="00B66AFB">
        <w:trPr>
          <w:trHeight w:val="283"/>
        </w:trPr>
        <w:tc>
          <w:tcPr>
            <w:tcW w:w="1020" w:type="dxa"/>
          </w:tcPr>
          <w:p w14:paraId="0C5127F6" w14:textId="77777777" w:rsidR="00D01C67" w:rsidRPr="00C145D3" w:rsidRDefault="000672C8" w:rsidP="00281DD9">
            <w:pPr>
              <w:spacing w:after="60"/>
              <w:rPr>
                <w:szCs w:val="22"/>
              </w:rPr>
            </w:pPr>
            <w:r>
              <w:rPr>
                <w:szCs w:val="22"/>
              </w:rPr>
              <w:lastRenderedPageBreak/>
              <w:t>7</w:t>
            </w:r>
            <w:r w:rsidR="00D01C67" w:rsidRPr="00C145D3">
              <w:rPr>
                <w:szCs w:val="22"/>
              </w:rPr>
              <w:t>.3</w:t>
            </w:r>
          </w:p>
        </w:tc>
        <w:tc>
          <w:tcPr>
            <w:tcW w:w="8731" w:type="dxa"/>
            <w:gridSpan w:val="2"/>
          </w:tcPr>
          <w:p w14:paraId="2076B88C" w14:textId="5897F56A" w:rsidR="00D01C67" w:rsidRPr="00C145D3" w:rsidRDefault="004365A3" w:rsidP="00FA541B">
            <w:pPr>
              <w:spacing w:after="120"/>
              <w:rPr>
                <w:szCs w:val="22"/>
              </w:rPr>
            </w:pPr>
            <w:r>
              <w:rPr>
                <w:rFonts w:cs="Arial"/>
                <w:szCs w:val="22"/>
              </w:rPr>
              <w:t>A</w:t>
            </w:r>
            <w:r w:rsidR="00A56CF8" w:rsidRPr="00C145D3">
              <w:rPr>
                <w:rFonts w:cs="Arial"/>
                <w:szCs w:val="22"/>
              </w:rPr>
              <w:t xml:space="preserve"> decision</w:t>
            </w:r>
            <w:r>
              <w:rPr>
                <w:rFonts w:cs="Arial"/>
                <w:szCs w:val="22"/>
              </w:rPr>
              <w:t xml:space="preserve"> will be made at the </w:t>
            </w:r>
            <w:r w:rsidR="00FA541B">
              <w:rPr>
                <w:rFonts w:cs="Arial"/>
                <w:szCs w:val="22"/>
              </w:rPr>
              <w:t>hearing</w:t>
            </w:r>
            <w:r w:rsidR="00754A5C">
              <w:rPr>
                <w:rFonts w:cs="Arial"/>
                <w:szCs w:val="22"/>
              </w:rPr>
              <w:t xml:space="preserve">, </w:t>
            </w:r>
            <w:r w:rsidR="00B23E2C">
              <w:t>formally confirmed to the employee from the following options</w:t>
            </w:r>
            <w:r w:rsidR="002D7E06">
              <w:rPr>
                <w:rFonts w:cs="Arial"/>
                <w:szCs w:val="22"/>
              </w:rPr>
              <w:t>:</w:t>
            </w:r>
          </w:p>
        </w:tc>
      </w:tr>
      <w:tr w:rsidR="00B66AFB" w:rsidRPr="00C145D3" w14:paraId="6A328DCE" w14:textId="77777777" w:rsidTr="004226A6">
        <w:trPr>
          <w:trHeight w:val="283"/>
        </w:trPr>
        <w:tc>
          <w:tcPr>
            <w:tcW w:w="1020" w:type="dxa"/>
          </w:tcPr>
          <w:p w14:paraId="65CA4E47" w14:textId="77777777" w:rsidR="00B66AFB" w:rsidRPr="00C145D3" w:rsidRDefault="00B66AFB" w:rsidP="00C35708">
            <w:pPr>
              <w:spacing w:after="60"/>
              <w:rPr>
                <w:szCs w:val="22"/>
              </w:rPr>
            </w:pPr>
          </w:p>
        </w:tc>
        <w:tc>
          <w:tcPr>
            <w:tcW w:w="8731" w:type="dxa"/>
            <w:gridSpan w:val="2"/>
          </w:tcPr>
          <w:p w14:paraId="1D29DDE6" w14:textId="77777777" w:rsidR="00B66AFB" w:rsidRPr="00F42E51" w:rsidRDefault="00B66AFB" w:rsidP="00CB7D79">
            <w:pPr>
              <w:pStyle w:val="ListParagraph"/>
              <w:numPr>
                <w:ilvl w:val="0"/>
                <w:numId w:val="2"/>
              </w:numPr>
              <w:tabs>
                <w:tab w:val="left" w:pos="380"/>
              </w:tabs>
              <w:spacing w:after="60"/>
              <w:ind w:left="0" w:firstLine="0"/>
              <w:rPr>
                <w:rFonts w:cs="Arial"/>
                <w:szCs w:val="22"/>
              </w:rPr>
            </w:pPr>
            <w:r w:rsidRPr="00F42E51">
              <w:rPr>
                <w:rFonts w:cs="Arial"/>
                <w:szCs w:val="22"/>
              </w:rPr>
              <w:t>Take no further action.</w:t>
            </w:r>
          </w:p>
        </w:tc>
      </w:tr>
      <w:tr w:rsidR="00B66AFB" w:rsidRPr="00C145D3" w14:paraId="44F38582" w14:textId="77777777" w:rsidTr="004226A6">
        <w:trPr>
          <w:trHeight w:val="283"/>
        </w:trPr>
        <w:tc>
          <w:tcPr>
            <w:tcW w:w="1020" w:type="dxa"/>
          </w:tcPr>
          <w:p w14:paraId="3076FC17" w14:textId="77777777" w:rsidR="00B66AFB" w:rsidRPr="00C145D3" w:rsidRDefault="00B66AFB" w:rsidP="00C35708">
            <w:pPr>
              <w:spacing w:after="60"/>
              <w:rPr>
                <w:szCs w:val="22"/>
              </w:rPr>
            </w:pPr>
          </w:p>
        </w:tc>
        <w:tc>
          <w:tcPr>
            <w:tcW w:w="8731" w:type="dxa"/>
            <w:gridSpan w:val="2"/>
          </w:tcPr>
          <w:p w14:paraId="5FB1D98B" w14:textId="722D4361" w:rsidR="00B66AFB" w:rsidRPr="00F42E51" w:rsidRDefault="00B66AFB" w:rsidP="00CB7D79">
            <w:pPr>
              <w:pStyle w:val="ListParagraph"/>
              <w:numPr>
                <w:ilvl w:val="0"/>
                <w:numId w:val="2"/>
              </w:numPr>
              <w:tabs>
                <w:tab w:val="left" w:pos="380"/>
              </w:tabs>
              <w:spacing w:after="60"/>
              <w:ind w:left="0" w:firstLine="0"/>
              <w:rPr>
                <w:rFonts w:cs="Arial"/>
                <w:szCs w:val="22"/>
              </w:rPr>
            </w:pPr>
            <w:r w:rsidRPr="00F42E51">
              <w:rPr>
                <w:rFonts w:cs="Arial"/>
                <w:szCs w:val="22"/>
              </w:rPr>
              <w:t xml:space="preserve">Refer </w:t>
            </w:r>
            <w:r w:rsidR="00FA541B">
              <w:rPr>
                <w:rFonts w:cs="Arial"/>
                <w:szCs w:val="22"/>
              </w:rPr>
              <w:t>to</w:t>
            </w:r>
            <w:r w:rsidR="00FA541B" w:rsidRPr="00F42E51">
              <w:rPr>
                <w:rFonts w:cs="Arial"/>
                <w:szCs w:val="22"/>
              </w:rPr>
              <w:t xml:space="preserve"> </w:t>
            </w:r>
            <w:r w:rsidRPr="00F42E51">
              <w:rPr>
                <w:rFonts w:cs="Arial"/>
                <w:szCs w:val="22"/>
              </w:rPr>
              <w:t xml:space="preserve">a further </w:t>
            </w:r>
            <w:r w:rsidR="00FA541B">
              <w:rPr>
                <w:rFonts w:cs="Arial"/>
                <w:szCs w:val="22"/>
              </w:rPr>
              <w:t>Formal Capability</w:t>
            </w:r>
            <w:r w:rsidRPr="00F42E51">
              <w:rPr>
                <w:rFonts w:cs="Arial"/>
                <w:szCs w:val="22"/>
              </w:rPr>
              <w:t xml:space="preserve"> Meeting.</w:t>
            </w:r>
          </w:p>
        </w:tc>
      </w:tr>
      <w:tr w:rsidR="00B66AFB" w:rsidRPr="00C145D3" w14:paraId="1511122A" w14:textId="77777777" w:rsidTr="004226A6">
        <w:trPr>
          <w:trHeight w:val="283"/>
        </w:trPr>
        <w:tc>
          <w:tcPr>
            <w:tcW w:w="1020" w:type="dxa"/>
          </w:tcPr>
          <w:p w14:paraId="4D55A82A" w14:textId="77777777" w:rsidR="00B66AFB" w:rsidRPr="00C145D3" w:rsidRDefault="00B66AFB" w:rsidP="00C35708">
            <w:pPr>
              <w:spacing w:after="60"/>
              <w:rPr>
                <w:szCs w:val="22"/>
              </w:rPr>
            </w:pPr>
          </w:p>
        </w:tc>
        <w:tc>
          <w:tcPr>
            <w:tcW w:w="8731" w:type="dxa"/>
            <w:gridSpan w:val="2"/>
          </w:tcPr>
          <w:p w14:paraId="6A212839" w14:textId="77777777" w:rsidR="00B66AFB" w:rsidRPr="00F42E51" w:rsidRDefault="00B66AFB" w:rsidP="00CB7D79">
            <w:pPr>
              <w:pStyle w:val="ListParagraph"/>
              <w:numPr>
                <w:ilvl w:val="0"/>
                <w:numId w:val="2"/>
              </w:numPr>
              <w:tabs>
                <w:tab w:val="left" w:pos="380"/>
              </w:tabs>
              <w:spacing w:after="60"/>
              <w:ind w:left="380" w:hanging="380"/>
              <w:rPr>
                <w:rFonts w:cs="Arial"/>
                <w:szCs w:val="22"/>
              </w:rPr>
            </w:pPr>
            <w:r w:rsidRPr="00F42E51">
              <w:rPr>
                <w:rFonts w:cs="Arial"/>
                <w:szCs w:val="22"/>
              </w:rPr>
              <w:t>Offer a transfer to a more suitable and available post at the same, or equivalent or lower grade, within the school. The employee should be given sufficient time to consider the offer and be made aware that the only alternative to this offer would be dismissal with notice. Where employment is offered on a lower grade, there will be no protection of current salary.</w:t>
            </w:r>
          </w:p>
        </w:tc>
      </w:tr>
      <w:tr w:rsidR="00D01C67" w:rsidRPr="00C145D3" w14:paraId="7758801F" w14:textId="77777777" w:rsidTr="00B66AFB">
        <w:trPr>
          <w:trHeight w:val="283"/>
        </w:trPr>
        <w:tc>
          <w:tcPr>
            <w:tcW w:w="1020" w:type="dxa"/>
          </w:tcPr>
          <w:p w14:paraId="4AF2879C" w14:textId="77777777" w:rsidR="00D01C67" w:rsidRPr="00C145D3" w:rsidRDefault="00D01C67" w:rsidP="00281DD9">
            <w:pPr>
              <w:spacing w:after="60"/>
              <w:rPr>
                <w:szCs w:val="22"/>
              </w:rPr>
            </w:pPr>
          </w:p>
        </w:tc>
        <w:tc>
          <w:tcPr>
            <w:tcW w:w="8731" w:type="dxa"/>
            <w:gridSpan w:val="2"/>
          </w:tcPr>
          <w:p w14:paraId="554947E8" w14:textId="77777777" w:rsidR="00281DD9" w:rsidRPr="00F42E51" w:rsidRDefault="00281DD9" w:rsidP="00CB7D79">
            <w:pPr>
              <w:pStyle w:val="ListParagraph"/>
              <w:numPr>
                <w:ilvl w:val="0"/>
                <w:numId w:val="2"/>
              </w:numPr>
              <w:tabs>
                <w:tab w:val="left" w:pos="380"/>
              </w:tabs>
              <w:spacing w:after="60"/>
              <w:ind w:left="0" w:firstLine="0"/>
              <w:rPr>
                <w:rFonts w:cs="Arial"/>
                <w:szCs w:val="22"/>
              </w:rPr>
            </w:pPr>
            <w:r w:rsidRPr="00F42E51">
              <w:rPr>
                <w:rFonts w:cs="Arial"/>
                <w:szCs w:val="22"/>
              </w:rPr>
              <w:t>Dismiss the employee with notice.</w:t>
            </w:r>
          </w:p>
        </w:tc>
      </w:tr>
    </w:tbl>
    <w:p w14:paraId="1938143C" w14:textId="77777777" w:rsidR="00D01C67" w:rsidRDefault="00D01C67" w:rsidP="00281DD9"/>
    <w:p w14:paraId="176CF5BA" w14:textId="77777777" w:rsidR="000041A8" w:rsidRDefault="000041A8" w:rsidP="00281DD9"/>
    <w:tbl>
      <w:tblPr>
        <w:tblW w:w="0" w:type="auto"/>
        <w:tblLook w:val="0000" w:firstRow="0" w:lastRow="0" w:firstColumn="0" w:lastColumn="0" w:noHBand="0" w:noVBand="0"/>
      </w:tblPr>
      <w:tblGrid>
        <w:gridCol w:w="948"/>
        <w:gridCol w:w="8691"/>
      </w:tblGrid>
      <w:tr w:rsidR="00D01C67" w14:paraId="6F68972E" w14:textId="77777777" w:rsidTr="00296B7A">
        <w:trPr>
          <w:trHeight w:val="283"/>
        </w:trPr>
        <w:tc>
          <w:tcPr>
            <w:tcW w:w="948" w:type="dxa"/>
          </w:tcPr>
          <w:p w14:paraId="4A1B8F53" w14:textId="77777777" w:rsidR="00D01C67" w:rsidRDefault="000672C8" w:rsidP="00281DD9">
            <w:pPr>
              <w:rPr>
                <w:b/>
                <w:bCs/>
                <w:sz w:val="28"/>
              </w:rPr>
            </w:pPr>
            <w:r>
              <w:rPr>
                <w:b/>
                <w:bCs/>
                <w:sz w:val="28"/>
              </w:rPr>
              <w:t>8</w:t>
            </w:r>
            <w:r w:rsidR="00D01C67">
              <w:rPr>
                <w:b/>
                <w:bCs/>
                <w:sz w:val="28"/>
              </w:rPr>
              <w:t>.0</w:t>
            </w:r>
          </w:p>
        </w:tc>
        <w:tc>
          <w:tcPr>
            <w:tcW w:w="8691" w:type="dxa"/>
          </w:tcPr>
          <w:p w14:paraId="1E564A2E" w14:textId="77777777" w:rsidR="00D01C67" w:rsidRDefault="009F6A9E" w:rsidP="00281DD9">
            <w:pPr>
              <w:pStyle w:val="Heading2"/>
            </w:pPr>
            <w:r>
              <w:t>Formal Capability Appeal</w:t>
            </w:r>
          </w:p>
        </w:tc>
      </w:tr>
      <w:tr w:rsidR="00D01C67" w:rsidRPr="009D0524" w14:paraId="149D3CE2" w14:textId="77777777" w:rsidTr="00296B7A">
        <w:trPr>
          <w:trHeight w:val="283"/>
        </w:trPr>
        <w:tc>
          <w:tcPr>
            <w:tcW w:w="948" w:type="dxa"/>
          </w:tcPr>
          <w:p w14:paraId="1A7CC310" w14:textId="77777777" w:rsidR="00D01C67" w:rsidRPr="009D0524" w:rsidRDefault="00D01C67" w:rsidP="00281DD9">
            <w:pPr>
              <w:spacing w:after="60"/>
              <w:rPr>
                <w:szCs w:val="22"/>
              </w:rPr>
            </w:pPr>
          </w:p>
        </w:tc>
        <w:tc>
          <w:tcPr>
            <w:tcW w:w="8691" w:type="dxa"/>
          </w:tcPr>
          <w:p w14:paraId="3F540053" w14:textId="77777777" w:rsidR="00D01C67" w:rsidRPr="009D0524" w:rsidRDefault="00D01C67" w:rsidP="00281DD9">
            <w:pPr>
              <w:spacing w:after="60"/>
              <w:rPr>
                <w:szCs w:val="22"/>
              </w:rPr>
            </w:pPr>
          </w:p>
        </w:tc>
      </w:tr>
      <w:tr w:rsidR="00D01C67" w:rsidRPr="00C145D3" w14:paraId="423D4A3A" w14:textId="77777777" w:rsidTr="00296B7A">
        <w:trPr>
          <w:trHeight w:val="283"/>
        </w:trPr>
        <w:tc>
          <w:tcPr>
            <w:tcW w:w="948" w:type="dxa"/>
          </w:tcPr>
          <w:p w14:paraId="6F355D93" w14:textId="72B04F4E" w:rsidR="00CB7D79" w:rsidRPr="00C145D3" w:rsidRDefault="000672C8" w:rsidP="00281DD9">
            <w:pPr>
              <w:spacing w:after="60"/>
              <w:rPr>
                <w:szCs w:val="22"/>
              </w:rPr>
            </w:pPr>
            <w:r>
              <w:rPr>
                <w:szCs w:val="22"/>
              </w:rPr>
              <w:t>8</w:t>
            </w:r>
            <w:r w:rsidR="00D05DC3" w:rsidRPr="00C145D3">
              <w:rPr>
                <w:szCs w:val="22"/>
              </w:rPr>
              <w:t>.1</w:t>
            </w:r>
          </w:p>
        </w:tc>
        <w:tc>
          <w:tcPr>
            <w:tcW w:w="8691" w:type="dxa"/>
          </w:tcPr>
          <w:p w14:paraId="6D53C86F" w14:textId="3D43378F" w:rsidR="00CB7D79" w:rsidRPr="00C145D3" w:rsidRDefault="00587408" w:rsidP="00A961B4">
            <w:pPr>
              <w:spacing w:after="60"/>
              <w:rPr>
                <w:szCs w:val="22"/>
              </w:rPr>
            </w:pPr>
            <w:r w:rsidRPr="00C145D3">
              <w:rPr>
                <w:rFonts w:cs="Arial"/>
                <w:szCs w:val="22"/>
              </w:rPr>
              <w:t xml:space="preserve">An employee </w:t>
            </w:r>
            <w:r w:rsidR="00A046B1">
              <w:rPr>
                <w:rFonts w:cs="Arial"/>
                <w:szCs w:val="22"/>
              </w:rPr>
              <w:t>may</w:t>
            </w:r>
            <w:r w:rsidR="00A046B1" w:rsidRPr="008459B0">
              <w:rPr>
                <w:szCs w:val="22"/>
              </w:rPr>
              <w:t xml:space="preserve"> </w:t>
            </w:r>
            <w:r w:rsidR="00A046B1">
              <w:rPr>
                <w:szCs w:val="22"/>
              </w:rPr>
              <w:t>submit</w:t>
            </w:r>
            <w:r w:rsidR="00A046B1" w:rsidRPr="008459B0">
              <w:rPr>
                <w:szCs w:val="22"/>
              </w:rPr>
              <w:t xml:space="preserve"> a </w:t>
            </w:r>
            <w:r w:rsidR="00A046B1">
              <w:rPr>
                <w:szCs w:val="22"/>
              </w:rPr>
              <w:t>formal</w:t>
            </w:r>
            <w:r w:rsidR="00A046B1" w:rsidRPr="008459B0">
              <w:rPr>
                <w:szCs w:val="22"/>
              </w:rPr>
              <w:t xml:space="preserve"> appeal</w:t>
            </w:r>
            <w:r w:rsidR="00754A5C">
              <w:rPr>
                <w:szCs w:val="22"/>
              </w:rPr>
              <w:t xml:space="preserve"> </w:t>
            </w:r>
            <w:r w:rsidR="00C854D7">
              <w:rPr>
                <w:szCs w:val="22"/>
              </w:rPr>
              <w:t xml:space="preserve">against any decision made by the </w:t>
            </w:r>
            <w:r w:rsidR="00FA541B">
              <w:rPr>
                <w:szCs w:val="22"/>
              </w:rPr>
              <w:t>Formal Capability Hearing</w:t>
            </w:r>
            <w:r w:rsidR="00C854D7">
              <w:rPr>
                <w:szCs w:val="22"/>
              </w:rPr>
              <w:t xml:space="preserve">, </w:t>
            </w:r>
            <w:r w:rsidR="00A046B1">
              <w:rPr>
                <w:szCs w:val="22"/>
              </w:rPr>
              <w:t>by the given deadline</w:t>
            </w:r>
            <w:r w:rsidR="00A046B1" w:rsidRPr="008459B0">
              <w:rPr>
                <w:szCs w:val="22"/>
              </w:rPr>
              <w:t xml:space="preserve"> stating the grounds </w:t>
            </w:r>
            <w:r w:rsidR="00A046B1" w:rsidRPr="006C595C">
              <w:rPr>
                <w:rFonts w:cs="Arial"/>
                <w:spacing w:val="-3"/>
                <w:szCs w:val="22"/>
              </w:rPr>
              <w:t>on which the appeal is made</w:t>
            </w:r>
            <w:r w:rsidR="00C854D7">
              <w:rPr>
                <w:rFonts w:cs="Arial"/>
                <w:spacing w:val="-3"/>
                <w:szCs w:val="22"/>
              </w:rPr>
              <w:t>.</w:t>
            </w:r>
          </w:p>
        </w:tc>
      </w:tr>
      <w:tr w:rsidR="00296B7A" w:rsidRPr="003B4BF9" w14:paraId="25F35152" w14:textId="77777777" w:rsidTr="00296B7A">
        <w:trPr>
          <w:trHeight w:val="283"/>
        </w:trPr>
        <w:tc>
          <w:tcPr>
            <w:tcW w:w="948" w:type="dxa"/>
          </w:tcPr>
          <w:p w14:paraId="44556F4F" w14:textId="77777777" w:rsidR="00296B7A" w:rsidRPr="003B4BF9" w:rsidRDefault="00296B7A" w:rsidP="00A95416">
            <w:pPr>
              <w:spacing w:after="60"/>
              <w:rPr>
                <w:sz w:val="12"/>
                <w:szCs w:val="12"/>
              </w:rPr>
            </w:pPr>
          </w:p>
        </w:tc>
        <w:tc>
          <w:tcPr>
            <w:tcW w:w="8691" w:type="dxa"/>
          </w:tcPr>
          <w:p w14:paraId="1C9BF42E" w14:textId="77777777" w:rsidR="00296B7A" w:rsidRPr="003B4BF9" w:rsidRDefault="00296B7A" w:rsidP="00A95416">
            <w:pPr>
              <w:spacing w:after="60"/>
              <w:rPr>
                <w:sz w:val="12"/>
                <w:szCs w:val="12"/>
              </w:rPr>
            </w:pPr>
          </w:p>
        </w:tc>
      </w:tr>
      <w:tr w:rsidR="00A961B4" w:rsidRPr="00C145D3" w14:paraId="405C3310" w14:textId="77777777" w:rsidTr="00296B7A">
        <w:trPr>
          <w:trHeight w:val="283"/>
        </w:trPr>
        <w:tc>
          <w:tcPr>
            <w:tcW w:w="948" w:type="dxa"/>
          </w:tcPr>
          <w:p w14:paraId="67AB39F8" w14:textId="30C572E1" w:rsidR="00A961B4" w:rsidRDefault="00A961B4" w:rsidP="00281DD9">
            <w:pPr>
              <w:spacing w:after="60"/>
              <w:rPr>
                <w:szCs w:val="22"/>
              </w:rPr>
            </w:pPr>
            <w:r>
              <w:rPr>
                <w:szCs w:val="22"/>
              </w:rPr>
              <w:t>8.2</w:t>
            </w:r>
          </w:p>
        </w:tc>
        <w:tc>
          <w:tcPr>
            <w:tcW w:w="8691" w:type="dxa"/>
          </w:tcPr>
          <w:p w14:paraId="7966AD19" w14:textId="6D309867" w:rsidR="00A961B4" w:rsidRDefault="00A961B4" w:rsidP="00A961B4">
            <w:pPr>
              <w:pStyle w:val="NormalWeb"/>
              <w:shd w:val="clear" w:color="auto" w:fill="FFFFFF"/>
              <w:spacing w:before="0" w:beforeAutospacing="0" w:after="0" w:afterAutospacing="0"/>
              <w:jc w:val="both"/>
              <w:rPr>
                <w:rFonts w:ascii="Arial" w:hAnsi="Arial" w:cs="Arial"/>
                <w:color w:val="000000" w:themeColor="text1"/>
                <w:sz w:val="22"/>
                <w:szCs w:val="22"/>
              </w:rPr>
            </w:pPr>
            <w:r w:rsidRPr="004952E3">
              <w:rPr>
                <w:rFonts w:ascii="Arial" w:hAnsi="Arial" w:cs="Arial"/>
                <w:color w:val="000000" w:themeColor="text1"/>
                <w:sz w:val="22"/>
                <w:szCs w:val="22"/>
              </w:rPr>
              <w:t>An appeal must be based on the following grounds:</w:t>
            </w:r>
          </w:p>
          <w:p w14:paraId="7C539D0D" w14:textId="77777777" w:rsidR="00A961B4" w:rsidRPr="004952E3" w:rsidRDefault="00A961B4" w:rsidP="00A961B4">
            <w:pPr>
              <w:pStyle w:val="NormalWeb"/>
              <w:shd w:val="clear" w:color="auto" w:fill="FFFFFF"/>
              <w:spacing w:before="0" w:beforeAutospacing="0" w:after="0" w:afterAutospacing="0"/>
              <w:jc w:val="both"/>
              <w:rPr>
                <w:rFonts w:ascii="Arial" w:hAnsi="Arial" w:cs="Arial"/>
                <w:color w:val="000000" w:themeColor="text1"/>
                <w:sz w:val="22"/>
                <w:szCs w:val="22"/>
              </w:rPr>
            </w:pPr>
          </w:p>
          <w:p w14:paraId="2EDBC689" w14:textId="78D8BF80" w:rsidR="000D3663" w:rsidRPr="004C0849" w:rsidRDefault="00A961B4" w:rsidP="000D3663">
            <w:pPr>
              <w:rPr>
                <w:rFonts w:cs="Arial"/>
                <w:color w:val="000000" w:themeColor="text1"/>
                <w:szCs w:val="22"/>
              </w:rPr>
            </w:pPr>
            <w:r w:rsidRPr="004952E3">
              <w:rPr>
                <w:rFonts w:cs="Arial"/>
                <w:color w:val="000000" w:themeColor="text1"/>
                <w:szCs w:val="22"/>
              </w:rPr>
              <w:t>(a) substantive – new evidence has come to ligh</w:t>
            </w:r>
            <w:r>
              <w:rPr>
                <w:rFonts w:cs="Arial"/>
                <w:color w:val="000000" w:themeColor="text1"/>
                <w:szCs w:val="22"/>
              </w:rPr>
              <w:t>t</w:t>
            </w:r>
            <w:r>
              <w:rPr>
                <w:rFonts w:cs="Arial"/>
                <w:color w:val="000000" w:themeColor="text1"/>
                <w:szCs w:val="22"/>
              </w:rPr>
              <w:br/>
              <w:t xml:space="preserve">(b) procedural – the capability policy was applied unfairly or </w:t>
            </w:r>
            <w:r w:rsidRPr="004952E3">
              <w:rPr>
                <w:rFonts w:cs="Arial"/>
                <w:color w:val="000000" w:themeColor="text1"/>
                <w:szCs w:val="22"/>
              </w:rPr>
              <w:t>not followed correctly</w:t>
            </w:r>
            <w:r w:rsidRPr="004952E3">
              <w:rPr>
                <w:rFonts w:cs="Arial"/>
                <w:color w:val="000000" w:themeColor="text1"/>
                <w:szCs w:val="22"/>
              </w:rPr>
              <w:br/>
              <w:t>(c</w:t>
            </w:r>
            <w:r>
              <w:rPr>
                <w:rFonts w:cs="Arial"/>
                <w:color w:val="000000" w:themeColor="text1"/>
                <w:szCs w:val="22"/>
              </w:rPr>
              <w:t>) inaccurate – the capability</w:t>
            </w:r>
            <w:r w:rsidRPr="004952E3">
              <w:rPr>
                <w:rFonts w:cs="Arial"/>
                <w:color w:val="000000" w:themeColor="text1"/>
                <w:szCs w:val="22"/>
              </w:rPr>
              <w:t xml:space="preserve"> report misinterprets the information provided</w:t>
            </w:r>
            <w:r w:rsidRPr="004952E3">
              <w:rPr>
                <w:rFonts w:cs="Arial"/>
                <w:color w:val="000000" w:themeColor="text1"/>
                <w:szCs w:val="22"/>
              </w:rPr>
              <w:br/>
              <w:t xml:space="preserve">(d) inconsistent – the decision does not follow </w:t>
            </w:r>
            <w:r>
              <w:rPr>
                <w:rFonts w:cs="Arial"/>
                <w:color w:val="000000" w:themeColor="text1"/>
                <w:szCs w:val="22"/>
              </w:rPr>
              <w:t>logically from the capability report</w:t>
            </w:r>
            <w:r w:rsidRPr="004952E3">
              <w:rPr>
                <w:rFonts w:cs="Arial"/>
                <w:color w:val="000000" w:themeColor="text1"/>
                <w:szCs w:val="22"/>
              </w:rPr>
              <w:br/>
              <w:t>(e) incommensurate - the outcome of the decision is inappropriate</w:t>
            </w:r>
            <w:r>
              <w:rPr>
                <w:rFonts w:cs="Arial"/>
                <w:color w:val="000000" w:themeColor="text1"/>
                <w:szCs w:val="22"/>
              </w:rPr>
              <w:t>, based on the    information available</w:t>
            </w:r>
            <w:r w:rsidRPr="004952E3">
              <w:rPr>
                <w:rFonts w:cs="Arial"/>
                <w:color w:val="000000" w:themeColor="text1"/>
                <w:szCs w:val="22"/>
              </w:rPr>
              <w:t>.</w:t>
            </w:r>
          </w:p>
        </w:tc>
      </w:tr>
      <w:tr w:rsidR="00A961B4" w:rsidRPr="00C145D3" w14:paraId="281E4102" w14:textId="77777777" w:rsidTr="00296B7A">
        <w:trPr>
          <w:trHeight w:val="283"/>
        </w:trPr>
        <w:tc>
          <w:tcPr>
            <w:tcW w:w="948" w:type="dxa"/>
          </w:tcPr>
          <w:p w14:paraId="2204620C" w14:textId="77777777" w:rsidR="00A961B4" w:rsidRDefault="00A961B4" w:rsidP="00281DD9">
            <w:pPr>
              <w:spacing w:after="60"/>
              <w:rPr>
                <w:szCs w:val="22"/>
              </w:rPr>
            </w:pPr>
          </w:p>
        </w:tc>
        <w:tc>
          <w:tcPr>
            <w:tcW w:w="8691" w:type="dxa"/>
          </w:tcPr>
          <w:p w14:paraId="1D322766" w14:textId="77777777" w:rsidR="00A961B4" w:rsidRPr="00C145D3" w:rsidRDefault="00A961B4" w:rsidP="00281DD9">
            <w:pPr>
              <w:spacing w:after="60"/>
              <w:rPr>
                <w:rFonts w:cs="Arial"/>
                <w:szCs w:val="22"/>
              </w:rPr>
            </w:pPr>
          </w:p>
        </w:tc>
      </w:tr>
      <w:tr w:rsidR="004C0849" w:rsidRPr="00C145D3" w14:paraId="5CC6AF99" w14:textId="77777777" w:rsidTr="00296B7A">
        <w:trPr>
          <w:trHeight w:val="283"/>
        </w:trPr>
        <w:tc>
          <w:tcPr>
            <w:tcW w:w="948" w:type="dxa"/>
          </w:tcPr>
          <w:p w14:paraId="64AFE49B" w14:textId="0E9C7433" w:rsidR="004C0849" w:rsidRPr="00052D21" w:rsidRDefault="004C0849" w:rsidP="00281DD9">
            <w:pPr>
              <w:spacing w:after="60"/>
              <w:rPr>
                <w:szCs w:val="22"/>
              </w:rPr>
            </w:pPr>
            <w:r w:rsidRPr="00052D21">
              <w:rPr>
                <w:szCs w:val="22"/>
              </w:rPr>
              <w:t>8.3</w:t>
            </w:r>
          </w:p>
        </w:tc>
        <w:tc>
          <w:tcPr>
            <w:tcW w:w="8691" w:type="dxa"/>
          </w:tcPr>
          <w:p w14:paraId="4AE20AD7" w14:textId="17FEB559" w:rsidR="004C0849" w:rsidRPr="00C145D3" w:rsidRDefault="004C0849" w:rsidP="00281DD9">
            <w:pPr>
              <w:spacing w:after="60"/>
              <w:rPr>
                <w:rFonts w:cs="Arial"/>
                <w:szCs w:val="22"/>
              </w:rPr>
            </w:pPr>
            <w:r w:rsidRPr="00052D21">
              <w:rPr>
                <w:rFonts w:cs="Arial"/>
                <w:color w:val="000000" w:themeColor="text1"/>
                <w:szCs w:val="22"/>
              </w:rPr>
              <w:t>Any appeal must give the specific grounds as to the reasons for the appeal. It is not sufficient to simply state the reasons given in 8.2 without expanding on these points. Appeals must be submitted in writing, by the date stated in the outcome letter.</w:t>
            </w:r>
          </w:p>
        </w:tc>
      </w:tr>
      <w:tr w:rsidR="004C0849" w:rsidRPr="00C145D3" w14:paraId="7F42CF44" w14:textId="77777777" w:rsidTr="00296B7A">
        <w:trPr>
          <w:trHeight w:val="283"/>
        </w:trPr>
        <w:tc>
          <w:tcPr>
            <w:tcW w:w="948" w:type="dxa"/>
          </w:tcPr>
          <w:p w14:paraId="625BEAC7" w14:textId="77777777" w:rsidR="004C0849" w:rsidRDefault="004C0849" w:rsidP="00281DD9">
            <w:pPr>
              <w:spacing w:after="60"/>
              <w:rPr>
                <w:szCs w:val="22"/>
              </w:rPr>
            </w:pPr>
          </w:p>
        </w:tc>
        <w:tc>
          <w:tcPr>
            <w:tcW w:w="8691" w:type="dxa"/>
          </w:tcPr>
          <w:p w14:paraId="7B4ACA60" w14:textId="77777777" w:rsidR="004C0849" w:rsidRPr="00C145D3" w:rsidRDefault="004C0849" w:rsidP="00281DD9">
            <w:pPr>
              <w:spacing w:after="60"/>
              <w:rPr>
                <w:rFonts w:cs="Arial"/>
                <w:szCs w:val="22"/>
              </w:rPr>
            </w:pPr>
          </w:p>
        </w:tc>
      </w:tr>
      <w:tr w:rsidR="00D01C67" w:rsidRPr="00C145D3" w14:paraId="189341B9" w14:textId="77777777" w:rsidTr="00296B7A">
        <w:trPr>
          <w:trHeight w:val="283"/>
        </w:trPr>
        <w:tc>
          <w:tcPr>
            <w:tcW w:w="948" w:type="dxa"/>
          </w:tcPr>
          <w:p w14:paraId="02836AA5" w14:textId="08EA8657" w:rsidR="00D01C67" w:rsidRPr="00C145D3" w:rsidRDefault="000672C8" w:rsidP="00281DD9">
            <w:pPr>
              <w:spacing w:after="60"/>
              <w:rPr>
                <w:szCs w:val="22"/>
              </w:rPr>
            </w:pPr>
            <w:r>
              <w:rPr>
                <w:szCs w:val="22"/>
              </w:rPr>
              <w:t>8</w:t>
            </w:r>
            <w:r w:rsidR="00D01C67" w:rsidRPr="00C145D3">
              <w:rPr>
                <w:szCs w:val="22"/>
              </w:rPr>
              <w:t>.</w:t>
            </w:r>
            <w:r w:rsidR="004C0849">
              <w:rPr>
                <w:szCs w:val="22"/>
              </w:rPr>
              <w:t>4</w:t>
            </w:r>
          </w:p>
        </w:tc>
        <w:tc>
          <w:tcPr>
            <w:tcW w:w="8691" w:type="dxa"/>
          </w:tcPr>
          <w:p w14:paraId="069EE3BB" w14:textId="77777777" w:rsidR="00D01C67" w:rsidRPr="00C145D3" w:rsidRDefault="00D05DC3" w:rsidP="00281DD9">
            <w:pPr>
              <w:spacing w:after="60"/>
              <w:rPr>
                <w:szCs w:val="22"/>
              </w:rPr>
            </w:pPr>
            <w:r w:rsidRPr="00C145D3">
              <w:rPr>
                <w:rFonts w:cs="Arial"/>
                <w:szCs w:val="22"/>
              </w:rPr>
              <w:t xml:space="preserve">The appeal will be heard by a Panel </w:t>
            </w:r>
            <w:r w:rsidR="008B33CC">
              <w:rPr>
                <w:rFonts w:cs="Arial"/>
                <w:szCs w:val="22"/>
              </w:rPr>
              <w:t>which will not</w:t>
            </w:r>
            <w:r w:rsidRPr="00C145D3">
              <w:rPr>
                <w:rFonts w:cs="Arial"/>
                <w:szCs w:val="22"/>
              </w:rPr>
              <w:t xml:space="preserve"> include any member</w:t>
            </w:r>
            <w:r w:rsidR="008B33CC">
              <w:rPr>
                <w:rFonts w:cs="Arial"/>
                <w:szCs w:val="22"/>
              </w:rPr>
              <w:t>s</w:t>
            </w:r>
            <w:r w:rsidRPr="00C145D3">
              <w:rPr>
                <w:rFonts w:cs="Arial"/>
                <w:szCs w:val="22"/>
              </w:rPr>
              <w:t xml:space="preserve"> who w</w:t>
            </w:r>
            <w:r w:rsidR="008B33CC">
              <w:rPr>
                <w:rFonts w:cs="Arial"/>
                <w:szCs w:val="22"/>
              </w:rPr>
              <w:t xml:space="preserve">ere </w:t>
            </w:r>
            <w:r w:rsidRPr="00C145D3">
              <w:rPr>
                <w:rFonts w:cs="Arial"/>
                <w:szCs w:val="22"/>
              </w:rPr>
              <w:t>involved in the proceedings prior to the appeal.</w:t>
            </w:r>
          </w:p>
        </w:tc>
      </w:tr>
      <w:tr w:rsidR="00A961B4" w:rsidRPr="00E246D7" w14:paraId="403C002D" w14:textId="77777777" w:rsidTr="00296B7A">
        <w:trPr>
          <w:trHeight w:val="283"/>
        </w:trPr>
        <w:tc>
          <w:tcPr>
            <w:tcW w:w="948" w:type="dxa"/>
          </w:tcPr>
          <w:p w14:paraId="54A73E62" w14:textId="77777777" w:rsidR="00A961B4" w:rsidRDefault="00A961B4" w:rsidP="00281DD9">
            <w:pPr>
              <w:spacing w:after="60"/>
              <w:rPr>
                <w:szCs w:val="22"/>
              </w:rPr>
            </w:pPr>
          </w:p>
        </w:tc>
        <w:tc>
          <w:tcPr>
            <w:tcW w:w="8691" w:type="dxa"/>
          </w:tcPr>
          <w:p w14:paraId="2F112818" w14:textId="77777777" w:rsidR="00A961B4" w:rsidRPr="00C145D3" w:rsidRDefault="00A961B4" w:rsidP="00F42E51">
            <w:pPr>
              <w:spacing w:after="120"/>
              <w:rPr>
                <w:rFonts w:cs="Arial"/>
                <w:szCs w:val="22"/>
              </w:rPr>
            </w:pPr>
          </w:p>
        </w:tc>
      </w:tr>
      <w:tr w:rsidR="006C3768" w:rsidRPr="00E246D7" w14:paraId="5491DCE9" w14:textId="77777777" w:rsidTr="00296B7A">
        <w:trPr>
          <w:trHeight w:val="283"/>
        </w:trPr>
        <w:tc>
          <w:tcPr>
            <w:tcW w:w="948" w:type="dxa"/>
          </w:tcPr>
          <w:p w14:paraId="2F9D6B2F" w14:textId="202A004F" w:rsidR="006C3768" w:rsidRPr="00E246D7" w:rsidRDefault="000672C8" w:rsidP="00A961B4">
            <w:pPr>
              <w:rPr>
                <w:szCs w:val="22"/>
              </w:rPr>
            </w:pPr>
            <w:r>
              <w:rPr>
                <w:szCs w:val="22"/>
              </w:rPr>
              <w:t>8</w:t>
            </w:r>
            <w:r w:rsidR="006C3768">
              <w:rPr>
                <w:szCs w:val="22"/>
              </w:rPr>
              <w:t>.</w:t>
            </w:r>
            <w:r w:rsidR="004C0849">
              <w:rPr>
                <w:szCs w:val="22"/>
              </w:rPr>
              <w:t>5</w:t>
            </w:r>
          </w:p>
        </w:tc>
        <w:tc>
          <w:tcPr>
            <w:tcW w:w="8691" w:type="dxa"/>
          </w:tcPr>
          <w:p w14:paraId="5B2EF312" w14:textId="1C360480" w:rsidR="006C3768" w:rsidRDefault="006C3768" w:rsidP="00A961B4">
            <w:pPr>
              <w:rPr>
                <w:szCs w:val="22"/>
              </w:rPr>
            </w:pPr>
            <w:r w:rsidRPr="00C145D3">
              <w:rPr>
                <w:rFonts w:cs="Arial"/>
                <w:szCs w:val="22"/>
              </w:rPr>
              <w:t xml:space="preserve">The following options will be available from which the Panel </w:t>
            </w:r>
            <w:r>
              <w:rPr>
                <w:rFonts w:cs="Arial"/>
                <w:szCs w:val="22"/>
              </w:rPr>
              <w:t>can</w:t>
            </w:r>
            <w:r w:rsidRPr="00C145D3">
              <w:rPr>
                <w:rFonts w:cs="Arial"/>
                <w:szCs w:val="22"/>
              </w:rPr>
              <w:t xml:space="preserve"> make a decision</w:t>
            </w:r>
            <w:r>
              <w:rPr>
                <w:szCs w:val="22"/>
              </w:rPr>
              <w:t>:</w:t>
            </w:r>
          </w:p>
          <w:p w14:paraId="5F576D21" w14:textId="77777777" w:rsidR="00A961B4" w:rsidRDefault="00A961B4" w:rsidP="00A961B4">
            <w:pPr>
              <w:rPr>
                <w:szCs w:val="22"/>
              </w:rPr>
            </w:pPr>
          </w:p>
          <w:p w14:paraId="41B8AB81" w14:textId="77777777" w:rsidR="00CB7FD7" w:rsidRPr="005D34EF" w:rsidRDefault="00CB7FD7" w:rsidP="00CB7FD7">
            <w:pPr>
              <w:pStyle w:val="ListParagraph"/>
              <w:numPr>
                <w:ilvl w:val="0"/>
                <w:numId w:val="2"/>
              </w:numPr>
              <w:rPr>
                <w:rFonts w:cs="Arial"/>
                <w:lang w:val="en-AU"/>
              </w:rPr>
            </w:pPr>
            <w:r>
              <w:rPr>
                <w:rFonts w:cs="Arial"/>
                <w:lang w:val="en-AU"/>
              </w:rPr>
              <w:t>Uphold (agree with) the grounds of appeal.</w:t>
            </w:r>
          </w:p>
          <w:p w14:paraId="649851F9" w14:textId="77777777" w:rsidR="00CB7FD7" w:rsidRPr="005D34EF" w:rsidRDefault="00CB7FD7" w:rsidP="00CB7FD7">
            <w:pPr>
              <w:pStyle w:val="ListParagraph"/>
              <w:numPr>
                <w:ilvl w:val="0"/>
                <w:numId w:val="2"/>
              </w:numPr>
              <w:rPr>
                <w:rFonts w:cs="Arial"/>
                <w:lang w:val="en-AU"/>
              </w:rPr>
            </w:pPr>
            <w:r>
              <w:rPr>
                <w:rFonts w:cs="Arial"/>
                <w:lang w:val="en-AU"/>
              </w:rPr>
              <w:t>Not uphold (reject) the grounds of appeal.</w:t>
            </w:r>
          </w:p>
          <w:p w14:paraId="4525C20A" w14:textId="3DE35A97" w:rsidR="002D2224" w:rsidRPr="00A961B4" w:rsidRDefault="002D2224" w:rsidP="00CB7FD7">
            <w:pPr>
              <w:pStyle w:val="ListParagraph"/>
              <w:numPr>
                <w:ilvl w:val="0"/>
                <w:numId w:val="2"/>
              </w:numPr>
              <w:rPr>
                <w:szCs w:val="22"/>
              </w:rPr>
            </w:pPr>
            <w:r>
              <w:rPr>
                <w:rFonts w:cs="Arial"/>
                <w:lang w:val="en-AU"/>
              </w:rPr>
              <w:t>Direct a further capability hearing to be held to</w:t>
            </w:r>
            <w:r w:rsidRPr="0004470F">
              <w:rPr>
                <w:rFonts w:cs="Arial"/>
                <w:lang w:val="en-AU"/>
              </w:rPr>
              <w:t xml:space="preserve"> </w:t>
            </w:r>
            <w:r>
              <w:rPr>
                <w:rFonts w:cs="Arial"/>
                <w:lang w:val="en-AU"/>
              </w:rPr>
              <w:t>rehear the whole or part of the case.</w:t>
            </w:r>
          </w:p>
        </w:tc>
      </w:tr>
      <w:tr w:rsidR="00296B7A" w:rsidRPr="003B4BF9" w14:paraId="40D8DBA0" w14:textId="77777777" w:rsidTr="00296B7A">
        <w:trPr>
          <w:trHeight w:val="283"/>
        </w:trPr>
        <w:tc>
          <w:tcPr>
            <w:tcW w:w="948" w:type="dxa"/>
          </w:tcPr>
          <w:p w14:paraId="103EA473" w14:textId="77777777" w:rsidR="00296B7A" w:rsidRPr="003B4BF9" w:rsidRDefault="00296B7A" w:rsidP="00A95416">
            <w:pPr>
              <w:spacing w:after="60"/>
              <w:rPr>
                <w:sz w:val="12"/>
                <w:szCs w:val="12"/>
              </w:rPr>
            </w:pPr>
          </w:p>
        </w:tc>
        <w:tc>
          <w:tcPr>
            <w:tcW w:w="8691" w:type="dxa"/>
          </w:tcPr>
          <w:p w14:paraId="4E3776E4" w14:textId="77777777" w:rsidR="00296B7A" w:rsidRPr="003B4BF9" w:rsidRDefault="00296B7A" w:rsidP="00A95416">
            <w:pPr>
              <w:spacing w:after="60"/>
              <w:rPr>
                <w:sz w:val="12"/>
                <w:szCs w:val="12"/>
              </w:rPr>
            </w:pPr>
          </w:p>
        </w:tc>
      </w:tr>
      <w:tr w:rsidR="009839B8" w:rsidRPr="00F42E51" w14:paraId="2C6ACDE2" w14:textId="77777777" w:rsidTr="00296B7A">
        <w:trPr>
          <w:trHeight w:val="283"/>
        </w:trPr>
        <w:tc>
          <w:tcPr>
            <w:tcW w:w="948" w:type="dxa"/>
          </w:tcPr>
          <w:p w14:paraId="5A6E57F3" w14:textId="5FBC8F7B" w:rsidR="009839B8" w:rsidRPr="00F42E51" w:rsidRDefault="000672C8" w:rsidP="00281DD9">
            <w:pPr>
              <w:spacing w:after="60"/>
              <w:rPr>
                <w:szCs w:val="22"/>
              </w:rPr>
            </w:pPr>
            <w:r w:rsidRPr="00F42E51">
              <w:rPr>
                <w:szCs w:val="22"/>
              </w:rPr>
              <w:t>8</w:t>
            </w:r>
            <w:r w:rsidR="009839B8" w:rsidRPr="00F42E51">
              <w:rPr>
                <w:szCs w:val="22"/>
              </w:rPr>
              <w:t>.</w:t>
            </w:r>
            <w:r w:rsidR="004C0849">
              <w:rPr>
                <w:szCs w:val="22"/>
              </w:rPr>
              <w:t>6</w:t>
            </w:r>
          </w:p>
        </w:tc>
        <w:tc>
          <w:tcPr>
            <w:tcW w:w="8691" w:type="dxa"/>
          </w:tcPr>
          <w:p w14:paraId="5630E26A" w14:textId="77777777" w:rsidR="009839B8" w:rsidRPr="00F42E51" w:rsidRDefault="009839B8" w:rsidP="00281DD9">
            <w:pPr>
              <w:spacing w:after="60"/>
              <w:rPr>
                <w:szCs w:val="22"/>
              </w:rPr>
            </w:pPr>
            <w:r w:rsidRPr="00F42E51">
              <w:rPr>
                <w:rFonts w:cs="Arial"/>
                <w:szCs w:val="22"/>
              </w:rPr>
              <w:t xml:space="preserve">The Chair of the Appeal Panel will formally notify the employee of the outcome and the reasons for it. </w:t>
            </w:r>
          </w:p>
        </w:tc>
      </w:tr>
      <w:tr w:rsidR="00A961B4" w:rsidRPr="00F42E51" w14:paraId="0B28BD22" w14:textId="77777777" w:rsidTr="00296B7A">
        <w:trPr>
          <w:trHeight w:val="283"/>
        </w:trPr>
        <w:tc>
          <w:tcPr>
            <w:tcW w:w="948" w:type="dxa"/>
          </w:tcPr>
          <w:p w14:paraId="742766D6" w14:textId="77777777" w:rsidR="00A961B4" w:rsidRPr="00F42E51" w:rsidRDefault="00A961B4" w:rsidP="00281DD9">
            <w:pPr>
              <w:spacing w:after="60"/>
              <w:rPr>
                <w:szCs w:val="22"/>
              </w:rPr>
            </w:pPr>
          </w:p>
        </w:tc>
        <w:tc>
          <w:tcPr>
            <w:tcW w:w="8691" w:type="dxa"/>
          </w:tcPr>
          <w:p w14:paraId="26A10AD1" w14:textId="77777777" w:rsidR="00A961B4" w:rsidRPr="00F42E51" w:rsidRDefault="00A961B4" w:rsidP="00281DD9">
            <w:pPr>
              <w:spacing w:after="60"/>
              <w:rPr>
                <w:rFonts w:cs="Arial"/>
                <w:szCs w:val="22"/>
              </w:rPr>
            </w:pPr>
          </w:p>
        </w:tc>
      </w:tr>
      <w:tr w:rsidR="00D01C67" w:rsidRPr="00C145D3" w14:paraId="447E757C" w14:textId="77777777" w:rsidTr="00296B7A">
        <w:trPr>
          <w:trHeight w:val="283"/>
        </w:trPr>
        <w:tc>
          <w:tcPr>
            <w:tcW w:w="948" w:type="dxa"/>
          </w:tcPr>
          <w:p w14:paraId="426C0BA9" w14:textId="4D0A5B83" w:rsidR="00D01C67" w:rsidRPr="00C145D3" w:rsidRDefault="000672C8" w:rsidP="00281DD9">
            <w:pPr>
              <w:spacing w:after="60"/>
              <w:rPr>
                <w:szCs w:val="22"/>
              </w:rPr>
            </w:pPr>
            <w:r>
              <w:rPr>
                <w:szCs w:val="22"/>
              </w:rPr>
              <w:t>8</w:t>
            </w:r>
            <w:r w:rsidR="00D01C67" w:rsidRPr="00C145D3">
              <w:rPr>
                <w:szCs w:val="22"/>
              </w:rPr>
              <w:t>.</w:t>
            </w:r>
            <w:r w:rsidR="004C0849">
              <w:rPr>
                <w:szCs w:val="22"/>
              </w:rPr>
              <w:t>7</w:t>
            </w:r>
          </w:p>
        </w:tc>
        <w:tc>
          <w:tcPr>
            <w:tcW w:w="8691" w:type="dxa"/>
          </w:tcPr>
          <w:p w14:paraId="460838F9" w14:textId="77777777" w:rsidR="00D01C67" w:rsidRPr="00C145D3" w:rsidRDefault="00D05DC3" w:rsidP="00281DD9">
            <w:pPr>
              <w:spacing w:after="60"/>
              <w:rPr>
                <w:szCs w:val="22"/>
              </w:rPr>
            </w:pPr>
            <w:r w:rsidRPr="00C145D3">
              <w:rPr>
                <w:rFonts w:cs="Arial"/>
                <w:szCs w:val="22"/>
              </w:rPr>
              <w:t xml:space="preserve">The decision of </w:t>
            </w:r>
            <w:r w:rsidR="006C3768">
              <w:rPr>
                <w:rFonts w:cs="Arial"/>
                <w:szCs w:val="22"/>
              </w:rPr>
              <w:t xml:space="preserve">the </w:t>
            </w:r>
            <w:r w:rsidRPr="00C145D3">
              <w:rPr>
                <w:rFonts w:cs="Arial"/>
                <w:szCs w:val="22"/>
              </w:rPr>
              <w:t>A</w:t>
            </w:r>
            <w:r w:rsidR="00587408" w:rsidRPr="00C145D3">
              <w:rPr>
                <w:rFonts w:cs="Arial"/>
                <w:szCs w:val="22"/>
              </w:rPr>
              <w:t xml:space="preserve">ppeal </w:t>
            </w:r>
            <w:r w:rsidRPr="00C145D3">
              <w:rPr>
                <w:rFonts w:cs="Arial"/>
                <w:szCs w:val="22"/>
              </w:rPr>
              <w:t>P</w:t>
            </w:r>
            <w:r w:rsidR="00587408" w:rsidRPr="00C145D3">
              <w:rPr>
                <w:rFonts w:cs="Arial"/>
                <w:szCs w:val="22"/>
              </w:rPr>
              <w:t>anel is final</w:t>
            </w:r>
            <w:r w:rsidR="00281DD9">
              <w:rPr>
                <w:rFonts w:cs="Arial"/>
                <w:szCs w:val="22"/>
              </w:rPr>
              <w:t>.</w:t>
            </w:r>
          </w:p>
        </w:tc>
      </w:tr>
    </w:tbl>
    <w:p w14:paraId="426DE565" w14:textId="77777777" w:rsidR="000614AC" w:rsidRDefault="000614AC" w:rsidP="003C67CC"/>
    <w:sectPr w:rsidR="000614AC" w:rsidSect="00433896">
      <w:headerReference w:type="default" r:id="rId7"/>
      <w:footerReference w:type="default" r:id="rId8"/>
      <w:pgSz w:w="11907" w:h="16840" w:code="9"/>
      <w:pgMar w:top="1134" w:right="1134" w:bottom="1134" w:left="1134" w:header="567" w:footer="567" w:gutter="0"/>
      <w:paperSrc w:first="1"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C54AC" w14:textId="77777777" w:rsidR="005E5C1C" w:rsidRDefault="005E5C1C">
      <w:r>
        <w:separator/>
      </w:r>
    </w:p>
  </w:endnote>
  <w:endnote w:type="continuationSeparator" w:id="0">
    <w:p w14:paraId="401AC6C4" w14:textId="77777777" w:rsidR="005E5C1C" w:rsidRDefault="005E5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03379" w14:textId="13BD52D3" w:rsidR="009D0524" w:rsidRDefault="009D0524">
    <w:pPr>
      <w:pStyle w:val="Footer"/>
      <w:jc w:val="center"/>
      <w:rPr>
        <w:rStyle w:val="PageNumber"/>
        <w:sz w:val="16"/>
      </w:rPr>
    </w:pPr>
    <w:r>
      <w:rPr>
        <w:sz w:val="16"/>
      </w:rPr>
      <w:t xml:space="preserve">Page </w:t>
    </w:r>
    <w:r w:rsidR="000F27F4">
      <w:rPr>
        <w:rStyle w:val="PageNumber"/>
        <w:sz w:val="16"/>
      </w:rPr>
      <w:fldChar w:fldCharType="begin"/>
    </w:r>
    <w:r>
      <w:rPr>
        <w:rStyle w:val="PageNumber"/>
        <w:sz w:val="16"/>
      </w:rPr>
      <w:instrText xml:space="preserve"> PAGE </w:instrText>
    </w:r>
    <w:r w:rsidR="000F27F4">
      <w:rPr>
        <w:rStyle w:val="PageNumber"/>
        <w:sz w:val="16"/>
      </w:rPr>
      <w:fldChar w:fldCharType="separate"/>
    </w:r>
    <w:r w:rsidR="003F1E6C">
      <w:rPr>
        <w:rStyle w:val="PageNumber"/>
        <w:noProof/>
        <w:sz w:val="16"/>
      </w:rPr>
      <w:t>6</w:t>
    </w:r>
    <w:r w:rsidR="000F27F4">
      <w:rPr>
        <w:rStyle w:val="PageNumber"/>
        <w:sz w:val="16"/>
      </w:rPr>
      <w:fldChar w:fldCharType="end"/>
    </w:r>
    <w:r>
      <w:rPr>
        <w:rStyle w:val="PageNumber"/>
        <w:sz w:val="16"/>
      </w:rPr>
      <w:t xml:space="preserve"> of </w:t>
    </w:r>
    <w:r w:rsidR="000F27F4">
      <w:rPr>
        <w:rStyle w:val="PageNumber"/>
        <w:sz w:val="16"/>
      </w:rPr>
      <w:fldChar w:fldCharType="begin"/>
    </w:r>
    <w:r>
      <w:rPr>
        <w:rStyle w:val="PageNumber"/>
        <w:sz w:val="16"/>
      </w:rPr>
      <w:instrText xml:space="preserve"> NUMPAGES </w:instrText>
    </w:r>
    <w:r w:rsidR="000F27F4">
      <w:rPr>
        <w:rStyle w:val="PageNumber"/>
        <w:sz w:val="16"/>
      </w:rPr>
      <w:fldChar w:fldCharType="separate"/>
    </w:r>
    <w:r w:rsidR="003F1E6C">
      <w:rPr>
        <w:rStyle w:val="PageNumber"/>
        <w:noProof/>
        <w:sz w:val="16"/>
      </w:rPr>
      <w:t>6</w:t>
    </w:r>
    <w:r w:rsidR="000F27F4">
      <w:rPr>
        <w:rStyle w:val="PageNumber"/>
        <w:sz w:val="16"/>
      </w:rPr>
      <w:fldChar w:fldCharType="end"/>
    </w:r>
  </w:p>
  <w:p w14:paraId="35D36B0B" w14:textId="7300FF11" w:rsidR="008415C0" w:rsidRPr="00CD67C0" w:rsidRDefault="008415C0" w:rsidP="008415C0">
    <w:pPr>
      <w:pStyle w:val="Footer"/>
      <w:rPr>
        <w:rFonts w:cs="Arial"/>
        <w:sz w:val="16"/>
        <w:szCs w:val="16"/>
      </w:rPr>
    </w:pPr>
    <w:r w:rsidRPr="00E00AD5">
      <w:rPr>
        <w:rFonts w:cs="Arial"/>
        <w:bCs/>
        <w:i/>
        <w:sz w:val="16"/>
        <w:szCs w:val="16"/>
      </w:rPr>
      <w:t xml:space="preserve">HES HR                                                        </w:t>
    </w:r>
    <w:r>
      <w:rPr>
        <w:rFonts w:cs="Arial"/>
        <w:bCs/>
        <w:i/>
        <w:sz w:val="16"/>
        <w:szCs w:val="16"/>
      </w:rPr>
      <w:t xml:space="preserve">                  </w:t>
    </w:r>
    <w:r w:rsidRPr="00E00AD5">
      <w:rPr>
        <w:rFonts w:cs="Arial"/>
        <w:bCs/>
        <w:i/>
        <w:sz w:val="16"/>
        <w:szCs w:val="16"/>
      </w:rPr>
      <w:t xml:space="preserve">                                                                                      </w:t>
    </w:r>
    <w:r>
      <w:rPr>
        <w:rFonts w:cs="Arial"/>
        <w:bCs/>
        <w:i/>
        <w:sz w:val="16"/>
        <w:szCs w:val="16"/>
      </w:rPr>
      <w:t xml:space="preserve">                </w:t>
    </w:r>
    <w:r w:rsidR="00DA43AF">
      <w:rPr>
        <w:rFonts w:cs="Arial"/>
        <w:bCs/>
        <w:i/>
        <w:sz w:val="16"/>
        <w:szCs w:val="16"/>
      </w:rPr>
      <w:t>September</w:t>
    </w:r>
    <w:r w:rsidR="002542EA">
      <w:rPr>
        <w:rFonts w:cs="Arial"/>
        <w:bCs/>
        <w:i/>
        <w:sz w:val="16"/>
        <w:szCs w:val="16"/>
      </w:rPr>
      <w:t xml:space="preserve"> 202</w:t>
    </w:r>
    <w:r w:rsidR="0029718F">
      <w:rPr>
        <w:rFonts w:cs="Arial"/>
        <w:bCs/>
        <w:i/>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34738" w14:textId="77777777" w:rsidR="005E5C1C" w:rsidRDefault="005E5C1C">
      <w:r>
        <w:separator/>
      </w:r>
    </w:p>
  </w:footnote>
  <w:footnote w:type="continuationSeparator" w:id="0">
    <w:p w14:paraId="669AC281" w14:textId="77777777" w:rsidR="005E5C1C" w:rsidRDefault="005E5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F3954" w14:textId="77777777" w:rsidR="005B1079" w:rsidRDefault="00B444F0" w:rsidP="005B1079">
    <w:pPr>
      <w:jc w:val="center"/>
      <w:rPr>
        <w:rFonts w:cs="Arial"/>
        <w:b/>
        <w:sz w:val="24"/>
        <w:szCs w:val="24"/>
      </w:rPr>
    </w:pPr>
    <w:r>
      <w:rPr>
        <w:rFonts w:cs="Arial"/>
        <w:b/>
        <w:sz w:val="24"/>
        <w:szCs w:val="24"/>
      </w:rPr>
      <w:t xml:space="preserve">HES HR </w:t>
    </w:r>
    <w:r w:rsidR="006A5EF2">
      <w:rPr>
        <w:rFonts w:cs="Arial"/>
        <w:b/>
        <w:sz w:val="24"/>
        <w:szCs w:val="24"/>
      </w:rPr>
      <w:t xml:space="preserve">Model </w:t>
    </w:r>
    <w:r w:rsidR="00096B4E">
      <w:rPr>
        <w:rFonts w:cs="Arial"/>
        <w:b/>
        <w:sz w:val="24"/>
        <w:szCs w:val="24"/>
      </w:rPr>
      <w:t>Capability</w:t>
    </w:r>
    <w:r w:rsidR="005B1079">
      <w:rPr>
        <w:rFonts w:cs="Arial"/>
        <w:b/>
        <w:sz w:val="24"/>
        <w:szCs w:val="24"/>
      </w:rPr>
      <w:t xml:space="preserve"> Policy</w:t>
    </w:r>
  </w:p>
  <w:p w14:paraId="7867548F" w14:textId="77777777" w:rsidR="00DD2235" w:rsidRPr="00D011D7" w:rsidRDefault="00DD2235" w:rsidP="005B1079">
    <w:pPr>
      <w:jc w:val="center"/>
      <w:rPr>
        <w:rFonts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C3AEA"/>
    <w:multiLevelType w:val="hybridMultilevel"/>
    <w:tmpl w:val="DAA21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B17F4"/>
    <w:multiLevelType w:val="hybridMultilevel"/>
    <w:tmpl w:val="35B6D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4A19CE"/>
    <w:multiLevelType w:val="hybridMultilevel"/>
    <w:tmpl w:val="7004D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62655B"/>
    <w:multiLevelType w:val="hybridMultilevel"/>
    <w:tmpl w:val="2EB2E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9A4B19"/>
    <w:multiLevelType w:val="hybridMultilevel"/>
    <w:tmpl w:val="91E20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05"/>
    <w:rsid w:val="000041A8"/>
    <w:rsid w:val="00052D21"/>
    <w:rsid w:val="0005736D"/>
    <w:rsid w:val="00061011"/>
    <w:rsid w:val="000614AC"/>
    <w:rsid w:val="00063F70"/>
    <w:rsid w:val="0006726E"/>
    <w:rsid w:val="000672C8"/>
    <w:rsid w:val="0008694B"/>
    <w:rsid w:val="00096B4E"/>
    <w:rsid w:val="000A162A"/>
    <w:rsid w:val="000A3F74"/>
    <w:rsid w:val="000C242E"/>
    <w:rsid w:val="000D3663"/>
    <w:rsid w:val="000E3817"/>
    <w:rsid w:val="000F27F4"/>
    <w:rsid w:val="000F2A11"/>
    <w:rsid w:val="000F2F77"/>
    <w:rsid w:val="00103DA0"/>
    <w:rsid w:val="00107D20"/>
    <w:rsid w:val="00110E2F"/>
    <w:rsid w:val="001510BE"/>
    <w:rsid w:val="00162ABB"/>
    <w:rsid w:val="00166F49"/>
    <w:rsid w:val="001938CC"/>
    <w:rsid w:val="001A7721"/>
    <w:rsid w:val="001B21E0"/>
    <w:rsid w:val="0022300C"/>
    <w:rsid w:val="00230567"/>
    <w:rsid w:val="00236FD6"/>
    <w:rsid w:val="00251C04"/>
    <w:rsid w:val="002542EA"/>
    <w:rsid w:val="002613B1"/>
    <w:rsid w:val="002617D5"/>
    <w:rsid w:val="00281A5C"/>
    <w:rsid w:val="00281DD9"/>
    <w:rsid w:val="00296B7A"/>
    <w:rsid w:val="0029718F"/>
    <w:rsid w:val="002B5411"/>
    <w:rsid w:val="002D13E2"/>
    <w:rsid w:val="002D2224"/>
    <w:rsid w:val="002D4953"/>
    <w:rsid w:val="002D7E06"/>
    <w:rsid w:val="002E1DCD"/>
    <w:rsid w:val="002E4402"/>
    <w:rsid w:val="002E4AF7"/>
    <w:rsid w:val="002E5F88"/>
    <w:rsid w:val="00307698"/>
    <w:rsid w:val="00317500"/>
    <w:rsid w:val="00324FC6"/>
    <w:rsid w:val="0034623F"/>
    <w:rsid w:val="00374538"/>
    <w:rsid w:val="00387648"/>
    <w:rsid w:val="003877DB"/>
    <w:rsid w:val="003A5BCC"/>
    <w:rsid w:val="003B4BF9"/>
    <w:rsid w:val="003C23D7"/>
    <w:rsid w:val="003C67CC"/>
    <w:rsid w:val="003E3763"/>
    <w:rsid w:val="003F0318"/>
    <w:rsid w:val="003F1E6C"/>
    <w:rsid w:val="003F78E4"/>
    <w:rsid w:val="00410DD8"/>
    <w:rsid w:val="004233F3"/>
    <w:rsid w:val="00427129"/>
    <w:rsid w:val="00433896"/>
    <w:rsid w:val="00434828"/>
    <w:rsid w:val="00434B0A"/>
    <w:rsid w:val="004365A3"/>
    <w:rsid w:val="0044239B"/>
    <w:rsid w:val="00453F33"/>
    <w:rsid w:val="00467F01"/>
    <w:rsid w:val="004863F5"/>
    <w:rsid w:val="0049004D"/>
    <w:rsid w:val="00497026"/>
    <w:rsid w:val="004C002E"/>
    <w:rsid w:val="004C0849"/>
    <w:rsid w:val="004E25B7"/>
    <w:rsid w:val="004F0656"/>
    <w:rsid w:val="00503AEA"/>
    <w:rsid w:val="005067E0"/>
    <w:rsid w:val="00527995"/>
    <w:rsid w:val="005310A2"/>
    <w:rsid w:val="005765CA"/>
    <w:rsid w:val="00587408"/>
    <w:rsid w:val="00590E96"/>
    <w:rsid w:val="005B1079"/>
    <w:rsid w:val="005E02F1"/>
    <w:rsid w:val="005E5C1C"/>
    <w:rsid w:val="005F04A7"/>
    <w:rsid w:val="005F4251"/>
    <w:rsid w:val="00601F64"/>
    <w:rsid w:val="00606053"/>
    <w:rsid w:val="00624039"/>
    <w:rsid w:val="00674415"/>
    <w:rsid w:val="00675BFF"/>
    <w:rsid w:val="00691A30"/>
    <w:rsid w:val="00697E9F"/>
    <w:rsid w:val="006A5EF2"/>
    <w:rsid w:val="006C3768"/>
    <w:rsid w:val="006E3090"/>
    <w:rsid w:val="00712A40"/>
    <w:rsid w:val="007337AF"/>
    <w:rsid w:val="00754A5C"/>
    <w:rsid w:val="00772CCC"/>
    <w:rsid w:val="00775DB8"/>
    <w:rsid w:val="007913D2"/>
    <w:rsid w:val="00791ACA"/>
    <w:rsid w:val="007A70EF"/>
    <w:rsid w:val="007D5580"/>
    <w:rsid w:val="00800A98"/>
    <w:rsid w:val="00817EB3"/>
    <w:rsid w:val="0082038A"/>
    <w:rsid w:val="00821DE6"/>
    <w:rsid w:val="008245DC"/>
    <w:rsid w:val="008350C7"/>
    <w:rsid w:val="008415C0"/>
    <w:rsid w:val="00847F07"/>
    <w:rsid w:val="00853FDA"/>
    <w:rsid w:val="008B33CC"/>
    <w:rsid w:val="008B4DF1"/>
    <w:rsid w:val="008D50E9"/>
    <w:rsid w:val="0095626D"/>
    <w:rsid w:val="009603D4"/>
    <w:rsid w:val="009839B8"/>
    <w:rsid w:val="0099286A"/>
    <w:rsid w:val="009A4BEF"/>
    <w:rsid w:val="009C583A"/>
    <w:rsid w:val="009D0524"/>
    <w:rsid w:val="009D7620"/>
    <w:rsid w:val="009F2958"/>
    <w:rsid w:val="009F6A9E"/>
    <w:rsid w:val="00A046B1"/>
    <w:rsid w:val="00A055A6"/>
    <w:rsid w:val="00A056B1"/>
    <w:rsid w:val="00A05E45"/>
    <w:rsid w:val="00A222FF"/>
    <w:rsid w:val="00A35998"/>
    <w:rsid w:val="00A56CF8"/>
    <w:rsid w:val="00A73B8F"/>
    <w:rsid w:val="00A877C0"/>
    <w:rsid w:val="00A961B4"/>
    <w:rsid w:val="00AA666E"/>
    <w:rsid w:val="00AB47A6"/>
    <w:rsid w:val="00AB5EDA"/>
    <w:rsid w:val="00AD01F2"/>
    <w:rsid w:val="00AE59EA"/>
    <w:rsid w:val="00AF0B27"/>
    <w:rsid w:val="00AF251C"/>
    <w:rsid w:val="00B02293"/>
    <w:rsid w:val="00B23E2C"/>
    <w:rsid w:val="00B304E8"/>
    <w:rsid w:val="00B444F0"/>
    <w:rsid w:val="00B53F05"/>
    <w:rsid w:val="00B66AFB"/>
    <w:rsid w:val="00B77820"/>
    <w:rsid w:val="00B8283A"/>
    <w:rsid w:val="00B97DB3"/>
    <w:rsid w:val="00BA7571"/>
    <w:rsid w:val="00BB788A"/>
    <w:rsid w:val="00BC4A91"/>
    <w:rsid w:val="00BC5E68"/>
    <w:rsid w:val="00BE5DF2"/>
    <w:rsid w:val="00BF06BC"/>
    <w:rsid w:val="00C145D3"/>
    <w:rsid w:val="00C35708"/>
    <w:rsid w:val="00C40AC1"/>
    <w:rsid w:val="00C82FCE"/>
    <w:rsid w:val="00C854D7"/>
    <w:rsid w:val="00C858D1"/>
    <w:rsid w:val="00CA7CFD"/>
    <w:rsid w:val="00CB7D79"/>
    <w:rsid w:val="00CB7FD7"/>
    <w:rsid w:val="00D00717"/>
    <w:rsid w:val="00D01C67"/>
    <w:rsid w:val="00D05DC3"/>
    <w:rsid w:val="00D1035C"/>
    <w:rsid w:val="00D11730"/>
    <w:rsid w:val="00D15FB3"/>
    <w:rsid w:val="00D16232"/>
    <w:rsid w:val="00D210A1"/>
    <w:rsid w:val="00D24A0B"/>
    <w:rsid w:val="00D3382D"/>
    <w:rsid w:val="00D55169"/>
    <w:rsid w:val="00D61C15"/>
    <w:rsid w:val="00D71D18"/>
    <w:rsid w:val="00DA43AF"/>
    <w:rsid w:val="00DA65B8"/>
    <w:rsid w:val="00DC3284"/>
    <w:rsid w:val="00DD2235"/>
    <w:rsid w:val="00DD421D"/>
    <w:rsid w:val="00DE5CCB"/>
    <w:rsid w:val="00DF4DD2"/>
    <w:rsid w:val="00E00DE0"/>
    <w:rsid w:val="00E05471"/>
    <w:rsid w:val="00E403D7"/>
    <w:rsid w:val="00E440D8"/>
    <w:rsid w:val="00E84B4C"/>
    <w:rsid w:val="00E90A6A"/>
    <w:rsid w:val="00EB2CD3"/>
    <w:rsid w:val="00EB31EE"/>
    <w:rsid w:val="00EC60AB"/>
    <w:rsid w:val="00EC6D5F"/>
    <w:rsid w:val="00EE2D07"/>
    <w:rsid w:val="00F14A1A"/>
    <w:rsid w:val="00F160D4"/>
    <w:rsid w:val="00F21E63"/>
    <w:rsid w:val="00F42E51"/>
    <w:rsid w:val="00F50493"/>
    <w:rsid w:val="00F6730A"/>
    <w:rsid w:val="00F678D4"/>
    <w:rsid w:val="00F7008A"/>
    <w:rsid w:val="00F75F76"/>
    <w:rsid w:val="00F93568"/>
    <w:rsid w:val="00FA541B"/>
    <w:rsid w:val="00FB78B0"/>
    <w:rsid w:val="00FC0265"/>
    <w:rsid w:val="00FC4C60"/>
    <w:rsid w:val="00FC51EC"/>
    <w:rsid w:val="00FD4770"/>
    <w:rsid w:val="00FD7882"/>
    <w:rsid w:val="00FE4B2A"/>
    <w:rsid w:val="00FE7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30A9D34"/>
  <w15:docId w15:val="{651E99D8-979C-42B4-8FC0-4454DD39E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896"/>
    <w:rPr>
      <w:rFonts w:ascii="Arial" w:hAnsi="Arial"/>
      <w:sz w:val="22"/>
      <w:lang w:val="en-GB"/>
    </w:rPr>
  </w:style>
  <w:style w:type="paragraph" w:styleId="Heading1">
    <w:name w:val="heading 1"/>
    <w:basedOn w:val="Normal"/>
    <w:next w:val="Normal"/>
    <w:qFormat/>
    <w:rsid w:val="00433896"/>
    <w:pPr>
      <w:keepNext/>
      <w:outlineLvl w:val="0"/>
    </w:pPr>
    <w:rPr>
      <w:b/>
      <w:bCs/>
    </w:rPr>
  </w:style>
  <w:style w:type="paragraph" w:styleId="Heading2">
    <w:name w:val="heading 2"/>
    <w:basedOn w:val="Normal"/>
    <w:next w:val="Normal"/>
    <w:qFormat/>
    <w:rsid w:val="00433896"/>
    <w:pPr>
      <w:keepNext/>
      <w:outlineLvl w:val="1"/>
    </w:pPr>
    <w:rPr>
      <w:b/>
      <w:bCs/>
      <w:sz w:val="28"/>
    </w:rPr>
  </w:style>
  <w:style w:type="paragraph" w:styleId="Heading4">
    <w:name w:val="heading 4"/>
    <w:basedOn w:val="Normal"/>
    <w:next w:val="Normal"/>
    <w:qFormat/>
    <w:rsid w:val="00433896"/>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3896"/>
    <w:pPr>
      <w:tabs>
        <w:tab w:val="center" w:pos="4153"/>
        <w:tab w:val="right" w:pos="8306"/>
      </w:tabs>
    </w:pPr>
  </w:style>
  <w:style w:type="paragraph" w:styleId="Footer">
    <w:name w:val="footer"/>
    <w:basedOn w:val="Normal"/>
    <w:link w:val="FooterChar"/>
    <w:uiPriority w:val="99"/>
    <w:rsid w:val="00433896"/>
    <w:pPr>
      <w:tabs>
        <w:tab w:val="center" w:pos="4153"/>
        <w:tab w:val="right" w:pos="8306"/>
      </w:tabs>
    </w:pPr>
  </w:style>
  <w:style w:type="character" w:styleId="PageNumber">
    <w:name w:val="page number"/>
    <w:basedOn w:val="DefaultParagraphFont"/>
    <w:rsid w:val="00433896"/>
  </w:style>
  <w:style w:type="paragraph" w:styleId="BalloonText">
    <w:name w:val="Balloon Text"/>
    <w:basedOn w:val="Normal"/>
    <w:semiHidden/>
    <w:rsid w:val="00433896"/>
    <w:rPr>
      <w:rFonts w:ascii="Tahoma" w:hAnsi="Tahoma" w:cs="Tahoma"/>
      <w:sz w:val="16"/>
      <w:szCs w:val="16"/>
    </w:rPr>
  </w:style>
  <w:style w:type="character" w:styleId="Hyperlink">
    <w:name w:val="Hyperlink"/>
    <w:basedOn w:val="DefaultParagraphFont"/>
    <w:rsid w:val="00433896"/>
    <w:rPr>
      <w:color w:val="0000FF"/>
      <w:u w:val="single"/>
    </w:rPr>
  </w:style>
  <w:style w:type="paragraph" w:styleId="NormalWeb">
    <w:name w:val="Normal (Web)"/>
    <w:basedOn w:val="Normal"/>
    <w:rsid w:val="00433896"/>
    <w:pPr>
      <w:spacing w:before="100" w:beforeAutospacing="1" w:after="100" w:afterAutospacing="1"/>
    </w:pPr>
    <w:rPr>
      <w:rFonts w:ascii="Times New Roman" w:hAnsi="Times New Roman"/>
      <w:sz w:val="24"/>
      <w:szCs w:val="24"/>
      <w:lang w:val="en-US"/>
    </w:rPr>
  </w:style>
  <w:style w:type="paragraph" w:customStyle="1" w:styleId="DiscHeading1">
    <w:name w:val="Disc Heading 1"/>
    <w:rsid w:val="005B1079"/>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uiPriority w:val="99"/>
    <w:qFormat/>
    <w:rsid w:val="001B21E0"/>
    <w:pPr>
      <w:ind w:left="720"/>
      <w:contextualSpacing/>
    </w:pPr>
  </w:style>
  <w:style w:type="paragraph" w:customStyle="1" w:styleId="Indent1">
    <w:name w:val="Indent 1"/>
    <w:basedOn w:val="Normal"/>
    <w:rsid w:val="00166F49"/>
    <w:pPr>
      <w:ind w:left="851" w:hanging="851"/>
    </w:pPr>
    <w:rPr>
      <w:sz w:val="24"/>
    </w:rPr>
  </w:style>
  <w:style w:type="paragraph" w:customStyle="1" w:styleId="Default">
    <w:name w:val="Default"/>
    <w:rsid w:val="000614AC"/>
    <w:pPr>
      <w:autoSpaceDE w:val="0"/>
      <w:autoSpaceDN w:val="0"/>
      <w:adjustRightInd w:val="0"/>
    </w:pPr>
    <w:rPr>
      <w:rFonts w:ascii="Arial" w:hAnsi="Arial" w:cs="Arial"/>
      <w:color w:val="000000"/>
      <w:sz w:val="24"/>
      <w:szCs w:val="24"/>
      <w:lang w:val="en-GB"/>
    </w:rPr>
  </w:style>
  <w:style w:type="character" w:customStyle="1" w:styleId="FooterChar">
    <w:name w:val="Footer Char"/>
    <w:basedOn w:val="DefaultParagraphFont"/>
    <w:link w:val="Footer"/>
    <w:uiPriority w:val="99"/>
    <w:rsid w:val="008415C0"/>
    <w:rPr>
      <w:rFonts w:ascii="Arial" w:hAnsi="Arial"/>
      <w:sz w:val="22"/>
      <w:lang w:val="en-GB"/>
    </w:rPr>
  </w:style>
  <w:style w:type="character" w:styleId="CommentReference">
    <w:name w:val="annotation reference"/>
    <w:basedOn w:val="DefaultParagraphFont"/>
    <w:uiPriority w:val="99"/>
    <w:semiHidden/>
    <w:unhideWhenUsed/>
    <w:rsid w:val="0095626D"/>
    <w:rPr>
      <w:sz w:val="16"/>
      <w:szCs w:val="16"/>
    </w:rPr>
  </w:style>
  <w:style w:type="paragraph" w:styleId="CommentText">
    <w:name w:val="annotation text"/>
    <w:basedOn w:val="Normal"/>
    <w:link w:val="CommentTextChar"/>
    <w:uiPriority w:val="99"/>
    <w:semiHidden/>
    <w:unhideWhenUsed/>
    <w:rsid w:val="0095626D"/>
    <w:rPr>
      <w:sz w:val="20"/>
    </w:rPr>
  </w:style>
  <w:style w:type="character" w:customStyle="1" w:styleId="CommentTextChar">
    <w:name w:val="Comment Text Char"/>
    <w:basedOn w:val="DefaultParagraphFont"/>
    <w:link w:val="CommentText"/>
    <w:uiPriority w:val="99"/>
    <w:semiHidden/>
    <w:rsid w:val="0095626D"/>
    <w:rPr>
      <w:rFonts w:ascii="Arial" w:hAnsi="Arial"/>
      <w:lang w:val="en-GB"/>
    </w:rPr>
  </w:style>
  <w:style w:type="paragraph" w:styleId="CommentSubject">
    <w:name w:val="annotation subject"/>
    <w:basedOn w:val="CommentText"/>
    <w:next w:val="CommentText"/>
    <w:link w:val="CommentSubjectChar"/>
    <w:uiPriority w:val="99"/>
    <w:semiHidden/>
    <w:unhideWhenUsed/>
    <w:rsid w:val="0095626D"/>
    <w:rPr>
      <w:b/>
      <w:bCs/>
    </w:rPr>
  </w:style>
  <w:style w:type="character" w:customStyle="1" w:styleId="CommentSubjectChar">
    <w:name w:val="Comment Subject Char"/>
    <w:basedOn w:val="CommentTextChar"/>
    <w:link w:val="CommentSubject"/>
    <w:uiPriority w:val="99"/>
    <w:semiHidden/>
    <w:rsid w:val="0095626D"/>
    <w:rPr>
      <w:rFonts w:ascii="Arial" w:hAnsi="Arial"/>
      <w:b/>
      <w:bCs/>
      <w:lang w:val="en-GB"/>
    </w:rPr>
  </w:style>
  <w:style w:type="paragraph" w:styleId="Title">
    <w:name w:val="Title"/>
    <w:basedOn w:val="Normal"/>
    <w:next w:val="Normal"/>
    <w:link w:val="TitleChar"/>
    <w:uiPriority w:val="10"/>
    <w:qFormat/>
    <w:rsid w:val="00F7008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08A"/>
    <w:rPr>
      <w:rFonts w:asciiTheme="majorHAnsi" w:eastAsiaTheme="majorEastAsia" w:hAnsiTheme="majorHAnsi" w:cstheme="majorBidi"/>
      <w:spacing w:val="-10"/>
      <w:kern w:val="28"/>
      <w:sz w:val="56"/>
      <w:szCs w:val="5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47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2131</Words>
  <Characters>11309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London Borough Of Havering</Company>
  <LinksUpToDate>false</LinksUpToDate>
  <CharactersWithSpaces>13414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 name placeholder</dc:creator>
  <cp:lastModifiedBy>Martin Organisciok</cp:lastModifiedBy>
  <cp:revision>18</cp:revision>
  <cp:lastPrinted>2019-05-23T09:18:00Z</cp:lastPrinted>
  <dcterms:created xsi:type="dcterms:W3CDTF">2024-07-31T09:17:00Z</dcterms:created>
  <dcterms:modified xsi:type="dcterms:W3CDTF">2025-09-01T08:00:00Z</dcterms:modified>
</cp:coreProperties>
</file>