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4D8" w:rsidRPr="00426C68" w:rsidRDefault="00D644D8" w:rsidP="00B94F6A">
      <w:pPr>
        <w:pStyle w:val="DiscHeading1"/>
        <w:tabs>
          <w:tab w:val="left" w:pos="7088"/>
          <w:tab w:val="left" w:pos="7938"/>
          <w:tab w:val="left" w:pos="8789"/>
          <w:tab w:val="right" w:pos="10440"/>
        </w:tabs>
        <w:jc w:val="both"/>
        <w:rPr>
          <w:b/>
          <w:bCs/>
          <w:color w:val="auto"/>
          <w:sz w:val="22"/>
          <w:szCs w:val="22"/>
        </w:rPr>
      </w:pPr>
    </w:p>
    <w:p w:rsidR="00D644D8" w:rsidRPr="00426C68"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D644D8" w:rsidRPr="00426C68"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D644D8" w:rsidRPr="00426C68"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D644D8" w:rsidRPr="00426C68"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color w:val="000000"/>
          <w:szCs w:val="22"/>
          <w:lang w:eastAsia="zh-CN"/>
        </w:rPr>
      </w:pP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EC7CCF">
        <w:rPr>
          <w:rFonts w:eastAsia="SimSun" w:cs="Arial"/>
          <w:b/>
          <w:sz w:val="36"/>
          <w:szCs w:val="36"/>
          <w:lang w:eastAsia="zh-CN"/>
        </w:rPr>
        <w:t>LONDON BOROUGH OF HAVERING</w:t>
      </w: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EC7CCF">
        <w:rPr>
          <w:rFonts w:eastAsia="SimSun" w:cs="Arial"/>
          <w:b/>
          <w:sz w:val="48"/>
          <w:szCs w:val="48"/>
          <w:lang w:eastAsia="zh-CN"/>
        </w:rPr>
        <w:t>HES HR</w:t>
      </w: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sidRPr="00EC7CCF">
        <w:rPr>
          <w:rFonts w:eastAsia="SimSun" w:cs="Arial"/>
          <w:b/>
          <w:sz w:val="56"/>
          <w:szCs w:val="56"/>
          <w:lang w:eastAsia="zh-CN"/>
        </w:rPr>
        <w:t>MODEL</w:t>
      </w:r>
    </w:p>
    <w:p w:rsidR="002D3972"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sidRPr="00EC7CCF">
        <w:rPr>
          <w:rFonts w:eastAsia="SimSun" w:cs="Arial"/>
          <w:b/>
          <w:sz w:val="56"/>
          <w:szCs w:val="56"/>
          <w:lang w:eastAsia="zh-CN"/>
        </w:rPr>
        <w:t xml:space="preserve">GRIEVANCE </w:t>
      </w:r>
      <w:r w:rsidR="002D3972" w:rsidRPr="00EC7CCF">
        <w:rPr>
          <w:rFonts w:eastAsia="SimSun" w:cs="Arial"/>
          <w:b/>
          <w:sz w:val="56"/>
          <w:szCs w:val="56"/>
          <w:lang w:eastAsia="zh-CN"/>
        </w:rPr>
        <w:t>RESOLUTION</w:t>
      </w:r>
    </w:p>
    <w:p w:rsidR="00D644D8" w:rsidRPr="00EC7CCF"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sidRPr="00EC7CCF">
        <w:rPr>
          <w:rFonts w:eastAsia="SimSun" w:cs="Arial"/>
          <w:b/>
          <w:sz w:val="56"/>
          <w:szCs w:val="56"/>
          <w:lang w:eastAsia="zh-CN"/>
        </w:rPr>
        <w:t>POLICY</w:t>
      </w: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4822A3">
        <w:rPr>
          <w:rFonts w:eastAsia="SimSun" w:cs="Arial"/>
          <w:b/>
          <w:sz w:val="48"/>
          <w:szCs w:val="48"/>
          <w:lang w:eastAsia="zh-CN"/>
        </w:rPr>
        <w:t>FOR ALL SCHOOLS</w:t>
      </w: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D644D8" w:rsidRPr="004822A3" w:rsidRDefault="00D644D8" w:rsidP="00EC7CC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both"/>
        <w:rPr>
          <w:rFonts w:eastAsia="SimSun" w:cs="Arial"/>
          <w:b/>
          <w:szCs w:val="22"/>
          <w:lang w:eastAsia="zh-CN"/>
        </w:rPr>
      </w:pPr>
    </w:p>
    <w:p w:rsidR="00D644D8" w:rsidRPr="004822A3" w:rsidRDefault="00D644D8" w:rsidP="00B94F6A">
      <w:pPr>
        <w:jc w:val="both"/>
        <w:rPr>
          <w:rFonts w:cs="Arial"/>
          <w:b/>
          <w:szCs w:val="22"/>
        </w:rPr>
      </w:pPr>
    </w:p>
    <w:tbl>
      <w:tblPr>
        <w:tblW w:w="9751" w:type="dxa"/>
        <w:tblLook w:val="0000" w:firstRow="0" w:lastRow="0" w:firstColumn="0" w:lastColumn="0" w:noHBand="0" w:noVBand="0"/>
      </w:tblPr>
      <w:tblGrid>
        <w:gridCol w:w="1020"/>
        <w:gridCol w:w="8731"/>
      </w:tblGrid>
      <w:tr w:rsidR="00A37FA1" w:rsidRPr="00426C68" w:rsidTr="00684B45">
        <w:trPr>
          <w:trHeight w:val="283"/>
        </w:trPr>
        <w:tc>
          <w:tcPr>
            <w:tcW w:w="1020" w:type="dxa"/>
          </w:tcPr>
          <w:p w:rsidR="00426C68" w:rsidRPr="00AC3102" w:rsidRDefault="00426C68" w:rsidP="00B94F6A">
            <w:pPr>
              <w:jc w:val="both"/>
              <w:rPr>
                <w:b/>
                <w:bCs/>
                <w:sz w:val="28"/>
              </w:rPr>
            </w:pPr>
          </w:p>
          <w:p w:rsidR="00426C68" w:rsidRPr="00AC3102" w:rsidRDefault="00426C68" w:rsidP="00B94F6A">
            <w:pPr>
              <w:jc w:val="both"/>
              <w:rPr>
                <w:b/>
                <w:bCs/>
                <w:sz w:val="28"/>
              </w:rPr>
            </w:pPr>
          </w:p>
          <w:p w:rsidR="00B94F6A" w:rsidRPr="00AC3102" w:rsidRDefault="00B94F6A" w:rsidP="00B94F6A">
            <w:pPr>
              <w:jc w:val="both"/>
              <w:rPr>
                <w:b/>
                <w:bCs/>
                <w:sz w:val="28"/>
              </w:rPr>
            </w:pPr>
          </w:p>
          <w:p w:rsidR="00B94F6A" w:rsidRPr="00AC3102" w:rsidRDefault="00B94F6A" w:rsidP="00B94F6A">
            <w:pPr>
              <w:jc w:val="both"/>
              <w:rPr>
                <w:b/>
                <w:bCs/>
                <w:sz w:val="28"/>
              </w:rPr>
            </w:pPr>
          </w:p>
          <w:p w:rsidR="00A37FA1" w:rsidRPr="00AC3102" w:rsidRDefault="00A37FA1" w:rsidP="00B94F6A">
            <w:pPr>
              <w:jc w:val="both"/>
              <w:rPr>
                <w:b/>
                <w:bCs/>
                <w:sz w:val="28"/>
              </w:rPr>
            </w:pPr>
            <w:r w:rsidRPr="00AC3102">
              <w:rPr>
                <w:b/>
                <w:bCs/>
                <w:sz w:val="28"/>
              </w:rPr>
              <w:lastRenderedPageBreak/>
              <w:t>1.0</w:t>
            </w:r>
          </w:p>
        </w:tc>
        <w:tc>
          <w:tcPr>
            <w:tcW w:w="8731" w:type="dxa"/>
          </w:tcPr>
          <w:p w:rsidR="00426C68" w:rsidRPr="00AC3102" w:rsidRDefault="00426C68" w:rsidP="00B94F6A">
            <w:pPr>
              <w:jc w:val="both"/>
              <w:rPr>
                <w:b/>
                <w:bCs/>
                <w:sz w:val="28"/>
              </w:rPr>
            </w:pPr>
          </w:p>
          <w:p w:rsidR="00426C68" w:rsidRPr="00AC3102" w:rsidRDefault="00426C68" w:rsidP="00B94F6A">
            <w:pPr>
              <w:jc w:val="both"/>
              <w:rPr>
                <w:b/>
                <w:bCs/>
                <w:sz w:val="28"/>
              </w:rPr>
            </w:pPr>
          </w:p>
          <w:p w:rsidR="00B94F6A" w:rsidRPr="00AC3102" w:rsidRDefault="00B94F6A" w:rsidP="00B94F6A">
            <w:pPr>
              <w:jc w:val="both"/>
              <w:rPr>
                <w:b/>
                <w:bCs/>
                <w:sz w:val="28"/>
              </w:rPr>
            </w:pPr>
          </w:p>
          <w:p w:rsidR="00B94F6A" w:rsidRPr="00AC3102" w:rsidRDefault="00B94F6A" w:rsidP="00B94F6A">
            <w:pPr>
              <w:jc w:val="both"/>
              <w:rPr>
                <w:b/>
                <w:bCs/>
                <w:sz w:val="28"/>
              </w:rPr>
            </w:pPr>
          </w:p>
          <w:p w:rsidR="00A37FA1" w:rsidRPr="00AC3102" w:rsidRDefault="00A37FA1" w:rsidP="00B94F6A">
            <w:pPr>
              <w:jc w:val="both"/>
              <w:rPr>
                <w:b/>
                <w:bCs/>
                <w:sz w:val="28"/>
              </w:rPr>
            </w:pPr>
            <w:r w:rsidRPr="00AC3102">
              <w:rPr>
                <w:b/>
                <w:bCs/>
                <w:sz w:val="28"/>
              </w:rPr>
              <w:lastRenderedPageBreak/>
              <w:t>Purpose and Scope</w:t>
            </w:r>
          </w:p>
        </w:tc>
      </w:tr>
      <w:tr w:rsidR="00A37FA1" w:rsidRPr="00426C68" w:rsidTr="00684B45">
        <w:trPr>
          <w:trHeight w:val="283"/>
        </w:trPr>
        <w:tc>
          <w:tcPr>
            <w:tcW w:w="1020" w:type="dxa"/>
          </w:tcPr>
          <w:p w:rsidR="00A37FA1" w:rsidRPr="00426C68" w:rsidRDefault="00A37FA1" w:rsidP="00B94F6A">
            <w:pPr>
              <w:spacing w:after="60"/>
              <w:jc w:val="both"/>
              <w:rPr>
                <w:rFonts w:cs="Arial"/>
                <w:szCs w:val="22"/>
              </w:rPr>
            </w:pPr>
          </w:p>
        </w:tc>
        <w:tc>
          <w:tcPr>
            <w:tcW w:w="8731" w:type="dxa"/>
          </w:tcPr>
          <w:p w:rsidR="00A37FA1" w:rsidRPr="00426C68" w:rsidRDefault="00A37FA1" w:rsidP="00B94F6A">
            <w:pPr>
              <w:spacing w:after="60"/>
              <w:jc w:val="both"/>
              <w:rPr>
                <w:rFonts w:cs="Arial"/>
                <w:szCs w:val="22"/>
              </w:rPr>
            </w:pPr>
          </w:p>
        </w:tc>
      </w:tr>
      <w:tr w:rsidR="00A37FA1" w:rsidRPr="00426C68" w:rsidTr="00684B45">
        <w:trPr>
          <w:trHeight w:val="283"/>
        </w:trPr>
        <w:tc>
          <w:tcPr>
            <w:tcW w:w="1020" w:type="dxa"/>
          </w:tcPr>
          <w:p w:rsidR="00A37FA1" w:rsidRPr="00426C68" w:rsidRDefault="00A37FA1" w:rsidP="00143B12">
            <w:pPr>
              <w:spacing w:after="60"/>
              <w:rPr>
                <w:rFonts w:cs="Arial"/>
                <w:szCs w:val="22"/>
              </w:rPr>
            </w:pPr>
            <w:r w:rsidRPr="00426C68">
              <w:rPr>
                <w:rFonts w:cs="Arial"/>
                <w:szCs w:val="22"/>
              </w:rPr>
              <w:t>1.1</w:t>
            </w:r>
          </w:p>
        </w:tc>
        <w:tc>
          <w:tcPr>
            <w:tcW w:w="8731" w:type="dxa"/>
          </w:tcPr>
          <w:p w:rsidR="00A37FA1" w:rsidRPr="00426C68" w:rsidRDefault="00B76AF0" w:rsidP="00143B12">
            <w:pPr>
              <w:spacing w:after="60"/>
              <w:rPr>
                <w:rFonts w:cs="Arial"/>
                <w:szCs w:val="22"/>
              </w:rPr>
            </w:pPr>
            <w:r w:rsidRPr="00426C68">
              <w:rPr>
                <w:rFonts w:cs="Arial"/>
                <w:szCs w:val="22"/>
              </w:rPr>
              <w:t>The School</w:t>
            </w:r>
            <w:r w:rsidR="00A37FA1" w:rsidRPr="00426C68">
              <w:rPr>
                <w:rFonts w:cs="Arial"/>
                <w:szCs w:val="22"/>
              </w:rPr>
              <w:t xml:space="preserve"> is committed to providing a harmonious workplace wh</w:t>
            </w:r>
            <w:r w:rsidR="00E1381C" w:rsidRPr="00426C68">
              <w:rPr>
                <w:rFonts w:cs="Arial"/>
                <w:szCs w:val="22"/>
              </w:rPr>
              <w:t>ere each individual is treated in accordance with the values and ethos of the School</w:t>
            </w:r>
            <w:r w:rsidR="00A37FA1" w:rsidRPr="00426C68">
              <w:rPr>
                <w:rFonts w:cs="Arial"/>
                <w:szCs w:val="22"/>
              </w:rPr>
              <w:t xml:space="preserve"> and as such it is hoped that any work related disagreements will be rare and if they do occur can be resolved informally. However, where this is not possible this policy seeks to resolve disagreements as quickly and effectively as possible for all concerned</w:t>
            </w:r>
            <w:r w:rsidR="00105DA6" w:rsidRPr="00426C68">
              <w:rPr>
                <w:rFonts w:cs="Arial"/>
                <w:szCs w:val="22"/>
              </w:rPr>
              <w:t>.</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A37FA1" w:rsidRPr="00426C68" w:rsidTr="00684B45">
        <w:trPr>
          <w:trHeight w:val="283"/>
        </w:trPr>
        <w:tc>
          <w:tcPr>
            <w:tcW w:w="1020" w:type="dxa"/>
          </w:tcPr>
          <w:p w:rsidR="00A37FA1" w:rsidRPr="00426C68" w:rsidRDefault="00A37FA1" w:rsidP="00143B12">
            <w:pPr>
              <w:spacing w:after="60"/>
              <w:rPr>
                <w:rFonts w:cs="Arial"/>
                <w:szCs w:val="22"/>
              </w:rPr>
            </w:pPr>
            <w:r w:rsidRPr="00426C68">
              <w:rPr>
                <w:rFonts w:cs="Arial"/>
                <w:szCs w:val="22"/>
              </w:rPr>
              <w:t>1.2</w:t>
            </w:r>
          </w:p>
        </w:tc>
        <w:tc>
          <w:tcPr>
            <w:tcW w:w="8731" w:type="dxa"/>
          </w:tcPr>
          <w:p w:rsidR="00A37FA1" w:rsidRPr="00426C68" w:rsidRDefault="00A37FA1" w:rsidP="00143B12">
            <w:pPr>
              <w:spacing w:after="60"/>
              <w:rPr>
                <w:rFonts w:cs="Arial"/>
                <w:szCs w:val="22"/>
              </w:rPr>
            </w:pPr>
            <w:r w:rsidRPr="00426C68">
              <w:rPr>
                <w:rFonts w:cs="Arial"/>
                <w:color w:val="000000"/>
                <w:szCs w:val="22"/>
              </w:rPr>
              <w:t xml:space="preserve">A grievance may arise when an employee, or group of employees, </w:t>
            </w:r>
            <w:r w:rsidR="00530B9B" w:rsidRPr="00426C68">
              <w:rPr>
                <w:rFonts w:cs="Arial"/>
                <w:color w:val="000000"/>
                <w:szCs w:val="22"/>
              </w:rPr>
              <w:t>has a concern, problem or complaint about their work, working conditions or relationships with colleagues</w:t>
            </w:r>
            <w:r w:rsidR="006363F7" w:rsidRPr="00426C68">
              <w:rPr>
                <w:rFonts w:cs="Arial"/>
                <w:color w:val="000000"/>
                <w:szCs w:val="22"/>
              </w:rPr>
              <w:t xml:space="preserve">, including individual members of the Governing Body </w:t>
            </w:r>
            <w:r w:rsidR="00530B9B" w:rsidRPr="00426C68">
              <w:rPr>
                <w:rFonts w:cs="Arial"/>
                <w:color w:val="000000"/>
                <w:szCs w:val="22"/>
              </w:rPr>
              <w:t xml:space="preserve">that they raise with the School. </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A37FA1" w:rsidRPr="00426C68" w:rsidTr="00684B45">
        <w:trPr>
          <w:trHeight w:val="283"/>
        </w:trPr>
        <w:tc>
          <w:tcPr>
            <w:tcW w:w="1020" w:type="dxa"/>
          </w:tcPr>
          <w:p w:rsidR="00A37FA1" w:rsidRPr="00426C68" w:rsidRDefault="00A37FA1" w:rsidP="00143B12">
            <w:pPr>
              <w:spacing w:after="120"/>
              <w:rPr>
                <w:rFonts w:cs="Arial"/>
                <w:szCs w:val="22"/>
              </w:rPr>
            </w:pPr>
            <w:r w:rsidRPr="00426C68">
              <w:rPr>
                <w:rFonts w:cs="Arial"/>
                <w:szCs w:val="22"/>
              </w:rPr>
              <w:t>1.</w:t>
            </w:r>
            <w:r w:rsidR="00E1381C" w:rsidRPr="00426C68">
              <w:rPr>
                <w:rFonts w:cs="Arial"/>
                <w:szCs w:val="22"/>
              </w:rPr>
              <w:t>3</w:t>
            </w:r>
          </w:p>
        </w:tc>
        <w:tc>
          <w:tcPr>
            <w:tcW w:w="8731" w:type="dxa"/>
          </w:tcPr>
          <w:p w:rsidR="00A37FA1" w:rsidRPr="00426C68" w:rsidRDefault="003C33FF" w:rsidP="00143B12">
            <w:pPr>
              <w:spacing w:after="120"/>
              <w:rPr>
                <w:rFonts w:cs="Arial"/>
                <w:color w:val="000000"/>
                <w:szCs w:val="22"/>
              </w:rPr>
            </w:pPr>
            <w:r w:rsidRPr="00426C68">
              <w:rPr>
                <w:rFonts w:cs="Arial"/>
                <w:color w:val="000000"/>
                <w:szCs w:val="22"/>
              </w:rPr>
              <w:t>A grievance shall not apply in the following cases:</w:t>
            </w:r>
          </w:p>
        </w:tc>
      </w:tr>
      <w:tr w:rsidR="0009315A" w:rsidRPr="00426C68" w:rsidTr="002068A2">
        <w:trPr>
          <w:trHeight w:val="283"/>
        </w:trPr>
        <w:tc>
          <w:tcPr>
            <w:tcW w:w="1020" w:type="dxa"/>
          </w:tcPr>
          <w:p w:rsidR="0009315A" w:rsidRPr="00426C68" w:rsidRDefault="0009315A" w:rsidP="00143B12">
            <w:pPr>
              <w:spacing w:after="60"/>
              <w:rPr>
                <w:rFonts w:cs="Arial"/>
                <w:szCs w:val="22"/>
              </w:rPr>
            </w:pPr>
          </w:p>
        </w:tc>
        <w:tc>
          <w:tcPr>
            <w:tcW w:w="8731" w:type="dxa"/>
          </w:tcPr>
          <w:p w:rsidR="0009315A" w:rsidRPr="00426C68" w:rsidRDefault="0009315A" w:rsidP="00143B12">
            <w:pPr>
              <w:pStyle w:val="ListParagraph"/>
              <w:numPr>
                <w:ilvl w:val="0"/>
                <w:numId w:val="1"/>
              </w:numPr>
              <w:tabs>
                <w:tab w:val="left" w:pos="357"/>
              </w:tabs>
              <w:spacing w:after="60"/>
              <w:ind w:left="357" w:hanging="357"/>
              <w:rPr>
                <w:rFonts w:cs="Arial"/>
                <w:szCs w:val="22"/>
              </w:rPr>
            </w:pPr>
            <w:r w:rsidRPr="00426C68">
              <w:rPr>
                <w:rFonts w:cs="Arial"/>
                <w:color w:val="000000"/>
                <w:szCs w:val="22"/>
              </w:rPr>
              <w:t>Issues relating to the employee’s terms and conditions of employment where they have been applied correctly, unless the complaint potentially involves discrimination such as an equal pay issue</w:t>
            </w:r>
            <w:r w:rsidRPr="00426C68">
              <w:rPr>
                <w:rFonts w:cs="Arial"/>
                <w:szCs w:val="22"/>
              </w:rPr>
              <w:t>.</w:t>
            </w:r>
          </w:p>
        </w:tc>
      </w:tr>
      <w:tr w:rsidR="0009315A" w:rsidRPr="00426C68" w:rsidTr="002068A2">
        <w:trPr>
          <w:trHeight w:val="283"/>
        </w:trPr>
        <w:tc>
          <w:tcPr>
            <w:tcW w:w="1020" w:type="dxa"/>
          </w:tcPr>
          <w:p w:rsidR="0009315A" w:rsidRPr="00426C68" w:rsidRDefault="0009315A" w:rsidP="00143B12">
            <w:pPr>
              <w:spacing w:after="60"/>
              <w:rPr>
                <w:rFonts w:cs="Arial"/>
                <w:szCs w:val="22"/>
              </w:rPr>
            </w:pPr>
          </w:p>
        </w:tc>
        <w:tc>
          <w:tcPr>
            <w:tcW w:w="8731" w:type="dxa"/>
          </w:tcPr>
          <w:p w:rsidR="0009315A" w:rsidRPr="00BF291E" w:rsidRDefault="0009315A" w:rsidP="00BF291E">
            <w:pPr>
              <w:pStyle w:val="ListParagraph"/>
              <w:numPr>
                <w:ilvl w:val="0"/>
                <w:numId w:val="1"/>
              </w:numPr>
              <w:tabs>
                <w:tab w:val="left" w:pos="357"/>
              </w:tabs>
              <w:spacing w:after="60"/>
              <w:ind w:left="357" w:hanging="357"/>
              <w:rPr>
                <w:rFonts w:cs="Arial"/>
                <w:szCs w:val="22"/>
              </w:rPr>
            </w:pPr>
            <w:r w:rsidRPr="00BF291E">
              <w:rPr>
                <w:rFonts w:cs="Arial"/>
                <w:color w:val="000000"/>
                <w:szCs w:val="22"/>
              </w:rPr>
              <w:t xml:space="preserve">Complaints that amount to an allegation of misconduct on </w:t>
            </w:r>
            <w:r w:rsidR="00BF291E" w:rsidRPr="00BF291E">
              <w:rPr>
                <w:rFonts w:cs="Arial"/>
                <w:color w:val="000000"/>
                <w:szCs w:val="22"/>
              </w:rPr>
              <w:t>behalf</w:t>
            </w:r>
            <w:r w:rsidR="00443A38" w:rsidRPr="00BF291E">
              <w:rPr>
                <w:rFonts w:cs="Arial"/>
                <w:color w:val="000000"/>
                <w:szCs w:val="22"/>
              </w:rPr>
              <w:t xml:space="preserve"> of another employee may </w:t>
            </w:r>
            <w:r w:rsidRPr="00BF291E">
              <w:rPr>
                <w:rFonts w:cs="Arial"/>
                <w:color w:val="000000"/>
                <w:szCs w:val="22"/>
              </w:rPr>
              <w:t>be investigated and dealt with under the Disciplinary policy</w:t>
            </w:r>
            <w:r w:rsidRPr="00BF291E">
              <w:rPr>
                <w:rFonts w:cs="Arial"/>
                <w:szCs w:val="22"/>
              </w:rPr>
              <w:t>.</w:t>
            </w:r>
          </w:p>
        </w:tc>
      </w:tr>
      <w:tr w:rsidR="0009315A" w:rsidRPr="00426C68" w:rsidTr="002068A2">
        <w:trPr>
          <w:trHeight w:val="283"/>
        </w:trPr>
        <w:tc>
          <w:tcPr>
            <w:tcW w:w="1020" w:type="dxa"/>
          </w:tcPr>
          <w:p w:rsidR="0009315A" w:rsidRPr="00426C68" w:rsidRDefault="0009315A" w:rsidP="00143B12">
            <w:pPr>
              <w:spacing w:after="60"/>
              <w:rPr>
                <w:rFonts w:cs="Arial"/>
                <w:szCs w:val="22"/>
              </w:rPr>
            </w:pPr>
          </w:p>
        </w:tc>
        <w:tc>
          <w:tcPr>
            <w:tcW w:w="8731" w:type="dxa"/>
          </w:tcPr>
          <w:p w:rsidR="0009315A" w:rsidRPr="00426C68" w:rsidRDefault="0009315A" w:rsidP="00143B12">
            <w:pPr>
              <w:pStyle w:val="ListParagraph"/>
              <w:numPr>
                <w:ilvl w:val="0"/>
                <w:numId w:val="1"/>
              </w:numPr>
              <w:tabs>
                <w:tab w:val="left" w:pos="357"/>
              </w:tabs>
              <w:spacing w:after="60"/>
              <w:ind w:left="357" w:hanging="357"/>
              <w:rPr>
                <w:rFonts w:cs="Arial"/>
                <w:szCs w:val="22"/>
              </w:rPr>
            </w:pPr>
            <w:r w:rsidRPr="00426C68">
              <w:rPr>
                <w:rFonts w:cs="Arial"/>
                <w:color w:val="000000"/>
                <w:szCs w:val="22"/>
              </w:rPr>
              <w:t>Where the grievance has previously been raised and/or seen through to appeal through another policy.</w:t>
            </w:r>
          </w:p>
        </w:tc>
      </w:tr>
      <w:tr w:rsidR="00A37FA1" w:rsidRPr="00426C68" w:rsidTr="00684B45">
        <w:trPr>
          <w:trHeight w:val="283"/>
        </w:trPr>
        <w:tc>
          <w:tcPr>
            <w:tcW w:w="1020" w:type="dxa"/>
          </w:tcPr>
          <w:p w:rsidR="00A37FA1" w:rsidRPr="00426C68" w:rsidRDefault="00A37FA1" w:rsidP="00143B12">
            <w:pPr>
              <w:spacing w:after="60"/>
              <w:rPr>
                <w:rFonts w:cs="Arial"/>
                <w:szCs w:val="22"/>
              </w:rPr>
            </w:pPr>
          </w:p>
        </w:tc>
        <w:tc>
          <w:tcPr>
            <w:tcW w:w="8731" w:type="dxa"/>
          </w:tcPr>
          <w:p w:rsidR="007D2D4F" w:rsidRPr="00426C68" w:rsidRDefault="007D2D4F" w:rsidP="00143B12">
            <w:pPr>
              <w:pStyle w:val="ListParagraph"/>
              <w:numPr>
                <w:ilvl w:val="0"/>
                <w:numId w:val="1"/>
              </w:numPr>
              <w:tabs>
                <w:tab w:val="left" w:pos="357"/>
              </w:tabs>
              <w:spacing w:after="60"/>
              <w:ind w:left="357" w:hanging="357"/>
              <w:rPr>
                <w:rFonts w:cs="Arial"/>
                <w:szCs w:val="22"/>
              </w:rPr>
            </w:pPr>
            <w:r w:rsidRPr="00426C68">
              <w:rPr>
                <w:rFonts w:cs="Arial"/>
                <w:szCs w:val="22"/>
              </w:rPr>
              <w:t xml:space="preserve">Where there has been an unreasonable delay in submitting a grievance </w:t>
            </w:r>
            <w:r w:rsidR="00487F20" w:rsidRPr="00426C68">
              <w:rPr>
                <w:rFonts w:cs="Arial"/>
                <w:szCs w:val="22"/>
              </w:rPr>
              <w:t xml:space="preserve">by which it has </w:t>
            </w:r>
            <w:r w:rsidRPr="00426C68">
              <w:rPr>
                <w:rFonts w:cs="Arial"/>
                <w:szCs w:val="22"/>
              </w:rPr>
              <w:t>compromise</w:t>
            </w:r>
            <w:r w:rsidR="00487F20" w:rsidRPr="00426C68">
              <w:rPr>
                <w:rFonts w:cs="Arial"/>
                <w:szCs w:val="22"/>
              </w:rPr>
              <w:t>d</w:t>
            </w:r>
            <w:r w:rsidRPr="00426C68">
              <w:rPr>
                <w:rFonts w:cs="Arial"/>
                <w:szCs w:val="22"/>
              </w:rPr>
              <w:t xml:space="preserve"> the school’s ability to address and resolve it</w:t>
            </w:r>
            <w:r w:rsidR="00487F20" w:rsidRPr="00426C68">
              <w:rPr>
                <w:rFonts w:cs="Arial"/>
                <w:szCs w:val="22"/>
              </w:rPr>
              <w:t>.</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A37FA1" w:rsidRPr="00426C68" w:rsidTr="00684B45">
        <w:trPr>
          <w:trHeight w:val="283"/>
        </w:trPr>
        <w:tc>
          <w:tcPr>
            <w:tcW w:w="1020" w:type="dxa"/>
          </w:tcPr>
          <w:p w:rsidR="00A37FA1" w:rsidRPr="00426C68" w:rsidRDefault="00A37FA1" w:rsidP="00143B12">
            <w:pPr>
              <w:spacing w:after="60"/>
              <w:rPr>
                <w:rFonts w:cs="Arial"/>
                <w:szCs w:val="22"/>
              </w:rPr>
            </w:pPr>
            <w:r w:rsidRPr="00426C68">
              <w:rPr>
                <w:rFonts w:cs="Arial"/>
                <w:szCs w:val="22"/>
              </w:rPr>
              <w:t>1.</w:t>
            </w:r>
            <w:r w:rsidR="00E1381C" w:rsidRPr="00426C68">
              <w:rPr>
                <w:rFonts w:cs="Arial"/>
                <w:szCs w:val="22"/>
              </w:rPr>
              <w:t>4</w:t>
            </w:r>
          </w:p>
        </w:tc>
        <w:tc>
          <w:tcPr>
            <w:tcW w:w="8731" w:type="dxa"/>
          </w:tcPr>
          <w:p w:rsidR="00A37FA1" w:rsidRPr="00426C68" w:rsidRDefault="00105DA6" w:rsidP="00143B12">
            <w:pPr>
              <w:spacing w:after="60"/>
              <w:rPr>
                <w:rFonts w:cs="Arial"/>
                <w:bCs/>
                <w:szCs w:val="22"/>
              </w:rPr>
            </w:pPr>
            <w:r w:rsidRPr="00426C68">
              <w:rPr>
                <w:rFonts w:cs="Arial"/>
                <w:color w:val="000000"/>
                <w:szCs w:val="22"/>
              </w:rPr>
              <w:t>If an</w:t>
            </w:r>
            <w:r w:rsidR="00E16B1E" w:rsidRPr="00426C68">
              <w:rPr>
                <w:rFonts w:cs="Arial"/>
                <w:color w:val="000000"/>
                <w:szCs w:val="22"/>
              </w:rPr>
              <w:t xml:space="preserve"> employee</w:t>
            </w:r>
            <w:r w:rsidRPr="00426C68">
              <w:rPr>
                <w:rFonts w:cs="Arial"/>
                <w:color w:val="000000"/>
                <w:szCs w:val="22"/>
              </w:rPr>
              <w:t xml:space="preserve"> who is</w:t>
            </w:r>
            <w:r w:rsidR="00E16B1E" w:rsidRPr="00426C68">
              <w:rPr>
                <w:rFonts w:cs="Arial"/>
                <w:color w:val="000000"/>
                <w:szCs w:val="22"/>
              </w:rPr>
              <w:t xml:space="preserve"> subject to a disciplinary process raises a grievance, </w:t>
            </w:r>
            <w:r w:rsidR="00B76AF0" w:rsidRPr="00426C68">
              <w:rPr>
                <w:rFonts w:cs="Arial"/>
                <w:color w:val="000000"/>
                <w:szCs w:val="22"/>
              </w:rPr>
              <w:t>the School</w:t>
            </w:r>
            <w:r w:rsidR="00E16B1E" w:rsidRPr="00426C68">
              <w:rPr>
                <w:rFonts w:cs="Arial"/>
                <w:color w:val="000000"/>
                <w:szCs w:val="22"/>
              </w:rPr>
              <w:t xml:space="preserve"> will consider if it is appropriate to temporarily suspend the disciplinary process in order to deal with the grievance. </w:t>
            </w:r>
            <w:r w:rsidR="00946575" w:rsidRPr="00426C68">
              <w:rPr>
                <w:rFonts w:cs="Arial"/>
                <w:color w:val="000000" w:themeColor="text1"/>
                <w:szCs w:val="22"/>
              </w:rPr>
              <w:t>After the grievance has been investigated the School will make a final decision as to whether or not to continue to follow the Disciplinary policy</w:t>
            </w:r>
            <w:r w:rsidR="00B50F76" w:rsidRPr="00426C68">
              <w:rPr>
                <w:rFonts w:cs="Arial"/>
                <w:color w:val="000000" w:themeColor="text1"/>
                <w:szCs w:val="22"/>
              </w:rPr>
              <w:t>.</w:t>
            </w:r>
            <w:r w:rsidR="00A96275" w:rsidRPr="00426C68">
              <w:rPr>
                <w:rFonts w:cs="Arial"/>
                <w:color w:val="000000" w:themeColor="text1"/>
                <w:szCs w:val="22"/>
              </w:rPr>
              <w:t xml:space="preserve"> </w:t>
            </w:r>
            <w:r w:rsidR="00A96275" w:rsidRPr="00426C68">
              <w:rPr>
                <w:rFonts w:cs="Arial"/>
                <w:color w:val="000000"/>
                <w:szCs w:val="22"/>
              </w:rPr>
              <w:t>In most cases, it is expected that the grievance and disciplinary cases will be dealt with concurrently.</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E16B1E" w:rsidRPr="00426C68" w:rsidTr="00684B45">
        <w:trPr>
          <w:trHeight w:val="283"/>
        </w:trPr>
        <w:tc>
          <w:tcPr>
            <w:tcW w:w="1020" w:type="dxa"/>
          </w:tcPr>
          <w:p w:rsidR="00E16B1E" w:rsidRPr="00426C68" w:rsidRDefault="00E16B1E" w:rsidP="00143B12">
            <w:pPr>
              <w:spacing w:after="60"/>
              <w:rPr>
                <w:rFonts w:cs="Arial"/>
                <w:szCs w:val="22"/>
              </w:rPr>
            </w:pPr>
            <w:r w:rsidRPr="00426C68">
              <w:rPr>
                <w:rFonts w:cs="Arial"/>
                <w:szCs w:val="22"/>
              </w:rPr>
              <w:t>1.</w:t>
            </w:r>
            <w:r w:rsidR="00E1381C" w:rsidRPr="00426C68">
              <w:rPr>
                <w:rFonts w:cs="Arial"/>
                <w:szCs w:val="22"/>
              </w:rPr>
              <w:t>5</w:t>
            </w:r>
          </w:p>
        </w:tc>
        <w:tc>
          <w:tcPr>
            <w:tcW w:w="8731" w:type="dxa"/>
          </w:tcPr>
          <w:p w:rsidR="00E16B1E" w:rsidRPr="00426C68" w:rsidRDefault="00E16B1E" w:rsidP="00143B12">
            <w:pPr>
              <w:spacing w:after="60"/>
              <w:rPr>
                <w:rFonts w:cs="Arial"/>
                <w:color w:val="000000"/>
                <w:szCs w:val="22"/>
              </w:rPr>
            </w:pPr>
            <w:r w:rsidRPr="00426C68">
              <w:rPr>
                <w:rFonts w:cs="Arial"/>
                <w:szCs w:val="22"/>
              </w:rPr>
              <w:t xml:space="preserve">This policy is compliant with the </w:t>
            </w:r>
            <w:smartTag w:uri="urn:schemas-microsoft-com:office:smarttags" w:element="stockticker">
              <w:r w:rsidRPr="00426C68">
                <w:rPr>
                  <w:rFonts w:cs="Arial"/>
                  <w:szCs w:val="22"/>
                </w:rPr>
                <w:t>ACAS</w:t>
              </w:r>
            </w:smartTag>
            <w:r w:rsidRPr="00426C68">
              <w:rPr>
                <w:rFonts w:cs="Arial"/>
                <w:szCs w:val="22"/>
              </w:rPr>
              <w:t xml:space="preserve"> Code of Practice.</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E1381C" w:rsidRPr="00426C68" w:rsidTr="00684B45">
        <w:trPr>
          <w:trHeight w:val="283"/>
        </w:trPr>
        <w:tc>
          <w:tcPr>
            <w:tcW w:w="1020" w:type="dxa"/>
          </w:tcPr>
          <w:p w:rsidR="00E1381C" w:rsidRPr="00426C68" w:rsidRDefault="00E1381C" w:rsidP="00143B12">
            <w:pPr>
              <w:spacing w:after="60"/>
              <w:rPr>
                <w:rFonts w:cs="Arial"/>
                <w:szCs w:val="22"/>
              </w:rPr>
            </w:pPr>
            <w:r w:rsidRPr="00426C68">
              <w:rPr>
                <w:rFonts w:cs="Arial"/>
                <w:szCs w:val="22"/>
              </w:rPr>
              <w:t>1.6</w:t>
            </w:r>
          </w:p>
        </w:tc>
        <w:tc>
          <w:tcPr>
            <w:tcW w:w="8731" w:type="dxa"/>
          </w:tcPr>
          <w:p w:rsidR="00E1381C" w:rsidRPr="00426C68" w:rsidRDefault="00E1381C" w:rsidP="00143B12">
            <w:pPr>
              <w:spacing w:after="60"/>
              <w:rPr>
                <w:rFonts w:cs="Arial"/>
                <w:bCs/>
                <w:szCs w:val="22"/>
              </w:rPr>
            </w:pPr>
            <w:r w:rsidRPr="00426C68">
              <w:rPr>
                <w:rFonts w:cs="Arial"/>
                <w:szCs w:val="22"/>
              </w:rPr>
              <w:t xml:space="preserve">This policy applies to all employees and casual workers employed by the School. It does not apply to agency staff, consultants, and external </w:t>
            </w:r>
            <w:proofErr w:type="spellStart"/>
            <w:r w:rsidRPr="00426C68">
              <w:rPr>
                <w:rFonts w:cs="Arial"/>
                <w:szCs w:val="22"/>
              </w:rPr>
              <w:t>secondees</w:t>
            </w:r>
            <w:proofErr w:type="spellEnd"/>
            <w:r w:rsidRPr="00426C68">
              <w:rPr>
                <w:rFonts w:cs="Arial"/>
                <w:szCs w:val="22"/>
              </w:rPr>
              <w:t xml:space="preserve"> working for the School.</w:t>
            </w:r>
          </w:p>
        </w:tc>
      </w:tr>
      <w:tr w:rsidR="006363F7" w:rsidRPr="00426C68" w:rsidTr="001800E3">
        <w:trPr>
          <w:trHeight w:val="283"/>
        </w:trPr>
        <w:tc>
          <w:tcPr>
            <w:tcW w:w="1020" w:type="dxa"/>
          </w:tcPr>
          <w:p w:rsidR="006363F7" w:rsidRPr="00426C68" w:rsidRDefault="006363F7" w:rsidP="00B94F6A">
            <w:pPr>
              <w:spacing w:after="60"/>
              <w:jc w:val="both"/>
              <w:rPr>
                <w:rFonts w:cs="Arial"/>
                <w:szCs w:val="22"/>
              </w:rPr>
            </w:pPr>
          </w:p>
        </w:tc>
        <w:tc>
          <w:tcPr>
            <w:tcW w:w="8731" w:type="dxa"/>
          </w:tcPr>
          <w:p w:rsidR="006363F7" w:rsidRPr="00426C68" w:rsidRDefault="006363F7" w:rsidP="00B94F6A">
            <w:pPr>
              <w:spacing w:after="60"/>
              <w:jc w:val="both"/>
              <w:rPr>
                <w:rFonts w:cs="Arial"/>
                <w:szCs w:val="22"/>
              </w:rPr>
            </w:pPr>
          </w:p>
        </w:tc>
      </w:tr>
      <w:tr w:rsidR="006363F7" w:rsidRPr="00426C68" w:rsidTr="001800E3">
        <w:trPr>
          <w:trHeight w:val="283"/>
        </w:trPr>
        <w:tc>
          <w:tcPr>
            <w:tcW w:w="1020" w:type="dxa"/>
          </w:tcPr>
          <w:p w:rsidR="006363F7" w:rsidRPr="00426C68" w:rsidRDefault="006363F7" w:rsidP="00143B12">
            <w:pPr>
              <w:spacing w:after="60"/>
              <w:rPr>
                <w:rFonts w:cs="Arial"/>
                <w:szCs w:val="22"/>
              </w:rPr>
            </w:pPr>
            <w:r w:rsidRPr="00426C68">
              <w:rPr>
                <w:rFonts w:cs="Arial"/>
                <w:szCs w:val="22"/>
              </w:rPr>
              <w:t>1.7</w:t>
            </w:r>
          </w:p>
        </w:tc>
        <w:tc>
          <w:tcPr>
            <w:tcW w:w="8731" w:type="dxa"/>
          </w:tcPr>
          <w:p w:rsidR="006363F7" w:rsidRPr="00426C68" w:rsidRDefault="006363F7" w:rsidP="00143B12">
            <w:pPr>
              <w:spacing w:after="60"/>
              <w:rPr>
                <w:rFonts w:cs="Arial"/>
                <w:szCs w:val="22"/>
              </w:rPr>
            </w:pPr>
            <w:r w:rsidRPr="00426C68">
              <w:rPr>
                <w:rFonts w:cs="Arial"/>
                <w:szCs w:val="22"/>
              </w:rPr>
              <w:t>This policy does not form part of any individual employee’s contract of employment with the School.</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743FFB" w:rsidRPr="00426C68" w:rsidTr="00684B45">
        <w:trPr>
          <w:trHeight w:val="283"/>
        </w:trPr>
        <w:tc>
          <w:tcPr>
            <w:tcW w:w="1020" w:type="dxa"/>
          </w:tcPr>
          <w:p w:rsidR="00743FFB" w:rsidRPr="00426C68" w:rsidRDefault="00743FFB" w:rsidP="00143B12">
            <w:pPr>
              <w:spacing w:after="60"/>
              <w:rPr>
                <w:rFonts w:cs="Arial"/>
                <w:szCs w:val="22"/>
              </w:rPr>
            </w:pPr>
            <w:r w:rsidRPr="00426C68">
              <w:rPr>
                <w:rFonts w:cs="Arial"/>
                <w:szCs w:val="22"/>
              </w:rPr>
              <w:t>1.</w:t>
            </w:r>
            <w:r w:rsidR="006363F7" w:rsidRPr="00426C68">
              <w:rPr>
                <w:rFonts w:cs="Arial"/>
                <w:szCs w:val="22"/>
              </w:rPr>
              <w:t>8</w:t>
            </w:r>
          </w:p>
        </w:tc>
        <w:tc>
          <w:tcPr>
            <w:tcW w:w="8731" w:type="dxa"/>
          </w:tcPr>
          <w:p w:rsidR="00743FFB" w:rsidRPr="00426C68" w:rsidRDefault="00DF6CAB" w:rsidP="00143B12">
            <w:pPr>
              <w:spacing w:after="60"/>
              <w:rPr>
                <w:rFonts w:cs="Arial"/>
                <w:szCs w:val="22"/>
              </w:rPr>
            </w:pPr>
            <w:r w:rsidRPr="00426C68">
              <w:rPr>
                <w:rFonts w:cs="Arial"/>
                <w:szCs w:val="22"/>
              </w:rPr>
              <w:t xml:space="preserve">The purpose of this policy is to set out what is required and the options available to the School in dealing with grievance issues. </w:t>
            </w:r>
            <w:r w:rsidR="00D66E4E" w:rsidRPr="00426C68">
              <w:rPr>
                <w:rFonts w:cs="Arial"/>
                <w:szCs w:val="22"/>
              </w:rPr>
              <w:t xml:space="preserve">For comprehensive </w:t>
            </w:r>
            <w:r w:rsidRPr="00426C68">
              <w:rPr>
                <w:rFonts w:cs="Arial"/>
                <w:szCs w:val="22"/>
              </w:rPr>
              <w:t>guidance</w:t>
            </w:r>
            <w:r w:rsidR="00D66E4E" w:rsidRPr="00426C68">
              <w:rPr>
                <w:rFonts w:cs="Arial"/>
                <w:szCs w:val="22"/>
              </w:rPr>
              <w:t xml:space="preserve"> on how to effectively implement this policy the school should refer to the Grievance </w:t>
            </w:r>
            <w:r w:rsidR="002D3972" w:rsidRPr="00426C68">
              <w:rPr>
                <w:rFonts w:cs="Arial"/>
                <w:szCs w:val="22"/>
              </w:rPr>
              <w:t xml:space="preserve">Resolution </w:t>
            </w:r>
            <w:r w:rsidR="00D66E4E" w:rsidRPr="00426C68">
              <w:rPr>
                <w:rFonts w:cs="Arial"/>
                <w:szCs w:val="22"/>
              </w:rPr>
              <w:t>Toolkit</w:t>
            </w:r>
            <w:r w:rsidR="00C87ABE" w:rsidRPr="00426C68">
              <w:rPr>
                <w:rFonts w:cs="Arial"/>
                <w:szCs w:val="22"/>
              </w:rPr>
              <w:t>.</w:t>
            </w:r>
          </w:p>
        </w:tc>
      </w:tr>
    </w:tbl>
    <w:p w:rsidR="00A37FA1" w:rsidRPr="00426C68" w:rsidRDefault="00A37FA1" w:rsidP="00B94F6A">
      <w:pPr>
        <w:jc w:val="both"/>
        <w:rPr>
          <w:rFonts w:cs="Arial"/>
          <w:color w:val="000000"/>
          <w:szCs w:val="22"/>
        </w:rPr>
      </w:pPr>
    </w:p>
    <w:tbl>
      <w:tblPr>
        <w:tblW w:w="9751" w:type="dxa"/>
        <w:tblLook w:val="0000" w:firstRow="0" w:lastRow="0" w:firstColumn="0" w:lastColumn="0" w:noHBand="0" w:noVBand="0"/>
      </w:tblPr>
      <w:tblGrid>
        <w:gridCol w:w="1020"/>
        <w:gridCol w:w="8731"/>
      </w:tblGrid>
      <w:tr w:rsidR="00C547A7" w:rsidRPr="00426C68" w:rsidTr="00684B45">
        <w:trPr>
          <w:trHeight w:val="283"/>
        </w:trPr>
        <w:tc>
          <w:tcPr>
            <w:tcW w:w="1020" w:type="dxa"/>
          </w:tcPr>
          <w:p w:rsidR="00C547A7" w:rsidRPr="00AC3102" w:rsidRDefault="00C547A7" w:rsidP="00B94F6A">
            <w:pPr>
              <w:jc w:val="both"/>
              <w:rPr>
                <w:b/>
                <w:bCs/>
                <w:sz w:val="28"/>
              </w:rPr>
            </w:pPr>
            <w:r w:rsidRPr="00AC3102">
              <w:rPr>
                <w:b/>
                <w:bCs/>
                <w:sz w:val="28"/>
              </w:rPr>
              <w:t>2.0</w:t>
            </w:r>
          </w:p>
        </w:tc>
        <w:tc>
          <w:tcPr>
            <w:tcW w:w="8731" w:type="dxa"/>
          </w:tcPr>
          <w:p w:rsidR="00C547A7" w:rsidRPr="00AC3102" w:rsidRDefault="00C547A7" w:rsidP="00B94F6A">
            <w:pPr>
              <w:jc w:val="both"/>
              <w:rPr>
                <w:b/>
                <w:bCs/>
                <w:sz w:val="28"/>
              </w:rPr>
            </w:pPr>
            <w:r w:rsidRPr="00AC3102">
              <w:rPr>
                <w:b/>
                <w:bCs/>
                <w:sz w:val="28"/>
              </w:rPr>
              <w:t>Principles</w:t>
            </w:r>
          </w:p>
        </w:tc>
      </w:tr>
      <w:tr w:rsidR="00C547A7" w:rsidRPr="00426C68" w:rsidTr="00684B45">
        <w:trPr>
          <w:trHeight w:val="283"/>
        </w:trPr>
        <w:tc>
          <w:tcPr>
            <w:tcW w:w="1020" w:type="dxa"/>
          </w:tcPr>
          <w:p w:rsidR="00C547A7" w:rsidRPr="00426C68" w:rsidRDefault="00C547A7" w:rsidP="00B94F6A">
            <w:pPr>
              <w:spacing w:after="60"/>
              <w:jc w:val="both"/>
              <w:rPr>
                <w:rFonts w:cs="Arial"/>
                <w:szCs w:val="22"/>
              </w:rPr>
            </w:pPr>
          </w:p>
        </w:tc>
        <w:tc>
          <w:tcPr>
            <w:tcW w:w="8731" w:type="dxa"/>
          </w:tcPr>
          <w:p w:rsidR="00C547A7" w:rsidRPr="00426C68" w:rsidRDefault="00C547A7" w:rsidP="00B94F6A">
            <w:pPr>
              <w:spacing w:after="60"/>
              <w:jc w:val="both"/>
              <w:rPr>
                <w:rFonts w:cs="Arial"/>
                <w:szCs w:val="22"/>
              </w:rPr>
            </w:pPr>
          </w:p>
        </w:tc>
      </w:tr>
      <w:tr w:rsidR="00C547A7" w:rsidRPr="00426C68" w:rsidTr="00684B45">
        <w:trPr>
          <w:trHeight w:val="283"/>
        </w:trPr>
        <w:tc>
          <w:tcPr>
            <w:tcW w:w="1020" w:type="dxa"/>
          </w:tcPr>
          <w:p w:rsidR="00C547A7" w:rsidRPr="00426C68" w:rsidRDefault="00C547A7" w:rsidP="00143B12">
            <w:pPr>
              <w:spacing w:after="60"/>
              <w:rPr>
                <w:rFonts w:cs="Arial"/>
                <w:szCs w:val="22"/>
              </w:rPr>
            </w:pPr>
            <w:r w:rsidRPr="00426C68">
              <w:rPr>
                <w:rFonts w:cs="Arial"/>
                <w:szCs w:val="22"/>
              </w:rPr>
              <w:t>2.1</w:t>
            </w:r>
          </w:p>
        </w:tc>
        <w:tc>
          <w:tcPr>
            <w:tcW w:w="8731" w:type="dxa"/>
          </w:tcPr>
          <w:p w:rsidR="00C547A7" w:rsidRPr="00426C68" w:rsidRDefault="00397641" w:rsidP="00143B12">
            <w:pPr>
              <w:spacing w:after="60"/>
              <w:rPr>
                <w:rFonts w:cs="Arial"/>
                <w:spacing w:val="-3"/>
                <w:szCs w:val="22"/>
              </w:rPr>
            </w:pPr>
            <w:r w:rsidRPr="00426C68">
              <w:rPr>
                <w:rFonts w:cs="Arial"/>
                <w:spacing w:val="-3"/>
                <w:szCs w:val="22"/>
              </w:rPr>
              <w:t>Grievances should be addressed</w:t>
            </w:r>
            <w:r w:rsidR="00C547A7" w:rsidRPr="00426C68">
              <w:rPr>
                <w:rFonts w:cs="Arial"/>
                <w:spacing w:val="-3"/>
                <w:szCs w:val="22"/>
              </w:rPr>
              <w:t xml:space="preserve"> at the earliest reasonable opportunity</w:t>
            </w:r>
            <w:r w:rsidR="00FA37A0" w:rsidRPr="00426C68">
              <w:rPr>
                <w:rFonts w:cs="Arial"/>
                <w:spacing w:val="-3"/>
                <w:szCs w:val="22"/>
              </w:rPr>
              <w:t>, without unreasonable delay</w:t>
            </w:r>
            <w:r w:rsidR="00C547A7" w:rsidRPr="00426C68">
              <w:rPr>
                <w:rFonts w:cs="Arial"/>
                <w:spacing w:val="-3"/>
                <w:szCs w:val="22"/>
              </w:rPr>
              <w:t xml:space="preserve">. </w:t>
            </w:r>
            <w:r w:rsidR="007D75AA" w:rsidRPr="00426C68">
              <w:rPr>
                <w:rFonts w:cs="Arial"/>
                <w:spacing w:val="-3"/>
                <w:szCs w:val="22"/>
              </w:rPr>
              <w:t>However, timescales may be varied on account of unavoidable circumstances or by mutual consent.</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63590F" w:rsidRPr="00426C68" w:rsidTr="00684B45">
        <w:trPr>
          <w:trHeight w:val="283"/>
        </w:trPr>
        <w:tc>
          <w:tcPr>
            <w:tcW w:w="1020" w:type="dxa"/>
          </w:tcPr>
          <w:p w:rsidR="0063590F" w:rsidRPr="00426C68" w:rsidRDefault="0063590F" w:rsidP="00143B12">
            <w:pPr>
              <w:spacing w:after="60"/>
              <w:rPr>
                <w:rFonts w:cs="Arial"/>
                <w:szCs w:val="22"/>
              </w:rPr>
            </w:pPr>
            <w:r w:rsidRPr="00426C68">
              <w:rPr>
                <w:rFonts w:cs="Arial"/>
                <w:szCs w:val="22"/>
              </w:rPr>
              <w:lastRenderedPageBreak/>
              <w:t>2.</w:t>
            </w:r>
            <w:r w:rsidR="00840A4D" w:rsidRPr="00426C68">
              <w:rPr>
                <w:rFonts w:cs="Arial"/>
                <w:szCs w:val="22"/>
              </w:rPr>
              <w:t>2</w:t>
            </w:r>
          </w:p>
        </w:tc>
        <w:tc>
          <w:tcPr>
            <w:tcW w:w="8731" w:type="dxa"/>
          </w:tcPr>
          <w:p w:rsidR="0063590F" w:rsidRPr="00426C68" w:rsidRDefault="0063590F" w:rsidP="00143B12">
            <w:pPr>
              <w:spacing w:after="60"/>
              <w:rPr>
                <w:rFonts w:cs="Arial"/>
                <w:color w:val="000000"/>
                <w:szCs w:val="22"/>
              </w:rPr>
            </w:pPr>
            <w:r w:rsidRPr="00426C68">
              <w:rPr>
                <w:rFonts w:cs="Arial"/>
                <w:szCs w:val="22"/>
              </w:rPr>
              <w:t xml:space="preserve">Where a group of employees wish to raise a grievance, then the group will need to either nominate one individual from their group or a trade union representative to </w:t>
            </w:r>
            <w:r w:rsidR="00946575" w:rsidRPr="00426C68">
              <w:rPr>
                <w:rFonts w:cs="Arial"/>
                <w:szCs w:val="22"/>
              </w:rPr>
              <w:t>present this</w:t>
            </w:r>
            <w:r w:rsidRPr="00426C68">
              <w:rPr>
                <w:rFonts w:cs="Arial"/>
                <w:szCs w:val="22"/>
              </w:rPr>
              <w:t xml:space="preserve"> on their behalf.</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63590F" w:rsidRPr="00426C68" w:rsidTr="00684B45">
        <w:trPr>
          <w:trHeight w:val="283"/>
        </w:trPr>
        <w:tc>
          <w:tcPr>
            <w:tcW w:w="1020" w:type="dxa"/>
          </w:tcPr>
          <w:p w:rsidR="0063590F" w:rsidRPr="00426C68" w:rsidRDefault="0063590F" w:rsidP="00143B12">
            <w:pPr>
              <w:spacing w:after="60"/>
              <w:rPr>
                <w:rFonts w:cs="Arial"/>
                <w:szCs w:val="22"/>
              </w:rPr>
            </w:pPr>
            <w:r w:rsidRPr="00426C68">
              <w:rPr>
                <w:rFonts w:cs="Arial"/>
                <w:szCs w:val="22"/>
              </w:rPr>
              <w:t>2.</w:t>
            </w:r>
            <w:r w:rsidR="00840A4D" w:rsidRPr="00426C68">
              <w:rPr>
                <w:rFonts w:cs="Arial"/>
                <w:szCs w:val="22"/>
              </w:rPr>
              <w:t>3</w:t>
            </w:r>
          </w:p>
        </w:tc>
        <w:tc>
          <w:tcPr>
            <w:tcW w:w="8731" w:type="dxa"/>
          </w:tcPr>
          <w:p w:rsidR="0063590F" w:rsidRPr="00426C68" w:rsidRDefault="0063590F" w:rsidP="00143B12">
            <w:pPr>
              <w:spacing w:after="60"/>
              <w:rPr>
                <w:rFonts w:cs="Arial"/>
                <w:szCs w:val="22"/>
              </w:rPr>
            </w:pPr>
            <w:r w:rsidRPr="00426C68">
              <w:rPr>
                <w:rFonts w:cs="Arial"/>
                <w:spacing w:val="-3"/>
                <w:szCs w:val="22"/>
              </w:rPr>
              <w:t>Normal working, except as jointly agreed, will continue until completion of the grievance process.</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63590F" w:rsidRPr="00426C68" w:rsidTr="00684B45">
        <w:trPr>
          <w:trHeight w:val="283"/>
        </w:trPr>
        <w:tc>
          <w:tcPr>
            <w:tcW w:w="1020" w:type="dxa"/>
          </w:tcPr>
          <w:p w:rsidR="00E05633" w:rsidRPr="00426C68" w:rsidRDefault="0063590F" w:rsidP="00143B12">
            <w:pPr>
              <w:spacing w:after="60"/>
              <w:rPr>
                <w:rFonts w:cs="Arial"/>
                <w:szCs w:val="22"/>
              </w:rPr>
            </w:pPr>
            <w:r w:rsidRPr="00426C68">
              <w:rPr>
                <w:rFonts w:cs="Arial"/>
                <w:szCs w:val="22"/>
              </w:rPr>
              <w:t>2.</w:t>
            </w:r>
            <w:r w:rsidR="00143B12">
              <w:rPr>
                <w:rFonts w:cs="Arial"/>
                <w:szCs w:val="22"/>
              </w:rPr>
              <w:t>4</w:t>
            </w:r>
          </w:p>
        </w:tc>
        <w:tc>
          <w:tcPr>
            <w:tcW w:w="8731" w:type="dxa"/>
          </w:tcPr>
          <w:p w:rsidR="00D66E4E" w:rsidRPr="00143B12" w:rsidRDefault="00E05633" w:rsidP="00AF03A4">
            <w:pPr>
              <w:rPr>
                <w:rFonts w:cs="Arial"/>
                <w:color w:val="000000" w:themeColor="text1"/>
                <w:szCs w:val="22"/>
              </w:rPr>
            </w:pPr>
            <w:r w:rsidRPr="00A15123">
              <w:rPr>
                <w:rFonts w:cs="Arial"/>
                <w:color w:val="000000" w:themeColor="text1"/>
                <w:szCs w:val="22"/>
              </w:rPr>
              <w:t xml:space="preserve">No employee will suffer detriment for raising a formal grievance in good faith, or for assisting a colleague to do so, </w:t>
            </w:r>
            <w:r w:rsidR="00AF03A4">
              <w:rPr>
                <w:rFonts w:cs="Arial"/>
                <w:color w:val="000000" w:themeColor="text1"/>
                <w:szCs w:val="22"/>
              </w:rPr>
              <w:t>even</w:t>
            </w:r>
            <w:r w:rsidRPr="00A15123">
              <w:rPr>
                <w:rFonts w:cs="Arial"/>
                <w:color w:val="000000" w:themeColor="text1"/>
                <w:szCs w:val="22"/>
                <w:lang w:val="en"/>
              </w:rPr>
              <w:t xml:space="preserve"> if the grievance is not substantiated.   </w:t>
            </w:r>
            <w:r w:rsidRPr="00A15123">
              <w:rPr>
                <w:rFonts w:cs="Arial"/>
                <w:color w:val="000000" w:themeColor="text1"/>
                <w:szCs w:val="22"/>
              </w:rPr>
              <w:t>However, if an employee is found to have used this policy frivolously, maliciously or excessively without legitimate grounds, disciplinary action may be considered</w:t>
            </w:r>
          </w:p>
        </w:tc>
      </w:tr>
      <w:tr w:rsidR="00143B12" w:rsidRPr="00143B12" w:rsidTr="00684B45">
        <w:trPr>
          <w:trHeight w:val="283"/>
        </w:trPr>
        <w:tc>
          <w:tcPr>
            <w:tcW w:w="1020" w:type="dxa"/>
          </w:tcPr>
          <w:p w:rsidR="00143B12" w:rsidRPr="00143B12" w:rsidRDefault="00143B12" w:rsidP="00143B12">
            <w:pPr>
              <w:spacing w:after="60"/>
              <w:rPr>
                <w:rFonts w:cs="Arial"/>
                <w:szCs w:val="22"/>
              </w:rPr>
            </w:pPr>
          </w:p>
        </w:tc>
        <w:tc>
          <w:tcPr>
            <w:tcW w:w="8731" w:type="dxa"/>
          </w:tcPr>
          <w:p w:rsidR="00143B12" w:rsidRPr="00143B12" w:rsidRDefault="00143B12" w:rsidP="00143B12">
            <w:pPr>
              <w:rPr>
                <w:rFonts w:cs="Arial"/>
                <w:color w:val="000000" w:themeColor="text1"/>
                <w:szCs w:val="22"/>
              </w:rPr>
            </w:pPr>
          </w:p>
        </w:tc>
      </w:tr>
      <w:tr w:rsidR="00143B12" w:rsidRPr="00426C68" w:rsidTr="00684B45">
        <w:trPr>
          <w:trHeight w:val="283"/>
        </w:trPr>
        <w:tc>
          <w:tcPr>
            <w:tcW w:w="1020" w:type="dxa"/>
          </w:tcPr>
          <w:p w:rsidR="00143B12" w:rsidRPr="00426C68" w:rsidRDefault="00143B12" w:rsidP="00143B12">
            <w:pPr>
              <w:spacing w:after="60"/>
              <w:rPr>
                <w:rFonts w:cs="Arial"/>
                <w:szCs w:val="22"/>
              </w:rPr>
            </w:pPr>
            <w:r>
              <w:rPr>
                <w:rFonts w:cs="Arial"/>
                <w:szCs w:val="22"/>
              </w:rPr>
              <w:t>2.5</w:t>
            </w:r>
          </w:p>
        </w:tc>
        <w:tc>
          <w:tcPr>
            <w:tcW w:w="8731" w:type="dxa"/>
          </w:tcPr>
          <w:p w:rsidR="00143B12" w:rsidRPr="00A15123" w:rsidRDefault="00143B12" w:rsidP="00143B12">
            <w:pPr>
              <w:rPr>
                <w:rFonts w:cs="Arial"/>
                <w:color w:val="000000" w:themeColor="text1"/>
                <w:szCs w:val="22"/>
              </w:rPr>
            </w:pPr>
            <w:r w:rsidRPr="00A15123">
              <w:rPr>
                <w:rFonts w:cs="Arial"/>
                <w:color w:val="000000" w:themeColor="text1"/>
                <w:spacing w:val="-3"/>
                <w:szCs w:val="22"/>
              </w:rPr>
              <w:t>Where any grievance is upheld</w:t>
            </w:r>
            <w:r w:rsidRPr="00426C68">
              <w:rPr>
                <w:rFonts w:cs="Arial"/>
                <w:spacing w:val="-3"/>
                <w:szCs w:val="22"/>
              </w:rPr>
              <w:t>, the School may take further action by referring to the Disciplinary Policy and/or Performance Management Policy</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6409C1" w:rsidRPr="00426C68" w:rsidTr="00684B45">
        <w:tblPrEx>
          <w:tblLook w:val="04A0" w:firstRow="1" w:lastRow="0" w:firstColumn="1" w:lastColumn="0" w:noHBand="0" w:noVBand="1"/>
        </w:tblPrEx>
        <w:trPr>
          <w:trHeight w:val="283"/>
        </w:trPr>
        <w:tc>
          <w:tcPr>
            <w:tcW w:w="1020" w:type="dxa"/>
            <w:hideMark/>
          </w:tcPr>
          <w:p w:rsidR="006409C1" w:rsidRPr="00426C68" w:rsidRDefault="006409C1" w:rsidP="00143B12">
            <w:pPr>
              <w:spacing w:after="60"/>
              <w:rPr>
                <w:rFonts w:cs="Arial"/>
                <w:szCs w:val="22"/>
                <w:lang w:val="en-US"/>
              </w:rPr>
            </w:pPr>
            <w:r w:rsidRPr="00426C68">
              <w:rPr>
                <w:rFonts w:cs="Arial"/>
                <w:szCs w:val="22"/>
                <w:lang w:val="en-US"/>
              </w:rPr>
              <w:t>2.</w:t>
            </w:r>
            <w:r w:rsidR="00D65FD7" w:rsidRPr="00426C68">
              <w:rPr>
                <w:rFonts w:cs="Arial"/>
                <w:szCs w:val="22"/>
                <w:lang w:val="en-US"/>
              </w:rPr>
              <w:t>6</w:t>
            </w:r>
          </w:p>
        </w:tc>
        <w:tc>
          <w:tcPr>
            <w:tcW w:w="8731" w:type="dxa"/>
            <w:hideMark/>
          </w:tcPr>
          <w:p w:rsidR="00BF2D06" w:rsidRPr="00426C68" w:rsidRDefault="006409C1" w:rsidP="00143B12">
            <w:pPr>
              <w:spacing w:after="60"/>
              <w:rPr>
                <w:rFonts w:cs="Arial"/>
                <w:szCs w:val="22"/>
                <w:lang w:val="en-US"/>
              </w:rPr>
            </w:pPr>
            <w:r w:rsidRPr="00426C68">
              <w:rPr>
                <w:rFonts w:cs="Arial"/>
                <w:szCs w:val="22"/>
                <w:lang w:val="en-US"/>
              </w:rPr>
              <w:t>Any meeting arranged with an employee can only be held outside their contractual/directed hours with their agreement.</w:t>
            </w:r>
            <w:r w:rsidR="00487F20" w:rsidRPr="00426C68">
              <w:rPr>
                <w:rFonts w:cs="Arial"/>
                <w:szCs w:val="22"/>
                <w:lang w:val="en-US"/>
              </w:rPr>
              <w:t xml:space="preserve"> </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7D75AA" w:rsidRPr="00426C68" w:rsidTr="00684B45">
        <w:trPr>
          <w:trHeight w:val="283"/>
        </w:trPr>
        <w:tc>
          <w:tcPr>
            <w:tcW w:w="1020" w:type="dxa"/>
          </w:tcPr>
          <w:p w:rsidR="007D75AA" w:rsidRPr="00BF291E" w:rsidRDefault="007D75AA" w:rsidP="00143B12">
            <w:pPr>
              <w:spacing w:after="60"/>
              <w:rPr>
                <w:rFonts w:cs="Arial"/>
                <w:szCs w:val="22"/>
              </w:rPr>
            </w:pPr>
            <w:r w:rsidRPr="00BF291E">
              <w:rPr>
                <w:rFonts w:cs="Arial"/>
                <w:szCs w:val="22"/>
              </w:rPr>
              <w:t>2.</w:t>
            </w:r>
            <w:r w:rsidR="00D65FD7" w:rsidRPr="00BF291E">
              <w:rPr>
                <w:rFonts w:cs="Arial"/>
                <w:szCs w:val="22"/>
              </w:rPr>
              <w:t>7</w:t>
            </w:r>
          </w:p>
        </w:tc>
        <w:tc>
          <w:tcPr>
            <w:tcW w:w="8731" w:type="dxa"/>
          </w:tcPr>
          <w:p w:rsidR="00840A4D" w:rsidRPr="00426C68" w:rsidRDefault="007D75AA" w:rsidP="00833330">
            <w:pPr>
              <w:spacing w:after="60"/>
              <w:rPr>
                <w:rFonts w:cs="Arial"/>
                <w:szCs w:val="22"/>
              </w:rPr>
            </w:pPr>
            <w:r w:rsidRPr="00BF291E">
              <w:rPr>
                <w:rFonts w:cs="Arial"/>
                <w:szCs w:val="22"/>
              </w:rPr>
              <w:t xml:space="preserve">At all stages of the policy, where specified personnel are designated to handle different stages, </w:t>
            </w:r>
            <w:r w:rsidR="00B76AF0" w:rsidRPr="00BF291E">
              <w:rPr>
                <w:rFonts w:cs="Arial"/>
                <w:szCs w:val="22"/>
              </w:rPr>
              <w:t>the School</w:t>
            </w:r>
            <w:r w:rsidRPr="00BF291E">
              <w:rPr>
                <w:rFonts w:cs="Arial"/>
                <w:szCs w:val="22"/>
              </w:rPr>
              <w:t xml:space="preserve"> reserves the right to reasonably substitute alternative personnel in cases of non-availability or where otherwise considered appropriate.</w:t>
            </w:r>
            <w:r w:rsidR="00833330" w:rsidRPr="00BF291E">
              <w:rPr>
                <w:rFonts w:cs="Arial"/>
                <w:szCs w:val="22"/>
              </w:rPr>
              <w:t xml:space="preserve">  The personnel could be Head Teachers, Deputy Head Teachers, Assistant Head Teachers, School Business Manager, the direct Line Manager or an external Investigator if one is appointed.</w:t>
            </w:r>
            <w:r w:rsidR="00833330">
              <w:rPr>
                <w:rFonts w:cs="Arial"/>
                <w:szCs w:val="22"/>
              </w:rPr>
              <w:t xml:space="preserve">  </w:t>
            </w:r>
          </w:p>
        </w:tc>
      </w:tr>
      <w:tr w:rsidR="00D644D8" w:rsidRPr="00426C68" w:rsidTr="00684B45">
        <w:trPr>
          <w:trHeight w:val="283"/>
        </w:trPr>
        <w:tc>
          <w:tcPr>
            <w:tcW w:w="1020" w:type="dxa"/>
          </w:tcPr>
          <w:p w:rsidR="00D644D8" w:rsidRPr="00426C68" w:rsidRDefault="00D644D8" w:rsidP="00143B12">
            <w:pPr>
              <w:spacing w:after="60"/>
              <w:rPr>
                <w:rFonts w:cs="Arial"/>
                <w:szCs w:val="22"/>
              </w:rPr>
            </w:pPr>
          </w:p>
        </w:tc>
        <w:tc>
          <w:tcPr>
            <w:tcW w:w="8731" w:type="dxa"/>
          </w:tcPr>
          <w:p w:rsidR="00D644D8" w:rsidRPr="00426C68" w:rsidRDefault="00D644D8" w:rsidP="00143B12">
            <w:pPr>
              <w:spacing w:after="60"/>
              <w:rPr>
                <w:rFonts w:cs="Arial"/>
                <w:szCs w:val="22"/>
              </w:rPr>
            </w:pPr>
          </w:p>
        </w:tc>
      </w:tr>
      <w:tr w:rsidR="007D75AA" w:rsidRPr="00426C68" w:rsidTr="00684B45">
        <w:trPr>
          <w:trHeight w:val="283"/>
        </w:trPr>
        <w:tc>
          <w:tcPr>
            <w:tcW w:w="1020" w:type="dxa"/>
          </w:tcPr>
          <w:p w:rsidR="007D75AA" w:rsidRPr="00426C68" w:rsidRDefault="007D75AA" w:rsidP="00143B12">
            <w:pPr>
              <w:spacing w:after="60"/>
              <w:rPr>
                <w:rFonts w:cs="Arial"/>
                <w:szCs w:val="22"/>
              </w:rPr>
            </w:pPr>
            <w:r w:rsidRPr="00426C68">
              <w:rPr>
                <w:rFonts w:cs="Arial"/>
                <w:szCs w:val="22"/>
              </w:rPr>
              <w:t>2.</w:t>
            </w:r>
            <w:r w:rsidR="00D65FD7" w:rsidRPr="00426C68">
              <w:rPr>
                <w:rFonts w:cs="Arial"/>
                <w:szCs w:val="22"/>
              </w:rPr>
              <w:t>8</w:t>
            </w:r>
          </w:p>
        </w:tc>
        <w:tc>
          <w:tcPr>
            <w:tcW w:w="8731" w:type="dxa"/>
          </w:tcPr>
          <w:p w:rsidR="007D75AA" w:rsidRPr="00426C68" w:rsidRDefault="007D75AA" w:rsidP="00143B12">
            <w:pPr>
              <w:spacing w:after="60"/>
              <w:rPr>
                <w:rFonts w:cs="Arial"/>
                <w:bCs/>
                <w:szCs w:val="22"/>
              </w:rPr>
            </w:pPr>
            <w:r w:rsidRPr="00426C68">
              <w:rPr>
                <w:rFonts w:cs="Arial"/>
                <w:szCs w:val="22"/>
              </w:rPr>
              <w:t>The employee will have the right to be accompanied at all formal grievance meetings and any appeal hearings by a trade union representative or a work place colleague</w:t>
            </w:r>
            <w:r w:rsidR="008C6809" w:rsidRPr="00426C68">
              <w:rPr>
                <w:rFonts w:cs="Arial"/>
                <w:szCs w:val="22"/>
              </w:rPr>
              <w:t xml:space="preserve"> of their choice</w:t>
            </w:r>
            <w:r w:rsidRPr="00426C68">
              <w:rPr>
                <w:rFonts w:cs="Arial"/>
                <w:szCs w:val="22"/>
              </w:rPr>
              <w:t xml:space="preserve">. </w:t>
            </w:r>
            <w:r w:rsidR="0063590F" w:rsidRPr="00426C68">
              <w:rPr>
                <w:rFonts w:cs="Arial"/>
                <w:szCs w:val="22"/>
              </w:rPr>
              <w:t>I</w:t>
            </w:r>
            <w:r w:rsidR="0063590F" w:rsidRPr="00426C68">
              <w:rPr>
                <w:rFonts w:cs="Arial"/>
                <w:color w:val="000000" w:themeColor="text1"/>
                <w:szCs w:val="22"/>
              </w:rPr>
              <w:t xml:space="preserve">t is the employee's responsibility to make such arrangements and to supply copies of all relevant information and documentation. Wherever possible, if the representative is a workplace colleague they will be granted </w:t>
            </w:r>
            <w:r w:rsidR="007A54D5" w:rsidRPr="00426C68">
              <w:rPr>
                <w:rFonts w:cs="Arial"/>
                <w:color w:val="000000" w:themeColor="text1"/>
                <w:szCs w:val="22"/>
              </w:rPr>
              <w:t xml:space="preserve">paid </w:t>
            </w:r>
            <w:r w:rsidR="0063590F" w:rsidRPr="00426C68">
              <w:rPr>
                <w:rFonts w:cs="Arial"/>
                <w:color w:val="000000" w:themeColor="text1"/>
                <w:szCs w:val="22"/>
              </w:rPr>
              <w:t>time off work to accompany the employee when necessary to do so.</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63590F" w:rsidRPr="00426C68" w:rsidTr="00684B45">
        <w:trPr>
          <w:trHeight w:val="283"/>
        </w:trPr>
        <w:tc>
          <w:tcPr>
            <w:tcW w:w="1020" w:type="dxa"/>
          </w:tcPr>
          <w:p w:rsidR="0063590F" w:rsidRPr="00426C68" w:rsidRDefault="0063590F" w:rsidP="00143B12">
            <w:pPr>
              <w:spacing w:after="60"/>
              <w:rPr>
                <w:rFonts w:cs="Arial"/>
                <w:szCs w:val="22"/>
              </w:rPr>
            </w:pPr>
            <w:r w:rsidRPr="00426C68">
              <w:rPr>
                <w:rFonts w:cs="Arial"/>
                <w:szCs w:val="22"/>
              </w:rPr>
              <w:t>2.</w:t>
            </w:r>
            <w:r w:rsidR="00D65FD7" w:rsidRPr="00426C68">
              <w:rPr>
                <w:rFonts w:cs="Arial"/>
                <w:szCs w:val="22"/>
              </w:rPr>
              <w:t>9</w:t>
            </w:r>
          </w:p>
        </w:tc>
        <w:tc>
          <w:tcPr>
            <w:tcW w:w="8731" w:type="dxa"/>
          </w:tcPr>
          <w:p w:rsidR="00C93E7E" w:rsidRPr="00426C68" w:rsidRDefault="00BF2D06" w:rsidP="00143B12">
            <w:pPr>
              <w:spacing w:after="60"/>
              <w:rPr>
                <w:rFonts w:cs="Arial"/>
                <w:szCs w:val="22"/>
              </w:rPr>
            </w:pPr>
            <w:r w:rsidRPr="00426C68">
              <w:rPr>
                <w:rFonts w:cs="Arial"/>
                <w:szCs w:val="22"/>
              </w:rPr>
              <w:t xml:space="preserve">If the employee’s chosen representative is not able to attend a formal meeting or appeal hearing the School will seek to arrange an alternative date within one working week of the original date with the representative. If it is not possible to arrange a date within this period, a later date will then be set at which both the Panel Members and chosen representative can attend, unless it would be unreasonable to do so. In the circumstances where the employee will not be able to have their first choice present, they would need to either accept any representative </w:t>
            </w:r>
            <w:r w:rsidRPr="00426C68">
              <w:rPr>
                <w:rFonts w:cs="Arial"/>
                <w:color w:val="000000" w:themeColor="text1"/>
                <w:szCs w:val="22"/>
              </w:rPr>
              <w:t>who is available to accompany them to the meeting, as</w:t>
            </w:r>
            <w:r w:rsidRPr="00426C68">
              <w:rPr>
                <w:rFonts w:cs="Arial"/>
                <w:szCs w:val="22"/>
              </w:rPr>
              <w:t xml:space="preserve"> provided by their trade union</w:t>
            </w:r>
            <w:r w:rsidRPr="00426C68">
              <w:rPr>
                <w:rFonts w:cs="Arial"/>
                <w:color w:val="000000" w:themeColor="text1"/>
                <w:szCs w:val="22"/>
              </w:rPr>
              <w:t>,</w:t>
            </w:r>
            <w:r w:rsidRPr="00426C68">
              <w:rPr>
                <w:rFonts w:cs="Arial"/>
                <w:szCs w:val="22"/>
              </w:rPr>
              <w:t xml:space="preserve"> or find another workplace colleague.</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32446C" w:rsidRPr="00426C68" w:rsidTr="00684B45">
        <w:trPr>
          <w:trHeight w:val="283"/>
        </w:trPr>
        <w:tc>
          <w:tcPr>
            <w:tcW w:w="1020" w:type="dxa"/>
          </w:tcPr>
          <w:p w:rsidR="0032446C" w:rsidRPr="00426C68" w:rsidRDefault="0032446C" w:rsidP="00143B12">
            <w:pPr>
              <w:spacing w:after="60"/>
              <w:rPr>
                <w:rFonts w:cs="Arial"/>
                <w:szCs w:val="22"/>
              </w:rPr>
            </w:pPr>
            <w:r w:rsidRPr="00426C68">
              <w:rPr>
                <w:rFonts w:cs="Arial"/>
                <w:szCs w:val="22"/>
              </w:rPr>
              <w:t>2.</w:t>
            </w:r>
            <w:r w:rsidR="00D65FD7" w:rsidRPr="00426C68">
              <w:rPr>
                <w:rFonts w:cs="Arial"/>
                <w:szCs w:val="22"/>
              </w:rPr>
              <w:t>10</w:t>
            </w:r>
          </w:p>
        </w:tc>
        <w:tc>
          <w:tcPr>
            <w:tcW w:w="8731" w:type="dxa"/>
          </w:tcPr>
          <w:p w:rsidR="0032446C" w:rsidRPr="00426C68" w:rsidRDefault="0032446C" w:rsidP="00143B12">
            <w:pPr>
              <w:spacing w:after="60"/>
              <w:rPr>
                <w:rFonts w:cs="Arial"/>
                <w:szCs w:val="22"/>
              </w:rPr>
            </w:pPr>
            <w:r w:rsidRPr="00426C68">
              <w:rPr>
                <w:rFonts w:cs="Arial"/>
                <w:szCs w:val="22"/>
              </w:rPr>
              <w:t>The Governing Body will need to determine its involvement in the implementation of this Policy including the identification of Governors to be involved in any specific case. The Governing Body must also have regard to their own delegated powers in respect of this Policy.</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63590F" w:rsidRPr="00426C68" w:rsidTr="00684B45">
        <w:trPr>
          <w:trHeight w:val="283"/>
        </w:trPr>
        <w:tc>
          <w:tcPr>
            <w:tcW w:w="1020" w:type="dxa"/>
          </w:tcPr>
          <w:p w:rsidR="0063590F" w:rsidRPr="00426C68" w:rsidRDefault="0063590F" w:rsidP="00143B12">
            <w:pPr>
              <w:spacing w:after="60"/>
              <w:rPr>
                <w:rFonts w:cs="Arial"/>
                <w:szCs w:val="22"/>
              </w:rPr>
            </w:pPr>
            <w:r w:rsidRPr="00426C68">
              <w:rPr>
                <w:rFonts w:cs="Arial"/>
                <w:szCs w:val="22"/>
              </w:rPr>
              <w:t>2.</w:t>
            </w:r>
            <w:r w:rsidR="0032446C" w:rsidRPr="00426C68">
              <w:rPr>
                <w:rFonts w:cs="Arial"/>
                <w:szCs w:val="22"/>
              </w:rPr>
              <w:t>1</w:t>
            </w:r>
            <w:r w:rsidR="00D65FD7" w:rsidRPr="00426C68">
              <w:rPr>
                <w:rFonts w:cs="Arial"/>
                <w:szCs w:val="22"/>
              </w:rPr>
              <w:t>1</w:t>
            </w:r>
          </w:p>
        </w:tc>
        <w:tc>
          <w:tcPr>
            <w:tcW w:w="8731" w:type="dxa"/>
          </w:tcPr>
          <w:p w:rsidR="0063590F" w:rsidRPr="00426C68" w:rsidRDefault="0063590F" w:rsidP="00143B12">
            <w:pPr>
              <w:spacing w:after="60"/>
              <w:rPr>
                <w:rFonts w:cs="Arial"/>
                <w:szCs w:val="22"/>
              </w:rPr>
            </w:pPr>
            <w:r w:rsidRPr="00426C68">
              <w:rPr>
                <w:rFonts w:cs="Arial"/>
                <w:szCs w:val="22"/>
              </w:rPr>
              <w:t xml:space="preserve">Due to the time constraints of the academic </w:t>
            </w:r>
            <w:r w:rsidR="00530DF7" w:rsidRPr="00426C68">
              <w:rPr>
                <w:rFonts w:cs="Arial"/>
                <w:szCs w:val="22"/>
              </w:rPr>
              <w:t>y</w:t>
            </w:r>
            <w:r w:rsidRPr="00426C68">
              <w:rPr>
                <w:rFonts w:cs="Arial"/>
                <w:szCs w:val="22"/>
              </w:rPr>
              <w:t xml:space="preserve">ear and, where appropriate, governor availability, </w:t>
            </w:r>
            <w:r w:rsidR="00B76AF0" w:rsidRPr="00426C68">
              <w:rPr>
                <w:rFonts w:cs="Arial"/>
                <w:szCs w:val="22"/>
              </w:rPr>
              <w:t>the School</w:t>
            </w:r>
            <w:r w:rsidRPr="00426C68">
              <w:rPr>
                <w:rFonts w:cs="Arial"/>
                <w:szCs w:val="22"/>
              </w:rPr>
              <w:t xml:space="preserve"> reserves the right to stipulate the date for re-arranged formal meetings.</w:t>
            </w:r>
          </w:p>
        </w:tc>
      </w:tr>
      <w:tr w:rsidR="00D644D8" w:rsidRPr="00426C68" w:rsidTr="00684B45">
        <w:trPr>
          <w:trHeight w:val="283"/>
        </w:trPr>
        <w:tc>
          <w:tcPr>
            <w:tcW w:w="1020" w:type="dxa"/>
          </w:tcPr>
          <w:p w:rsidR="00D644D8" w:rsidRPr="00426C68" w:rsidRDefault="00D644D8" w:rsidP="00B94F6A">
            <w:pPr>
              <w:spacing w:after="60"/>
              <w:jc w:val="both"/>
              <w:rPr>
                <w:rFonts w:cs="Arial"/>
                <w:szCs w:val="22"/>
              </w:rPr>
            </w:pPr>
          </w:p>
        </w:tc>
        <w:tc>
          <w:tcPr>
            <w:tcW w:w="8731" w:type="dxa"/>
          </w:tcPr>
          <w:p w:rsidR="00D644D8" w:rsidRPr="00426C68" w:rsidRDefault="00D644D8" w:rsidP="00B94F6A">
            <w:pPr>
              <w:spacing w:after="60"/>
              <w:jc w:val="both"/>
              <w:rPr>
                <w:rFonts w:cs="Arial"/>
                <w:szCs w:val="22"/>
              </w:rPr>
            </w:pPr>
          </w:p>
        </w:tc>
      </w:tr>
      <w:tr w:rsidR="007D75AA" w:rsidRPr="00426C68" w:rsidTr="00684B45">
        <w:trPr>
          <w:trHeight w:val="283"/>
        </w:trPr>
        <w:tc>
          <w:tcPr>
            <w:tcW w:w="1020" w:type="dxa"/>
          </w:tcPr>
          <w:p w:rsidR="00D4236E" w:rsidRPr="00426C68" w:rsidRDefault="007D75AA" w:rsidP="00833330">
            <w:pPr>
              <w:spacing w:after="60"/>
              <w:jc w:val="both"/>
              <w:rPr>
                <w:rFonts w:cs="Arial"/>
                <w:szCs w:val="22"/>
              </w:rPr>
            </w:pPr>
            <w:r w:rsidRPr="00426C68">
              <w:rPr>
                <w:rFonts w:cs="Arial"/>
                <w:szCs w:val="22"/>
              </w:rPr>
              <w:t>2.</w:t>
            </w:r>
            <w:r w:rsidR="006409C1" w:rsidRPr="00426C68">
              <w:rPr>
                <w:rFonts w:cs="Arial"/>
                <w:szCs w:val="22"/>
              </w:rPr>
              <w:t>1</w:t>
            </w:r>
            <w:r w:rsidR="00D65FD7" w:rsidRPr="00426C68">
              <w:rPr>
                <w:rFonts w:cs="Arial"/>
                <w:szCs w:val="22"/>
              </w:rPr>
              <w:t>2</w:t>
            </w:r>
          </w:p>
        </w:tc>
        <w:tc>
          <w:tcPr>
            <w:tcW w:w="8731" w:type="dxa"/>
          </w:tcPr>
          <w:p w:rsidR="00D4236E" w:rsidRPr="00426C68" w:rsidRDefault="007D75AA" w:rsidP="00F95941">
            <w:pPr>
              <w:spacing w:after="60"/>
              <w:jc w:val="both"/>
              <w:rPr>
                <w:rFonts w:cs="Arial"/>
                <w:szCs w:val="22"/>
              </w:rPr>
            </w:pPr>
            <w:r w:rsidRPr="00426C68">
              <w:rPr>
                <w:rFonts w:cs="Arial"/>
                <w:szCs w:val="22"/>
              </w:rPr>
              <w:t>At all formal grievance meetings and appeals, there may also be a HR Representative and</w:t>
            </w:r>
            <w:r w:rsidR="00BE7AA6" w:rsidRPr="00426C68">
              <w:rPr>
                <w:rFonts w:cs="Arial"/>
                <w:szCs w:val="22"/>
              </w:rPr>
              <w:t>/or</w:t>
            </w:r>
            <w:r w:rsidRPr="00426C68">
              <w:rPr>
                <w:rFonts w:cs="Arial"/>
                <w:szCs w:val="22"/>
              </w:rPr>
              <w:t xml:space="preserve"> note taker present</w:t>
            </w:r>
            <w:r w:rsidR="00833330">
              <w:rPr>
                <w:rFonts w:cs="Arial"/>
                <w:szCs w:val="22"/>
              </w:rPr>
              <w:t>.</w:t>
            </w:r>
          </w:p>
        </w:tc>
      </w:tr>
      <w:tr w:rsidR="00143B12" w:rsidRPr="00426C68" w:rsidTr="00684B45">
        <w:trPr>
          <w:trHeight w:val="283"/>
        </w:trPr>
        <w:tc>
          <w:tcPr>
            <w:tcW w:w="1020" w:type="dxa"/>
          </w:tcPr>
          <w:p w:rsidR="00143B12" w:rsidRPr="00426C68" w:rsidRDefault="00143B12" w:rsidP="00DC73E6">
            <w:pPr>
              <w:spacing w:after="60"/>
              <w:rPr>
                <w:rFonts w:cs="Arial"/>
                <w:szCs w:val="22"/>
              </w:rPr>
            </w:pPr>
            <w:r>
              <w:rPr>
                <w:rFonts w:cs="Arial"/>
                <w:szCs w:val="22"/>
              </w:rPr>
              <w:lastRenderedPageBreak/>
              <w:t>2.13</w:t>
            </w:r>
          </w:p>
        </w:tc>
        <w:tc>
          <w:tcPr>
            <w:tcW w:w="8731" w:type="dxa"/>
          </w:tcPr>
          <w:p w:rsidR="00143B12" w:rsidRPr="005A5219" w:rsidRDefault="005A5219" w:rsidP="00DC73E6">
            <w:pPr>
              <w:spacing w:after="60"/>
              <w:rPr>
                <w:color w:val="000000" w:themeColor="text1"/>
              </w:rPr>
            </w:pPr>
            <w:r>
              <w:rPr>
                <w:color w:val="000000" w:themeColor="text1"/>
              </w:rPr>
              <w:t>Small Collective Grievances –</w:t>
            </w:r>
            <w:r w:rsidR="00143B12" w:rsidRPr="00A15123">
              <w:rPr>
                <w:color w:val="000000" w:themeColor="text1"/>
              </w:rPr>
              <w:t xml:space="preserve"> sometimes a number of people may raise the same grievance or an incident </w:t>
            </w:r>
            <w:r w:rsidR="00143B12">
              <w:t>may have affected more than one person. If a grievance is part of such a collective issue it will normally be dealt with as one case. This means that one Investigating Officer will interview all parties affected and carry out one investigation.</w:t>
            </w:r>
          </w:p>
        </w:tc>
      </w:tr>
      <w:tr w:rsidR="00B84DE0" w:rsidRPr="00426C68" w:rsidTr="00684B45">
        <w:trPr>
          <w:trHeight w:val="283"/>
        </w:trPr>
        <w:tc>
          <w:tcPr>
            <w:tcW w:w="1020" w:type="dxa"/>
          </w:tcPr>
          <w:p w:rsidR="00B84DE0" w:rsidRDefault="00B84DE0" w:rsidP="00DC73E6">
            <w:pPr>
              <w:spacing w:after="60"/>
              <w:rPr>
                <w:rFonts w:cs="Arial"/>
                <w:szCs w:val="22"/>
              </w:rPr>
            </w:pPr>
          </w:p>
        </w:tc>
        <w:tc>
          <w:tcPr>
            <w:tcW w:w="8731" w:type="dxa"/>
          </w:tcPr>
          <w:p w:rsidR="00B84DE0" w:rsidRPr="00A15123" w:rsidRDefault="00B84DE0" w:rsidP="00DC73E6">
            <w:pPr>
              <w:spacing w:after="60"/>
              <w:rPr>
                <w:color w:val="000000" w:themeColor="text1"/>
              </w:rPr>
            </w:pPr>
          </w:p>
        </w:tc>
      </w:tr>
      <w:tr w:rsidR="00B84DE0" w:rsidRPr="00426C68" w:rsidTr="00684B45">
        <w:trPr>
          <w:trHeight w:val="283"/>
        </w:trPr>
        <w:tc>
          <w:tcPr>
            <w:tcW w:w="1020" w:type="dxa"/>
          </w:tcPr>
          <w:p w:rsidR="00B84DE0" w:rsidRDefault="00B84DE0" w:rsidP="00B84DE0">
            <w:pPr>
              <w:spacing w:after="60"/>
              <w:rPr>
                <w:rFonts w:cs="Arial"/>
                <w:szCs w:val="22"/>
              </w:rPr>
            </w:pPr>
            <w:r>
              <w:rPr>
                <w:rFonts w:cs="Arial"/>
                <w:szCs w:val="22"/>
              </w:rPr>
              <w:t>2.14</w:t>
            </w:r>
          </w:p>
        </w:tc>
        <w:tc>
          <w:tcPr>
            <w:tcW w:w="8731" w:type="dxa"/>
          </w:tcPr>
          <w:p w:rsidR="00B84DE0" w:rsidRPr="00B84DE0" w:rsidRDefault="00B84DE0" w:rsidP="00B84DE0">
            <w:pPr>
              <w:rPr>
                <w:rFonts w:cs="Arial"/>
                <w:b/>
                <w:bCs/>
                <w:color w:val="000000" w:themeColor="text1"/>
                <w:szCs w:val="22"/>
              </w:rPr>
            </w:pPr>
            <w:r w:rsidRPr="00A15123">
              <w:rPr>
                <w:rFonts w:cs="Arial"/>
                <w:color w:val="000000" w:themeColor="text1"/>
                <w:szCs w:val="22"/>
                <w:shd w:val="clear" w:color="auto" w:fill="FFFFFF"/>
              </w:rPr>
              <w:t>Where a grievance has been raised against an employee who is a trade union representative the normal grievance resolution procedure will be followed. Depending on the circumstances, however, and after obtaining the employee’s consent, it is advisable to discuss the matter at an early stage with an official employed by the union. As this will normally involve contact with the Regional Union Office this will be dealt with by Human Resources.</w:t>
            </w:r>
          </w:p>
        </w:tc>
      </w:tr>
      <w:tr w:rsidR="00C547A7" w:rsidRPr="00426C68" w:rsidTr="00684B45">
        <w:trPr>
          <w:trHeight w:val="283"/>
        </w:trPr>
        <w:tc>
          <w:tcPr>
            <w:tcW w:w="1020" w:type="dxa"/>
          </w:tcPr>
          <w:p w:rsidR="002E0076" w:rsidRPr="00AC3102" w:rsidRDefault="002E0076" w:rsidP="00AC3102">
            <w:pPr>
              <w:jc w:val="both"/>
              <w:rPr>
                <w:b/>
                <w:bCs/>
                <w:sz w:val="28"/>
              </w:rPr>
            </w:pPr>
          </w:p>
          <w:p w:rsidR="00C547A7" w:rsidRPr="00AC3102" w:rsidRDefault="00C547A7" w:rsidP="00AC3102">
            <w:pPr>
              <w:jc w:val="both"/>
              <w:rPr>
                <w:b/>
                <w:bCs/>
                <w:sz w:val="28"/>
              </w:rPr>
            </w:pPr>
            <w:r w:rsidRPr="00AC3102">
              <w:rPr>
                <w:b/>
                <w:bCs/>
                <w:sz w:val="28"/>
              </w:rPr>
              <w:t>3.0</w:t>
            </w:r>
          </w:p>
        </w:tc>
        <w:tc>
          <w:tcPr>
            <w:tcW w:w="8731" w:type="dxa"/>
          </w:tcPr>
          <w:p w:rsidR="002E0076" w:rsidRPr="00AC3102" w:rsidRDefault="002E0076" w:rsidP="00AC3102">
            <w:pPr>
              <w:jc w:val="both"/>
              <w:rPr>
                <w:b/>
                <w:bCs/>
                <w:sz w:val="28"/>
              </w:rPr>
            </w:pPr>
          </w:p>
          <w:p w:rsidR="00C547A7" w:rsidRPr="00AC3102" w:rsidRDefault="00C547A7" w:rsidP="00AC3102">
            <w:pPr>
              <w:jc w:val="both"/>
              <w:rPr>
                <w:b/>
                <w:bCs/>
                <w:sz w:val="28"/>
              </w:rPr>
            </w:pPr>
            <w:r w:rsidRPr="00AC3102">
              <w:rPr>
                <w:b/>
                <w:bCs/>
                <w:sz w:val="28"/>
              </w:rPr>
              <w:t>Informal Resolution</w:t>
            </w:r>
          </w:p>
        </w:tc>
      </w:tr>
      <w:tr w:rsidR="00C547A7" w:rsidRPr="00426C68" w:rsidTr="00684B45">
        <w:trPr>
          <w:trHeight w:val="283"/>
        </w:trPr>
        <w:tc>
          <w:tcPr>
            <w:tcW w:w="1020" w:type="dxa"/>
          </w:tcPr>
          <w:p w:rsidR="00C547A7" w:rsidRPr="00426C68" w:rsidRDefault="00C547A7" w:rsidP="00B94F6A">
            <w:pPr>
              <w:spacing w:after="60"/>
              <w:jc w:val="both"/>
              <w:rPr>
                <w:rFonts w:cs="Arial"/>
                <w:szCs w:val="22"/>
              </w:rPr>
            </w:pPr>
          </w:p>
        </w:tc>
        <w:tc>
          <w:tcPr>
            <w:tcW w:w="8731" w:type="dxa"/>
          </w:tcPr>
          <w:p w:rsidR="00C547A7" w:rsidRPr="00426C68" w:rsidRDefault="00C547A7" w:rsidP="00B94F6A">
            <w:pPr>
              <w:spacing w:after="60"/>
              <w:jc w:val="both"/>
              <w:rPr>
                <w:rFonts w:cs="Arial"/>
                <w:szCs w:val="22"/>
              </w:rPr>
            </w:pPr>
          </w:p>
        </w:tc>
      </w:tr>
      <w:tr w:rsidR="00C547A7" w:rsidRPr="00426C68" w:rsidTr="00684B45">
        <w:trPr>
          <w:trHeight w:val="283"/>
        </w:trPr>
        <w:tc>
          <w:tcPr>
            <w:tcW w:w="1020" w:type="dxa"/>
          </w:tcPr>
          <w:p w:rsidR="00C547A7" w:rsidRPr="00426C68" w:rsidRDefault="00CD36CB" w:rsidP="00B84DE0">
            <w:pPr>
              <w:spacing w:after="60"/>
              <w:rPr>
                <w:rFonts w:cs="Arial"/>
                <w:szCs w:val="22"/>
              </w:rPr>
            </w:pPr>
            <w:r w:rsidRPr="00426C68">
              <w:rPr>
                <w:rFonts w:cs="Arial"/>
                <w:szCs w:val="22"/>
              </w:rPr>
              <w:t>3.1</w:t>
            </w:r>
          </w:p>
        </w:tc>
        <w:tc>
          <w:tcPr>
            <w:tcW w:w="8731" w:type="dxa"/>
          </w:tcPr>
          <w:p w:rsidR="00C547A7" w:rsidRPr="00426C68" w:rsidRDefault="00CD36CB" w:rsidP="00B84DE0">
            <w:pPr>
              <w:spacing w:after="60"/>
              <w:rPr>
                <w:rFonts w:cs="Arial"/>
                <w:szCs w:val="22"/>
              </w:rPr>
            </w:pPr>
            <w:r w:rsidRPr="00426C68">
              <w:rPr>
                <w:rFonts w:eastAsia="SimSun" w:cs="Arial"/>
                <w:color w:val="000000"/>
                <w:szCs w:val="22"/>
                <w:lang w:eastAsia="zh-CN"/>
              </w:rPr>
              <w:t xml:space="preserve">It is expected that any employee with a potential grievance should discuss this </w:t>
            </w:r>
            <w:r w:rsidR="009210AE" w:rsidRPr="00426C68">
              <w:rPr>
                <w:rFonts w:eastAsia="SimSun" w:cs="Arial"/>
                <w:color w:val="000000"/>
                <w:szCs w:val="22"/>
                <w:lang w:eastAsia="zh-CN"/>
              </w:rPr>
              <w:t xml:space="preserve">informally </w:t>
            </w:r>
            <w:r w:rsidRPr="00426C68">
              <w:rPr>
                <w:rFonts w:eastAsia="SimSun" w:cs="Arial"/>
                <w:color w:val="000000"/>
                <w:szCs w:val="22"/>
                <w:lang w:eastAsia="zh-CN"/>
              </w:rPr>
              <w:t>with their immediate manager in the first instance</w:t>
            </w:r>
            <w:r w:rsidR="009210AE" w:rsidRPr="00426C68">
              <w:rPr>
                <w:rFonts w:eastAsia="SimSun" w:cs="Arial"/>
                <w:color w:val="000000"/>
                <w:szCs w:val="22"/>
                <w:lang w:eastAsia="zh-CN"/>
              </w:rPr>
              <w:t xml:space="preserve"> to try and resolve the matter informally </w:t>
            </w:r>
            <w:r w:rsidR="007F24B0" w:rsidRPr="00426C68">
              <w:rPr>
                <w:rFonts w:eastAsia="SimSun" w:cs="Arial"/>
                <w:color w:val="000000"/>
                <w:szCs w:val="22"/>
                <w:lang w:eastAsia="zh-CN"/>
              </w:rPr>
              <w:t>unless they consider it not appropriate to do so</w:t>
            </w:r>
            <w:r w:rsidRPr="00426C68">
              <w:rPr>
                <w:rFonts w:eastAsia="SimSun" w:cs="Arial"/>
                <w:color w:val="000000"/>
                <w:szCs w:val="22"/>
                <w:lang w:eastAsia="zh-CN"/>
              </w:rPr>
              <w:t>.</w:t>
            </w:r>
          </w:p>
        </w:tc>
      </w:tr>
      <w:tr w:rsidR="00D644D8" w:rsidRPr="00426C68" w:rsidTr="00684B45">
        <w:trPr>
          <w:trHeight w:val="283"/>
        </w:trPr>
        <w:tc>
          <w:tcPr>
            <w:tcW w:w="1020" w:type="dxa"/>
          </w:tcPr>
          <w:p w:rsidR="00D644D8" w:rsidRPr="00426C68" w:rsidRDefault="00D644D8" w:rsidP="00B84DE0">
            <w:pPr>
              <w:spacing w:after="60"/>
              <w:rPr>
                <w:rFonts w:cs="Arial"/>
                <w:szCs w:val="22"/>
              </w:rPr>
            </w:pPr>
          </w:p>
        </w:tc>
        <w:tc>
          <w:tcPr>
            <w:tcW w:w="8731" w:type="dxa"/>
          </w:tcPr>
          <w:p w:rsidR="00D644D8" w:rsidRPr="00426C68" w:rsidRDefault="00D644D8" w:rsidP="00B84DE0">
            <w:pPr>
              <w:spacing w:after="60"/>
              <w:rPr>
                <w:rFonts w:cs="Arial"/>
                <w:szCs w:val="22"/>
              </w:rPr>
            </w:pPr>
          </w:p>
        </w:tc>
      </w:tr>
      <w:tr w:rsidR="00C547A7" w:rsidRPr="00426C68" w:rsidTr="00684B45">
        <w:trPr>
          <w:trHeight w:val="283"/>
        </w:trPr>
        <w:tc>
          <w:tcPr>
            <w:tcW w:w="1020" w:type="dxa"/>
          </w:tcPr>
          <w:p w:rsidR="00C547A7" w:rsidRPr="00426C68" w:rsidRDefault="00CD36CB" w:rsidP="00B84DE0">
            <w:pPr>
              <w:spacing w:after="60"/>
              <w:rPr>
                <w:rFonts w:cs="Arial"/>
                <w:szCs w:val="22"/>
              </w:rPr>
            </w:pPr>
            <w:r w:rsidRPr="00426C68">
              <w:rPr>
                <w:rFonts w:cs="Arial"/>
                <w:szCs w:val="22"/>
              </w:rPr>
              <w:t>3.2</w:t>
            </w:r>
          </w:p>
        </w:tc>
        <w:tc>
          <w:tcPr>
            <w:tcW w:w="8731" w:type="dxa"/>
          </w:tcPr>
          <w:p w:rsidR="00C547A7" w:rsidRPr="00426C68" w:rsidRDefault="00CA44E2" w:rsidP="00B84DE0">
            <w:pPr>
              <w:spacing w:after="60"/>
              <w:rPr>
                <w:rFonts w:cs="Arial"/>
                <w:szCs w:val="22"/>
              </w:rPr>
            </w:pPr>
            <w:r w:rsidRPr="00426C68">
              <w:rPr>
                <w:rFonts w:eastAsia="SimSun" w:cs="Arial"/>
                <w:color w:val="000000"/>
                <w:szCs w:val="22"/>
                <w:lang w:eastAsia="zh-CN"/>
              </w:rPr>
              <w:t>If the grievance</w:t>
            </w:r>
            <w:r w:rsidR="00CD36CB" w:rsidRPr="00426C68">
              <w:rPr>
                <w:rFonts w:eastAsia="SimSun" w:cs="Arial"/>
                <w:color w:val="000000"/>
                <w:szCs w:val="22"/>
                <w:lang w:eastAsia="zh-CN"/>
              </w:rPr>
              <w:t xml:space="preserve"> is directly related to </w:t>
            </w:r>
            <w:r w:rsidR="00563282" w:rsidRPr="00426C68">
              <w:rPr>
                <w:rFonts w:eastAsia="SimSun" w:cs="Arial"/>
                <w:color w:val="000000"/>
                <w:szCs w:val="22"/>
                <w:lang w:eastAsia="zh-CN"/>
              </w:rPr>
              <w:t>a manager, then this should be discussed with the manager’s immediate manager</w:t>
            </w:r>
            <w:r w:rsidR="007F24B0" w:rsidRPr="00426C68">
              <w:rPr>
                <w:rFonts w:eastAsia="SimSun" w:cs="Arial"/>
                <w:color w:val="000000"/>
                <w:szCs w:val="22"/>
                <w:lang w:eastAsia="zh-CN"/>
              </w:rPr>
              <w:t xml:space="preserve"> unless they consider it not appropriate to do so.</w:t>
            </w:r>
          </w:p>
        </w:tc>
      </w:tr>
    </w:tbl>
    <w:p w:rsidR="00C547A7" w:rsidRPr="00426C68" w:rsidRDefault="00C547A7" w:rsidP="00B84DE0">
      <w:pPr>
        <w:rPr>
          <w:rFonts w:cs="Arial"/>
          <w:color w:val="000000"/>
          <w:szCs w:val="22"/>
        </w:rPr>
      </w:pPr>
    </w:p>
    <w:tbl>
      <w:tblPr>
        <w:tblW w:w="9751" w:type="dxa"/>
        <w:tblLook w:val="0000" w:firstRow="0" w:lastRow="0" w:firstColumn="0" w:lastColumn="0" w:noHBand="0" w:noVBand="0"/>
      </w:tblPr>
      <w:tblGrid>
        <w:gridCol w:w="1020"/>
        <w:gridCol w:w="8731"/>
      </w:tblGrid>
      <w:tr w:rsidR="00C547A7" w:rsidRPr="00426C68" w:rsidTr="00684B45">
        <w:trPr>
          <w:trHeight w:val="283"/>
        </w:trPr>
        <w:tc>
          <w:tcPr>
            <w:tcW w:w="1020" w:type="dxa"/>
          </w:tcPr>
          <w:p w:rsidR="00C547A7" w:rsidRPr="00AC3102" w:rsidRDefault="00C547A7" w:rsidP="00AC3102">
            <w:pPr>
              <w:jc w:val="both"/>
              <w:rPr>
                <w:b/>
                <w:bCs/>
                <w:sz w:val="28"/>
              </w:rPr>
            </w:pPr>
            <w:r w:rsidRPr="00AC3102">
              <w:rPr>
                <w:b/>
                <w:bCs/>
                <w:sz w:val="28"/>
              </w:rPr>
              <w:t>4.0</w:t>
            </w:r>
          </w:p>
        </w:tc>
        <w:tc>
          <w:tcPr>
            <w:tcW w:w="8731" w:type="dxa"/>
          </w:tcPr>
          <w:p w:rsidR="00C547A7" w:rsidRPr="00AC3102" w:rsidRDefault="00C547A7" w:rsidP="00AC3102">
            <w:pPr>
              <w:jc w:val="both"/>
              <w:rPr>
                <w:b/>
                <w:bCs/>
                <w:sz w:val="28"/>
              </w:rPr>
            </w:pPr>
            <w:r w:rsidRPr="00AC3102">
              <w:rPr>
                <w:b/>
                <w:bCs/>
                <w:sz w:val="28"/>
              </w:rPr>
              <w:t>Formal Grievance Resolution</w:t>
            </w:r>
            <w:r w:rsidR="00B55348" w:rsidRPr="00AC3102">
              <w:rPr>
                <w:b/>
                <w:bCs/>
                <w:sz w:val="28"/>
              </w:rPr>
              <w:t xml:space="preserve"> Process</w:t>
            </w:r>
          </w:p>
        </w:tc>
      </w:tr>
      <w:tr w:rsidR="00C547A7" w:rsidRPr="00AC3102" w:rsidTr="00684B45">
        <w:trPr>
          <w:trHeight w:val="283"/>
        </w:trPr>
        <w:tc>
          <w:tcPr>
            <w:tcW w:w="1020" w:type="dxa"/>
          </w:tcPr>
          <w:p w:rsidR="00C547A7" w:rsidRPr="00AC3102" w:rsidRDefault="00C547A7" w:rsidP="00AC3102">
            <w:pPr>
              <w:jc w:val="both"/>
              <w:rPr>
                <w:bCs/>
                <w:szCs w:val="22"/>
              </w:rPr>
            </w:pPr>
          </w:p>
        </w:tc>
        <w:tc>
          <w:tcPr>
            <w:tcW w:w="8731" w:type="dxa"/>
          </w:tcPr>
          <w:p w:rsidR="00C547A7" w:rsidRPr="00AC3102" w:rsidRDefault="00C547A7" w:rsidP="00AC3102">
            <w:pPr>
              <w:jc w:val="both"/>
              <w:rPr>
                <w:bCs/>
                <w:szCs w:val="22"/>
              </w:rPr>
            </w:pPr>
          </w:p>
        </w:tc>
      </w:tr>
      <w:tr w:rsidR="006A18DB" w:rsidRPr="00AC3102" w:rsidTr="00684B45">
        <w:trPr>
          <w:trHeight w:val="283"/>
        </w:trPr>
        <w:tc>
          <w:tcPr>
            <w:tcW w:w="1020" w:type="dxa"/>
          </w:tcPr>
          <w:p w:rsidR="006A18DB" w:rsidRPr="00AC3102" w:rsidRDefault="006A18DB" w:rsidP="00AC3102">
            <w:pPr>
              <w:rPr>
                <w:rFonts w:cs="Arial"/>
                <w:sz w:val="24"/>
                <w:szCs w:val="24"/>
              </w:rPr>
            </w:pPr>
            <w:r w:rsidRPr="00AC3102">
              <w:rPr>
                <w:rFonts w:cs="Arial"/>
                <w:b/>
                <w:sz w:val="24"/>
                <w:szCs w:val="24"/>
              </w:rPr>
              <w:t>4.1</w:t>
            </w:r>
          </w:p>
        </w:tc>
        <w:tc>
          <w:tcPr>
            <w:tcW w:w="8731" w:type="dxa"/>
          </w:tcPr>
          <w:p w:rsidR="006A18DB" w:rsidRPr="00AC3102" w:rsidRDefault="006A18DB" w:rsidP="00AC3102">
            <w:pPr>
              <w:rPr>
                <w:rFonts w:cs="Arial"/>
                <w:sz w:val="24"/>
                <w:szCs w:val="24"/>
              </w:rPr>
            </w:pPr>
            <w:r w:rsidRPr="00AC3102">
              <w:rPr>
                <w:rFonts w:cs="Arial"/>
                <w:b/>
                <w:sz w:val="24"/>
                <w:szCs w:val="24"/>
              </w:rPr>
              <w:t>The Formal Grievance Meeting</w:t>
            </w:r>
          </w:p>
        </w:tc>
      </w:tr>
      <w:tr w:rsidR="00AC3102" w:rsidRPr="00460DA7" w:rsidTr="00684B45">
        <w:trPr>
          <w:trHeight w:val="283"/>
        </w:trPr>
        <w:tc>
          <w:tcPr>
            <w:tcW w:w="1020" w:type="dxa"/>
          </w:tcPr>
          <w:p w:rsidR="00AC3102" w:rsidRPr="00460DA7" w:rsidRDefault="00AC3102" w:rsidP="00AC3102">
            <w:pPr>
              <w:rPr>
                <w:rFonts w:cs="Arial"/>
                <w:szCs w:val="22"/>
              </w:rPr>
            </w:pPr>
          </w:p>
        </w:tc>
        <w:tc>
          <w:tcPr>
            <w:tcW w:w="8731" w:type="dxa"/>
          </w:tcPr>
          <w:p w:rsidR="00AC3102" w:rsidRPr="00460DA7" w:rsidRDefault="00AC3102" w:rsidP="00AC3102">
            <w:pPr>
              <w:rPr>
                <w:rFonts w:eastAsia="SimSun" w:cs="Arial"/>
                <w:color w:val="000000"/>
                <w:szCs w:val="22"/>
                <w:lang w:eastAsia="zh-CN"/>
              </w:rPr>
            </w:pPr>
          </w:p>
        </w:tc>
      </w:tr>
      <w:tr w:rsidR="00460DA7" w:rsidRPr="00460DA7" w:rsidTr="00684B45">
        <w:trPr>
          <w:trHeight w:val="283"/>
        </w:trPr>
        <w:tc>
          <w:tcPr>
            <w:tcW w:w="1020" w:type="dxa"/>
          </w:tcPr>
          <w:p w:rsidR="00460DA7" w:rsidRPr="00460DA7" w:rsidRDefault="00460DA7" w:rsidP="00B84DE0">
            <w:pPr>
              <w:rPr>
                <w:rFonts w:cs="Arial"/>
                <w:szCs w:val="22"/>
              </w:rPr>
            </w:pPr>
            <w:r w:rsidRPr="00460DA7">
              <w:rPr>
                <w:rFonts w:cs="Arial"/>
                <w:szCs w:val="22"/>
              </w:rPr>
              <w:t>4.1.1</w:t>
            </w:r>
          </w:p>
        </w:tc>
        <w:tc>
          <w:tcPr>
            <w:tcW w:w="8731" w:type="dxa"/>
          </w:tcPr>
          <w:p w:rsidR="00460DA7" w:rsidRPr="00460DA7" w:rsidRDefault="00460DA7" w:rsidP="00460DA7">
            <w:pPr>
              <w:spacing w:after="60"/>
              <w:rPr>
                <w:rFonts w:eastAsia="SimSun" w:cs="Arial"/>
                <w:color w:val="000000"/>
                <w:szCs w:val="22"/>
                <w:lang w:eastAsia="zh-CN"/>
              </w:rPr>
            </w:pPr>
            <w:r w:rsidRPr="00460DA7">
              <w:rPr>
                <w:rFonts w:eastAsia="SimSun" w:cs="Arial"/>
                <w:color w:val="000000"/>
                <w:szCs w:val="22"/>
                <w:lang w:eastAsia="zh-CN"/>
              </w:rPr>
              <w:t>To formally submit a grievance, the employee should provide the details of the grievance in writing together with the desired outcome.</w:t>
            </w:r>
          </w:p>
        </w:tc>
      </w:tr>
      <w:tr w:rsidR="00460DA7" w:rsidRPr="001354C7" w:rsidTr="00684B45">
        <w:trPr>
          <w:trHeight w:val="283"/>
        </w:trPr>
        <w:tc>
          <w:tcPr>
            <w:tcW w:w="1020" w:type="dxa"/>
          </w:tcPr>
          <w:p w:rsidR="00460DA7" w:rsidRPr="001354C7" w:rsidRDefault="00460DA7" w:rsidP="00AC3102">
            <w:pPr>
              <w:rPr>
                <w:rFonts w:cs="Arial"/>
                <w:szCs w:val="22"/>
              </w:rPr>
            </w:pPr>
          </w:p>
        </w:tc>
        <w:tc>
          <w:tcPr>
            <w:tcW w:w="8731" w:type="dxa"/>
          </w:tcPr>
          <w:p w:rsidR="00460DA7" w:rsidRPr="001354C7" w:rsidRDefault="00460DA7" w:rsidP="00AC3102">
            <w:pPr>
              <w:rPr>
                <w:rFonts w:cs="Arial"/>
                <w:szCs w:val="22"/>
              </w:rPr>
            </w:pPr>
          </w:p>
        </w:tc>
      </w:tr>
      <w:tr w:rsidR="00460DA7" w:rsidRPr="00426C68" w:rsidTr="00684B45">
        <w:trPr>
          <w:trHeight w:val="283"/>
        </w:trPr>
        <w:tc>
          <w:tcPr>
            <w:tcW w:w="1020" w:type="dxa"/>
          </w:tcPr>
          <w:p w:rsidR="00460DA7" w:rsidRPr="00460DA7" w:rsidRDefault="00460DA7" w:rsidP="00B84DE0">
            <w:pPr>
              <w:rPr>
                <w:rFonts w:cs="Arial"/>
                <w:szCs w:val="22"/>
              </w:rPr>
            </w:pPr>
            <w:r w:rsidRPr="00460DA7">
              <w:rPr>
                <w:rFonts w:cs="Arial"/>
                <w:szCs w:val="22"/>
              </w:rPr>
              <w:t>4.1.2</w:t>
            </w:r>
          </w:p>
        </w:tc>
        <w:tc>
          <w:tcPr>
            <w:tcW w:w="8731" w:type="dxa"/>
          </w:tcPr>
          <w:p w:rsidR="00460DA7" w:rsidRPr="00460DA7" w:rsidRDefault="00460DA7" w:rsidP="00460DA7">
            <w:pPr>
              <w:spacing w:after="60"/>
              <w:rPr>
                <w:rFonts w:cs="Arial"/>
                <w:bCs/>
                <w:color w:val="000000" w:themeColor="text1"/>
                <w:szCs w:val="22"/>
              </w:rPr>
            </w:pPr>
            <w:r w:rsidRPr="00A15123">
              <w:rPr>
                <w:rFonts w:eastAsia="SimSun" w:cs="Arial"/>
                <w:color w:val="000000" w:themeColor="text1"/>
                <w:szCs w:val="22"/>
                <w:lang w:eastAsia="zh-CN"/>
              </w:rPr>
              <w:t>Upon the receipt of a formal grievance, a Grievance Assessor will be appointed. The School will need to identify who the most appropriate person will be to manage the grievance resolution process taking into account time constraints, workload and ability to fulfil the role. In certain circumstances it may be appropriate for an external investigator to be appointed.</w:t>
            </w:r>
          </w:p>
        </w:tc>
      </w:tr>
      <w:tr w:rsidR="00460DA7" w:rsidRPr="00426C68" w:rsidTr="00684B45">
        <w:trPr>
          <w:trHeight w:val="283"/>
        </w:trPr>
        <w:tc>
          <w:tcPr>
            <w:tcW w:w="1020" w:type="dxa"/>
          </w:tcPr>
          <w:p w:rsidR="00460DA7" w:rsidRPr="00460DA7" w:rsidRDefault="00460DA7" w:rsidP="00AC3102">
            <w:pPr>
              <w:rPr>
                <w:rFonts w:cs="Arial"/>
                <w:szCs w:val="22"/>
              </w:rPr>
            </w:pPr>
          </w:p>
        </w:tc>
        <w:tc>
          <w:tcPr>
            <w:tcW w:w="8731" w:type="dxa"/>
          </w:tcPr>
          <w:p w:rsidR="00460DA7" w:rsidRPr="00A15123" w:rsidRDefault="00460DA7" w:rsidP="00AC3102">
            <w:pPr>
              <w:rPr>
                <w:rFonts w:eastAsia="SimSun" w:cs="Arial"/>
                <w:color w:val="000000" w:themeColor="text1"/>
                <w:szCs w:val="22"/>
                <w:lang w:eastAsia="zh-CN"/>
              </w:rPr>
            </w:pPr>
          </w:p>
        </w:tc>
      </w:tr>
      <w:tr w:rsidR="00460DA7" w:rsidRPr="00426C68" w:rsidTr="00684B45">
        <w:trPr>
          <w:trHeight w:val="283"/>
        </w:trPr>
        <w:tc>
          <w:tcPr>
            <w:tcW w:w="1020" w:type="dxa"/>
          </w:tcPr>
          <w:p w:rsidR="00460DA7" w:rsidRPr="00460DA7" w:rsidRDefault="00460DA7" w:rsidP="00B84DE0">
            <w:pPr>
              <w:rPr>
                <w:rFonts w:cs="Arial"/>
                <w:szCs w:val="22"/>
              </w:rPr>
            </w:pPr>
            <w:r>
              <w:rPr>
                <w:rFonts w:cs="Arial"/>
                <w:szCs w:val="22"/>
              </w:rPr>
              <w:t>4.1.3</w:t>
            </w:r>
          </w:p>
        </w:tc>
        <w:tc>
          <w:tcPr>
            <w:tcW w:w="8731" w:type="dxa"/>
          </w:tcPr>
          <w:p w:rsidR="00460DA7" w:rsidRPr="00A15123" w:rsidRDefault="00460DA7" w:rsidP="00460DA7">
            <w:pPr>
              <w:spacing w:after="60"/>
              <w:rPr>
                <w:rFonts w:eastAsia="SimSun" w:cs="Arial"/>
                <w:color w:val="000000" w:themeColor="text1"/>
                <w:szCs w:val="22"/>
                <w:lang w:eastAsia="zh-CN"/>
              </w:rPr>
            </w:pPr>
            <w:r>
              <w:rPr>
                <w:rFonts w:cs="Arial"/>
                <w:szCs w:val="22"/>
              </w:rPr>
              <w:t>The Grievance A</w:t>
            </w:r>
            <w:r w:rsidR="005A5219">
              <w:rPr>
                <w:rFonts w:cs="Arial"/>
                <w:szCs w:val="22"/>
              </w:rPr>
              <w:t>ssessor will arrange a Formal Grievance Me</w:t>
            </w:r>
            <w:r w:rsidRPr="00426C68">
              <w:rPr>
                <w:rFonts w:cs="Arial"/>
                <w:szCs w:val="22"/>
              </w:rPr>
              <w:t xml:space="preserve">eting at which </w:t>
            </w:r>
            <w:r w:rsidRPr="00426C68">
              <w:rPr>
                <w:rFonts w:eastAsia="SimSun" w:cs="Arial"/>
                <w:szCs w:val="22"/>
                <w:lang w:eastAsia="zh-CN"/>
              </w:rPr>
              <w:t>the employee will need to substantiate their grievance and state what action they feel should be taken to resolve the matter. To substantiate their grievance</w:t>
            </w:r>
            <w:r>
              <w:rPr>
                <w:rFonts w:eastAsia="SimSun" w:cs="Arial"/>
                <w:szCs w:val="22"/>
                <w:lang w:eastAsia="zh-CN"/>
              </w:rPr>
              <w:t>,</w:t>
            </w:r>
            <w:r w:rsidRPr="00426C68">
              <w:rPr>
                <w:rFonts w:eastAsia="SimSun" w:cs="Arial"/>
                <w:szCs w:val="22"/>
                <w:lang w:eastAsia="zh-CN"/>
              </w:rPr>
              <w:t xml:space="preserve"> the employee may be expected to produce documentation, prior to the meeting where possible, and refer to other relevant parties who would be able to confirm the points being made.</w:t>
            </w:r>
          </w:p>
        </w:tc>
      </w:tr>
      <w:tr w:rsidR="00460DA7" w:rsidRPr="00426C68" w:rsidTr="00684B45">
        <w:trPr>
          <w:trHeight w:val="283"/>
        </w:trPr>
        <w:tc>
          <w:tcPr>
            <w:tcW w:w="1020" w:type="dxa"/>
          </w:tcPr>
          <w:p w:rsidR="00460DA7" w:rsidRDefault="00460DA7" w:rsidP="00AC3102">
            <w:pPr>
              <w:rPr>
                <w:rFonts w:cs="Arial"/>
                <w:szCs w:val="22"/>
              </w:rPr>
            </w:pPr>
          </w:p>
        </w:tc>
        <w:tc>
          <w:tcPr>
            <w:tcW w:w="8731" w:type="dxa"/>
          </w:tcPr>
          <w:p w:rsidR="00460DA7" w:rsidRDefault="00460DA7" w:rsidP="00AC3102">
            <w:pPr>
              <w:rPr>
                <w:rFonts w:cs="Arial"/>
                <w:szCs w:val="22"/>
              </w:rPr>
            </w:pPr>
          </w:p>
        </w:tc>
      </w:tr>
      <w:tr w:rsidR="00460DA7" w:rsidRPr="00426C68" w:rsidTr="00684B45">
        <w:trPr>
          <w:trHeight w:val="283"/>
        </w:trPr>
        <w:tc>
          <w:tcPr>
            <w:tcW w:w="1020" w:type="dxa"/>
          </w:tcPr>
          <w:p w:rsidR="00460DA7" w:rsidRDefault="00460DA7" w:rsidP="001354C7">
            <w:pPr>
              <w:rPr>
                <w:rFonts w:cs="Arial"/>
                <w:szCs w:val="22"/>
              </w:rPr>
            </w:pPr>
            <w:r>
              <w:rPr>
                <w:rFonts w:cs="Arial"/>
                <w:szCs w:val="22"/>
              </w:rPr>
              <w:t>4.1.4</w:t>
            </w:r>
          </w:p>
        </w:tc>
        <w:tc>
          <w:tcPr>
            <w:tcW w:w="8731" w:type="dxa"/>
          </w:tcPr>
          <w:p w:rsidR="00460DA7" w:rsidRDefault="00460DA7" w:rsidP="001354C7">
            <w:pPr>
              <w:spacing w:after="60"/>
              <w:rPr>
                <w:rFonts w:cs="Arial"/>
                <w:szCs w:val="22"/>
              </w:rPr>
            </w:pPr>
            <w:r w:rsidRPr="00B94F6A">
              <w:rPr>
                <w:rFonts w:cs="Arial"/>
                <w:bCs/>
                <w:szCs w:val="22"/>
              </w:rPr>
              <w:t>At the Formal Grievance Meeting the Grievance Assessor hearing the griev</w:t>
            </w:r>
            <w:r w:rsidR="001354C7">
              <w:rPr>
                <w:rFonts w:cs="Arial"/>
                <w:bCs/>
                <w:szCs w:val="22"/>
              </w:rPr>
              <w:t>ance will either determine that f</w:t>
            </w:r>
            <w:r w:rsidRPr="001354C7">
              <w:rPr>
                <w:rFonts w:cs="Arial"/>
                <w:bCs/>
                <w:szCs w:val="22"/>
              </w:rPr>
              <w:t>urther investigations will need to be carried out to establish the facts surrounding the case</w:t>
            </w:r>
            <w:r w:rsidR="001354C7">
              <w:rPr>
                <w:rFonts w:cs="Arial"/>
                <w:bCs/>
                <w:szCs w:val="22"/>
              </w:rPr>
              <w:t xml:space="preserve">.  </w:t>
            </w:r>
            <w:r w:rsidRPr="00B94F6A">
              <w:rPr>
                <w:rFonts w:cs="Arial"/>
                <w:bCs/>
                <w:szCs w:val="22"/>
              </w:rPr>
              <w:t>The information that the employee has raised is of such serious concern, that invoking another policy is more appropriate.  In these circumstances the grievance process will be paused.</w:t>
            </w:r>
          </w:p>
        </w:tc>
      </w:tr>
      <w:tr w:rsidR="00B94F6A" w:rsidRPr="00426C68" w:rsidTr="00684B45">
        <w:trPr>
          <w:trHeight w:val="283"/>
        </w:trPr>
        <w:tc>
          <w:tcPr>
            <w:tcW w:w="1020" w:type="dxa"/>
          </w:tcPr>
          <w:p w:rsidR="00B94F6A" w:rsidRPr="00426C68" w:rsidRDefault="00B94F6A" w:rsidP="00B94F6A">
            <w:pPr>
              <w:spacing w:after="60"/>
              <w:jc w:val="both"/>
              <w:rPr>
                <w:rFonts w:cs="Arial"/>
                <w:szCs w:val="22"/>
              </w:rPr>
            </w:pPr>
          </w:p>
        </w:tc>
        <w:tc>
          <w:tcPr>
            <w:tcW w:w="8731" w:type="dxa"/>
          </w:tcPr>
          <w:p w:rsidR="00B94F6A" w:rsidRPr="00426C68" w:rsidRDefault="00B94F6A" w:rsidP="00B94F6A">
            <w:pPr>
              <w:spacing w:after="60"/>
              <w:jc w:val="both"/>
              <w:rPr>
                <w:rFonts w:eastAsia="SimSun" w:cs="Arial"/>
                <w:color w:val="000000"/>
                <w:szCs w:val="22"/>
                <w:lang w:eastAsia="zh-CN"/>
              </w:rPr>
            </w:pPr>
          </w:p>
        </w:tc>
      </w:tr>
      <w:tr w:rsidR="00B94F6A" w:rsidRPr="00426C68" w:rsidTr="002068A2">
        <w:trPr>
          <w:trHeight w:val="283"/>
        </w:trPr>
        <w:tc>
          <w:tcPr>
            <w:tcW w:w="1020" w:type="dxa"/>
          </w:tcPr>
          <w:p w:rsidR="00B94F6A" w:rsidRPr="00426C68" w:rsidRDefault="00B94F6A" w:rsidP="001354C7">
            <w:pPr>
              <w:spacing w:after="60"/>
              <w:rPr>
                <w:rFonts w:cs="Arial"/>
                <w:szCs w:val="22"/>
              </w:rPr>
            </w:pPr>
            <w:r>
              <w:rPr>
                <w:rFonts w:cs="Arial"/>
                <w:szCs w:val="22"/>
              </w:rPr>
              <w:t>4.1.5</w:t>
            </w:r>
          </w:p>
        </w:tc>
        <w:tc>
          <w:tcPr>
            <w:tcW w:w="8731" w:type="dxa"/>
          </w:tcPr>
          <w:p w:rsidR="00B94F6A" w:rsidRPr="00426C68" w:rsidRDefault="00B94F6A" w:rsidP="001354C7">
            <w:pPr>
              <w:spacing w:after="60"/>
              <w:rPr>
                <w:rFonts w:cs="Arial"/>
                <w:color w:val="FF0000"/>
                <w:szCs w:val="22"/>
              </w:rPr>
            </w:pPr>
            <w:r w:rsidRPr="00F74462">
              <w:rPr>
                <w:rFonts w:cs="Arial"/>
                <w:color w:val="000000" w:themeColor="text1"/>
                <w:szCs w:val="22"/>
              </w:rPr>
              <w:t>An employee who is the subject of a formal grievance</w:t>
            </w:r>
            <w:r w:rsidR="00931F05" w:rsidRPr="00F74462">
              <w:rPr>
                <w:rFonts w:cs="Arial"/>
                <w:color w:val="000000" w:themeColor="text1"/>
                <w:szCs w:val="22"/>
              </w:rPr>
              <w:t xml:space="preserve">, whilst they may not have sight of the written grievance, they have </w:t>
            </w:r>
            <w:r w:rsidRPr="00F74462">
              <w:rPr>
                <w:rFonts w:cs="Arial"/>
                <w:color w:val="000000" w:themeColor="text1"/>
                <w:szCs w:val="22"/>
              </w:rPr>
              <w:t>the right to know the allegation</w:t>
            </w:r>
            <w:r w:rsidR="00931F05" w:rsidRPr="00F74462">
              <w:rPr>
                <w:rFonts w:cs="Arial"/>
                <w:color w:val="000000" w:themeColor="text1"/>
                <w:szCs w:val="22"/>
              </w:rPr>
              <w:t>(</w:t>
            </w:r>
            <w:r w:rsidRPr="00F74462">
              <w:rPr>
                <w:rFonts w:cs="Arial"/>
                <w:color w:val="000000" w:themeColor="text1"/>
                <w:szCs w:val="22"/>
              </w:rPr>
              <w:t>s</w:t>
            </w:r>
            <w:r w:rsidR="00931F05" w:rsidRPr="00F74462">
              <w:rPr>
                <w:rFonts w:cs="Arial"/>
                <w:color w:val="000000" w:themeColor="text1"/>
                <w:szCs w:val="22"/>
              </w:rPr>
              <w:t>)</w:t>
            </w:r>
            <w:r w:rsidRPr="00F74462">
              <w:rPr>
                <w:rFonts w:cs="Arial"/>
                <w:color w:val="000000" w:themeColor="text1"/>
                <w:szCs w:val="22"/>
              </w:rPr>
              <w:t xml:space="preserve"> against them in full and have the opportunity to respond. Therefore, the employee submitting a grievance should be made aware of this.</w:t>
            </w:r>
          </w:p>
        </w:tc>
      </w:tr>
      <w:tr w:rsidR="001354C7" w:rsidRPr="00426C68" w:rsidTr="002068A2">
        <w:trPr>
          <w:trHeight w:val="283"/>
        </w:trPr>
        <w:tc>
          <w:tcPr>
            <w:tcW w:w="1020" w:type="dxa"/>
          </w:tcPr>
          <w:p w:rsidR="001354C7" w:rsidRDefault="001354C7" w:rsidP="00B94F6A">
            <w:pPr>
              <w:spacing w:after="60"/>
              <w:jc w:val="both"/>
              <w:rPr>
                <w:rFonts w:cs="Arial"/>
                <w:szCs w:val="22"/>
              </w:rPr>
            </w:pPr>
          </w:p>
        </w:tc>
        <w:tc>
          <w:tcPr>
            <w:tcW w:w="8731" w:type="dxa"/>
          </w:tcPr>
          <w:p w:rsidR="001354C7" w:rsidRPr="00F74462" w:rsidRDefault="001354C7" w:rsidP="00931F05">
            <w:pPr>
              <w:spacing w:after="60"/>
              <w:jc w:val="both"/>
              <w:rPr>
                <w:rFonts w:cs="Arial"/>
                <w:color w:val="000000" w:themeColor="text1"/>
                <w:szCs w:val="22"/>
              </w:rPr>
            </w:pPr>
          </w:p>
        </w:tc>
      </w:tr>
      <w:tr w:rsidR="001354C7" w:rsidRPr="00AC3102" w:rsidTr="002068A2">
        <w:trPr>
          <w:trHeight w:val="283"/>
        </w:trPr>
        <w:tc>
          <w:tcPr>
            <w:tcW w:w="1020" w:type="dxa"/>
          </w:tcPr>
          <w:p w:rsidR="001354C7" w:rsidRPr="00AC3102" w:rsidRDefault="001354C7" w:rsidP="00B94F6A">
            <w:pPr>
              <w:spacing w:after="60"/>
              <w:jc w:val="both"/>
              <w:rPr>
                <w:rFonts w:cs="Arial"/>
                <w:b/>
                <w:sz w:val="24"/>
                <w:szCs w:val="24"/>
              </w:rPr>
            </w:pPr>
            <w:r w:rsidRPr="00AC3102">
              <w:rPr>
                <w:rFonts w:cs="Arial"/>
                <w:b/>
                <w:sz w:val="24"/>
                <w:szCs w:val="24"/>
              </w:rPr>
              <w:lastRenderedPageBreak/>
              <w:t>4.2</w:t>
            </w:r>
          </w:p>
        </w:tc>
        <w:tc>
          <w:tcPr>
            <w:tcW w:w="8731" w:type="dxa"/>
          </w:tcPr>
          <w:p w:rsidR="001354C7" w:rsidRPr="00AC3102" w:rsidRDefault="001354C7" w:rsidP="00931F05">
            <w:pPr>
              <w:spacing w:after="60"/>
              <w:jc w:val="both"/>
              <w:rPr>
                <w:rFonts w:cs="Arial"/>
                <w:b/>
                <w:color w:val="000000" w:themeColor="text1"/>
                <w:sz w:val="24"/>
                <w:szCs w:val="24"/>
              </w:rPr>
            </w:pPr>
            <w:r w:rsidRPr="00AC3102">
              <w:rPr>
                <w:rFonts w:cs="Arial"/>
                <w:b/>
                <w:color w:val="000000" w:themeColor="text1"/>
                <w:sz w:val="24"/>
                <w:szCs w:val="24"/>
              </w:rPr>
              <w:t>Formal Grievance Outcome</w:t>
            </w:r>
          </w:p>
        </w:tc>
      </w:tr>
      <w:tr w:rsidR="00460DA7" w:rsidRPr="00426C68" w:rsidTr="002068A2">
        <w:trPr>
          <w:trHeight w:val="283"/>
        </w:trPr>
        <w:tc>
          <w:tcPr>
            <w:tcW w:w="1020" w:type="dxa"/>
          </w:tcPr>
          <w:p w:rsidR="00460DA7" w:rsidRDefault="00460DA7" w:rsidP="00B94F6A">
            <w:pPr>
              <w:spacing w:after="60"/>
              <w:jc w:val="both"/>
              <w:rPr>
                <w:rFonts w:cs="Arial"/>
                <w:szCs w:val="22"/>
              </w:rPr>
            </w:pPr>
          </w:p>
        </w:tc>
        <w:tc>
          <w:tcPr>
            <w:tcW w:w="8731" w:type="dxa"/>
          </w:tcPr>
          <w:p w:rsidR="00460DA7" w:rsidRPr="00F74462" w:rsidRDefault="00460DA7" w:rsidP="00931F05">
            <w:pPr>
              <w:spacing w:after="60"/>
              <w:jc w:val="both"/>
              <w:rPr>
                <w:rFonts w:cs="Arial"/>
                <w:color w:val="000000" w:themeColor="text1"/>
                <w:szCs w:val="22"/>
              </w:rPr>
            </w:pPr>
          </w:p>
        </w:tc>
      </w:tr>
      <w:tr w:rsidR="001354C7" w:rsidRPr="00426C68" w:rsidTr="002068A2">
        <w:trPr>
          <w:trHeight w:val="283"/>
        </w:trPr>
        <w:tc>
          <w:tcPr>
            <w:tcW w:w="1020" w:type="dxa"/>
          </w:tcPr>
          <w:p w:rsidR="001354C7" w:rsidRDefault="001354C7" w:rsidP="00AC3102">
            <w:pPr>
              <w:rPr>
                <w:rFonts w:cs="Arial"/>
                <w:szCs w:val="22"/>
              </w:rPr>
            </w:pPr>
            <w:r>
              <w:rPr>
                <w:rFonts w:cs="Arial"/>
                <w:szCs w:val="22"/>
              </w:rPr>
              <w:t>4.2.1</w:t>
            </w:r>
          </w:p>
        </w:tc>
        <w:tc>
          <w:tcPr>
            <w:tcW w:w="8731" w:type="dxa"/>
          </w:tcPr>
          <w:p w:rsidR="001354C7" w:rsidRPr="00F74462" w:rsidRDefault="001354C7" w:rsidP="00AC3102">
            <w:pPr>
              <w:pStyle w:val="NormalWeb"/>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Once the details of the case have been determined, the Grievance Assessor will decide the outcome, based on the facts of the case made available to them. The Grievance Assessor will determine the outcome of the grievance, which may be to:</w:t>
            </w:r>
          </w:p>
          <w:p w:rsidR="001354C7" w:rsidRPr="00F74462" w:rsidRDefault="001354C7" w:rsidP="00AC3102">
            <w:pPr>
              <w:pStyle w:val="NormalWeb"/>
              <w:numPr>
                <w:ilvl w:val="0"/>
                <w:numId w:val="4"/>
              </w:numPr>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 xml:space="preserve">reject the grievance, </w:t>
            </w:r>
          </w:p>
          <w:p w:rsidR="001354C7" w:rsidRPr="00F74462" w:rsidRDefault="001354C7" w:rsidP="00AC3102">
            <w:pPr>
              <w:pStyle w:val="NormalWeb"/>
              <w:numPr>
                <w:ilvl w:val="0"/>
                <w:numId w:val="4"/>
              </w:numPr>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to not uphold the grievance</w:t>
            </w:r>
          </w:p>
          <w:p w:rsidR="001354C7" w:rsidRPr="00F74462" w:rsidRDefault="001354C7" w:rsidP="00AC3102">
            <w:pPr>
              <w:pStyle w:val="NormalWeb"/>
              <w:numPr>
                <w:ilvl w:val="0"/>
                <w:numId w:val="4"/>
              </w:numPr>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 xml:space="preserve">to uphold the grievance either partially or in its entirety </w:t>
            </w:r>
          </w:p>
          <w:p w:rsidR="001354C7" w:rsidRPr="001354C7" w:rsidRDefault="001354C7" w:rsidP="00AC3102">
            <w:pPr>
              <w:pStyle w:val="NormalWeb"/>
              <w:numPr>
                <w:ilvl w:val="0"/>
                <w:numId w:val="4"/>
              </w:numPr>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 xml:space="preserve">make recommendations on how to resolve the grievance </w:t>
            </w:r>
          </w:p>
        </w:tc>
      </w:tr>
      <w:tr w:rsidR="001354C7" w:rsidRPr="00426C68" w:rsidTr="002068A2">
        <w:trPr>
          <w:trHeight w:val="283"/>
        </w:trPr>
        <w:tc>
          <w:tcPr>
            <w:tcW w:w="1020" w:type="dxa"/>
          </w:tcPr>
          <w:p w:rsidR="001354C7" w:rsidRDefault="001354C7" w:rsidP="00AC3102">
            <w:pPr>
              <w:rPr>
                <w:rFonts w:cs="Arial"/>
                <w:szCs w:val="22"/>
              </w:rPr>
            </w:pPr>
          </w:p>
        </w:tc>
        <w:tc>
          <w:tcPr>
            <w:tcW w:w="8731" w:type="dxa"/>
          </w:tcPr>
          <w:p w:rsidR="001354C7" w:rsidRPr="00F74462" w:rsidRDefault="001354C7" w:rsidP="00AC3102">
            <w:pPr>
              <w:pStyle w:val="NormalWeb"/>
              <w:shd w:val="clear" w:color="auto" w:fill="FFFFFF"/>
              <w:spacing w:before="0" w:beforeAutospacing="0" w:after="0" w:afterAutospacing="0"/>
              <w:rPr>
                <w:rFonts w:ascii="Arial" w:hAnsi="Arial" w:cs="Arial"/>
                <w:color w:val="000000" w:themeColor="text1"/>
                <w:sz w:val="22"/>
                <w:szCs w:val="22"/>
              </w:rPr>
            </w:pPr>
          </w:p>
        </w:tc>
      </w:tr>
      <w:tr w:rsidR="001354C7" w:rsidRPr="001354C7" w:rsidTr="002068A2">
        <w:trPr>
          <w:trHeight w:val="283"/>
        </w:trPr>
        <w:tc>
          <w:tcPr>
            <w:tcW w:w="1020" w:type="dxa"/>
          </w:tcPr>
          <w:p w:rsidR="001354C7" w:rsidRPr="001354C7" w:rsidRDefault="001354C7" w:rsidP="00AC3102">
            <w:pPr>
              <w:rPr>
                <w:rFonts w:cs="Arial"/>
                <w:szCs w:val="22"/>
              </w:rPr>
            </w:pPr>
            <w:r w:rsidRPr="001354C7">
              <w:rPr>
                <w:rFonts w:cs="Arial"/>
                <w:szCs w:val="22"/>
              </w:rPr>
              <w:t>4.2.2</w:t>
            </w:r>
          </w:p>
        </w:tc>
        <w:tc>
          <w:tcPr>
            <w:tcW w:w="8731" w:type="dxa"/>
          </w:tcPr>
          <w:p w:rsidR="001354C7" w:rsidRPr="001354C7" w:rsidRDefault="001354C7" w:rsidP="00AC3102">
            <w:pPr>
              <w:pStyle w:val="NormalWeb"/>
              <w:shd w:val="clear" w:color="auto" w:fill="FFFFFF"/>
              <w:spacing w:before="0" w:beforeAutospacing="0" w:after="0" w:afterAutospacing="0"/>
              <w:rPr>
                <w:rFonts w:ascii="Arial" w:hAnsi="Arial" w:cs="Arial"/>
                <w:color w:val="000000" w:themeColor="text1"/>
                <w:sz w:val="22"/>
                <w:szCs w:val="22"/>
              </w:rPr>
            </w:pPr>
            <w:r w:rsidRPr="001354C7">
              <w:rPr>
                <w:rFonts w:ascii="Arial" w:hAnsi="Arial" w:cs="Arial"/>
                <w:color w:val="000000" w:themeColor="text1"/>
                <w:sz w:val="22"/>
                <w:szCs w:val="22"/>
              </w:rPr>
              <w:t>The Grievance Assessor will notify the employee in writing of the outcome and reasons for the outcome in the form of a report of their findings and an outcome letter. The outcome letter will confirm that the employee raising the grievance has a right to appeal.</w:t>
            </w:r>
          </w:p>
        </w:tc>
      </w:tr>
      <w:tr w:rsidR="001354C7" w:rsidRPr="001354C7" w:rsidTr="002068A2">
        <w:trPr>
          <w:trHeight w:val="283"/>
        </w:trPr>
        <w:tc>
          <w:tcPr>
            <w:tcW w:w="1020" w:type="dxa"/>
          </w:tcPr>
          <w:p w:rsidR="001354C7" w:rsidRPr="001354C7" w:rsidRDefault="001354C7" w:rsidP="00AC3102">
            <w:pPr>
              <w:rPr>
                <w:rFonts w:cs="Arial"/>
                <w:szCs w:val="22"/>
              </w:rPr>
            </w:pPr>
          </w:p>
        </w:tc>
        <w:tc>
          <w:tcPr>
            <w:tcW w:w="8731" w:type="dxa"/>
          </w:tcPr>
          <w:p w:rsidR="001354C7" w:rsidRPr="001354C7" w:rsidRDefault="001354C7" w:rsidP="00AC3102">
            <w:pPr>
              <w:pStyle w:val="NormalWeb"/>
              <w:shd w:val="clear" w:color="auto" w:fill="FFFFFF"/>
              <w:spacing w:before="0" w:beforeAutospacing="0" w:after="0" w:afterAutospacing="0"/>
              <w:rPr>
                <w:rFonts w:ascii="Arial" w:hAnsi="Arial" w:cs="Arial"/>
                <w:color w:val="000000" w:themeColor="text1"/>
                <w:sz w:val="22"/>
                <w:szCs w:val="22"/>
              </w:rPr>
            </w:pPr>
          </w:p>
        </w:tc>
      </w:tr>
      <w:tr w:rsidR="001354C7" w:rsidRPr="001354C7" w:rsidTr="002068A2">
        <w:trPr>
          <w:trHeight w:val="283"/>
        </w:trPr>
        <w:tc>
          <w:tcPr>
            <w:tcW w:w="1020" w:type="dxa"/>
          </w:tcPr>
          <w:p w:rsidR="001354C7" w:rsidRPr="001354C7" w:rsidRDefault="001354C7" w:rsidP="00AC3102">
            <w:pPr>
              <w:rPr>
                <w:rFonts w:cs="Arial"/>
                <w:szCs w:val="22"/>
              </w:rPr>
            </w:pPr>
            <w:r>
              <w:rPr>
                <w:rFonts w:cs="Arial"/>
                <w:szCs w:val="22"/>
              </w:rPr>
              <w:t>4.2.3</w:t>
            </w:r>
          </w:p>
        </w:tc>
        <w:tc>
          <w:tcPr>
            <w:tcW w:w="8731" w:type="dxa"/>
          </w:tcPr>
          <w:p w:rsidR="001354C7" w:rsidRPr="001354C7" w:rsidRDefault="001354C7" w:rsidP="00AC3102">
            <w:pPr>
              <w:rPr>
                <w:rFonts w:cs="Arial"/>
                <w:color w:val="000000" w:themeColor="text1"/>
                <w:szCs w:val="22"/>
              </w:rPr>
            </w:pPr>
            <w:r w:rsidRPr="00F74462">
              <w:rPr>
                <w:rFonts w:cs="Arial"/>
                <w:color w:val="000000" w:themeColor="text1"/>
                <w:szCs w:val="22"/>
              </w:rPr>
              <w:t>For more complex grievances the Grievance Assessor may choose to give th</w:t>
            </w:r>
            <w:r>
              <w:rPr>
                <w:rFonts w:cs="Arial"/>
                <w:color w:val="000000" w:themeColor="text1"/>
                <w:szCs w:val="22"/>
              </w:rPr>
              <w:t xml:space="preserve">eir findings to the employee at </w:t>
            </w:r>
            <w:r w:rsidRPr="00F74462">
              <w:rPr>
                <w:rFonts w:cs="Arial"/>
                <w:color w:val="000000" w:themeColor="text1"/>
                <w:szCs w:val="22"/>
              </w:rPr>
              <w:t>a grievance outcome meeting.</w:t>
            </w:r>
          </w:p>
        </w:tc>
      </w:tr>
      <w:tr w:rsidR="001354C7" w:rsidRPr="001354C7" w:rsidTr="002068A2">
        <w:trPr>
          <w:trHeight w:val="283"/>
        </w:trPr>
        <w:tc>
          <w:tcPr>
            <w:tcW w:w="1020" w:type="dxa"/>
          </w:tcPr>
          <w:p w:rsidR="001354C7" w:rsidRDefault="001354C7" w:rsidP="00AC3102">
            <w:pPr>
              <w:rPr>
                <w:rFonts w:cs="Arial"/>
                <w:szCs w:val="22"/>
              </w:rPr>
            </w:pPr>
          </w:p>
        </w:tc>
        <w:tc>
          <w:tcPr>
            <w:tcW w:w="8731" w:type="dxa"/>
          </w:tcPr>
          <w:p w:rsidR="001354C7" w:rsidRPr="00F74462" w:rsidRDefault="001354C7" w:rsidP="00AC3102">
            <w:pPr>
              <w:rPr>
                <w:rFonts w:cs="Arial"/>
                <w:color w:val="000000" w:themeColor="text1"/>
                <w:szCs w:val="22"/>
              </w:rPr>
            </w:pPr>
          </w:p>
        </w:tc>
      </w:tr>
      <w:tr w:rsidR="001354C7" w:rsidRPr="001354C7" w:rsidTr="002068A2">
        <w:trPr>
          <w:trHeight w:val="283"/>
        </w:trPr>
        <w:tc>
          <w:tcPr>
            <w:tcW w:w="1020" w:type="dxa"/>
          </w:tcPr>
          <w:p w:rsidR="001354C7" w:rsidRDefault="001354C7" w:rsidP="00AC3102">
            <w:pPr>
              <w:rPr>
                <w:rFonts w:cs="Arial"/>
                <w:szCs w:val="22"/>
              </w:rPr>
            </w:pPr>
            <w:r>
              <w:rPr>
                <w:rFonts w:cs="Arial"/>
                <w:szCs w:val="22"/>
              </w:rPr>
              <w:t>4.2.4</w:t>
            </w:r>
          </w:p>
        </w:tc>
        <w:tc>
          <w:tcPr>
            <w:tcW w:w="8731" w:type="dxa"/>
          </w:tcPr>
          <w:p w:rsidR="001354C7" w:rsidRPr="00F74462" w:rsidRDefault="001354C7" w:rsidP="00AC3102">
            <w:pPr>
              <w:rPr>
                <w:rFonts w:cs="Arial"/>
                <w:color w:val="000000" w:themeColor="text1"/>
                <w:szCs w:val="22"/>
              </w:rPr>
            </w:pPr>
            <w:r w:rsidRPr="00F74462">
              <w:rPr>
                <w:rFonts w:cs="Arial"/>
                <w:color w:val="000000" w:themeColor="text1"/>
                <w:szCs w:val="22"/>
              </w:rPr>
              <w:t>The subject of the grievance will also be advised, in writing, of the decision.</w:t>
            </w:r>
          </w:p>
        </w:tc>
      </w:tr>
      <w:tr w:rsidR="001354C7" w:rsidRPr="001354C7" w:rsidTr="002068A2">
        <w:trPr>
          <w:trHeight w:val="283"/>
        </w:trPr>
        <w:tc>
          <w:tcPr>
            <w:tcW w:w="1020" w:type="dxa"/>
          </w:tcPr>
          <w:p w:rsidR="001354C7" w:rsidRDefault="001354C7" w:rsidP="00AC3102">
            <w:pPr>
              <w:rPr>
                <w:rFonts w:cs="Arial"/>
                <w:szCs w:val="22"/>
              </w:rPr>
            </w:pPr>
          </w:p>
        </w:tc>
        <w:tc>
          <w:tcPr>
            <w:tcW w:w="8731" w:type="dxa"/>
          </w:tcPr>
          <w:p w:rsidR="001354C7" w:rsidRPr="00F74462" w:rsidRDefault="001354C7" w:rsidP="00AC3102">
            <w:pPr>
              <w:rPr>
                <w:rFonts w:cs="Arial"/>
                <w:color w:val="000000" w:themeColor="text1"/>
                <w:szCs w:val="22"/>
              </w:rPr>
            </w:pPr>
          </w:p>
        </w:tc>
      </w:tr>
      <w:tr w:rsidR="001354C7" w:rsidRPr="001354C7" w:rsidTr="002068A2">
        <w:trPr>
          <w:trHeight w:val="283"/>
        </w:trPr>
        <w:tc>
          <w:tcPr>
            <w:tcW w:w="1020" w:type="dxa"/>
          </w:tcPr>
          <w:p w:rsidR="001354C7" w:rsidRDefault="001354C7" w:rsidP="00AC3102">
            <w:pPr>
              <w:rPr>
                <w:rFonts w:cs="Arial"/>
                <w:szCs w:val="22"/>
              </w:rPr>
            </w:pPr>
            <w:r>
              <w:rPr>
                <w:rFonts w:cs="Arial"/>
                <w:szCs w:val="22"/>
              </w:rPr>
              <w:t>4.2.5</w:t>
            </w:r>
          </w:p>
        </w:tc>
        <w:tc>
          <w:tcPr>
            <w:tcW w:w="8731" w:type="dxa"/>
          </w:tcPr>
          <w:p w:rsidR="001354C7" w:rsidRPr="00F74462" w:rsidRDefault="001354C7" w:rsidP="00AC3102">
            <w:pPr>
              <w:rPr>
                <w:rFonts w:cs="Arial"/>
                <w:color w:val="000000" w:themeColor="text1"/>
                <w:szCs w:val="22"/>
              </w:rPr>
            </w:pPr>
            <w:r w:rsidRPr="00F74462">
              <w:rPr>
                <w:rFonts w:cs="Arial"/>
                <w:color w:val="000000" w:themeColor="text1"/>
                <w:szCs w:val="22"/>
              </w:rPr>
              <w:t>Whilst the individual raising the grievance will be advised of the outcome of the grievance, they may not be advised of any informal or formal action which may or may not be taken against the subject of the grievance.</w:t>
            </w:r>
          </w:p>
        </w:tc>
      </w:tr>
      <w:tr w:rsidR="001354C7" w:rsidRPr="001354C7" w:rsidTr="002068A2">
        <w:trPr>
          <w:trHeight w:val="283"/>
        </w:trPr>
        <w:tc>
          <w:tcPr>
            <w:tcW w:w="1020" w:type="dxa"/>
          </w:tcPr>
          <w:p w:rsidR="001354C7" w:rsidRPr="001354C7" w:rsidRDefault="001354C7" w:rsidP="001354C7">
            <w:pPr>
              <w:rPr>
                <w:rFonts w:cs="Arial"/>
                <w:szCs w:val="22"/>
              </w:rPr>
            </w:pPr>
          </w:p>
        </w:tc>
        <w:tc>
          <w:tcPr>
            <w:tcW w:w="8731" w:type="dxa"/>
          </w:tcPr>
          <w:p w:rsidR="001354C7" w:rsidRPr="001354C7" w:rsidRDefault="001354C7" w:rsidP="001354C7">
            <w:pPr>
              <w:pStyle w:val="NormalWeb"/>
              <w:shd w:val="clear" w:color="auto" w:fill="FFFFFF"/>
              <w:spacing w:before="0" w:beforeAutospacing="0" w:after="0" w:afterAutospacing="0"/>
              <w:rPr>
                <w:rFonts w:ascii="Arial" w:hAnsi="Arial" w:cs="Arial"/>
                <w:color w:val="000000" w:themeColor="text1"/>
                <w:sz w:val="22"/>
                <w:szCs w:val="22"/>
              </w:rPr>
            </w:pPr>
          </w:p>
        </w:tc>
      </w:tr>
      <w:tr w:rsidR="00C547A7" w:rsidRPr="00426C68" w:rsidTr="00684B45">
        <w:trPr>
          <w:trHeight w:val="283"/>
        </w:trPr>
        <w:tc>
          <w:tcPr>
            <w:tcW w:w="1020" w:type="dxa"/>
          </w:tcPr>
          <w:p w:rsidR="00C547A7" w:rsidRPr="00AC3102" w:rsidRDefault="00C547A7" w:rsidP="00AC3102">
            <w:pPr>
              <w:rPr>
                <w:b/>
                <w:bCs/>
                <w:sz w:val="28"/>
              </w:rPr>
            </w:pPr>
            <w:r w:rsidRPr="00AC3102">
              <w:rPr>
                <w:b/>
                <w:bCs/>
                <w:sz w:val="28"/>
              </w:rPr>
              <w:t>5.0</w:t>
            </w:r>
          </w:p>
        </w:tc>
        <w:tc>
          <w:tcPr>
            <w:tcW w:w="8731" w:type="dxa"/>
          </w:tcPr>
          <w:p w:rsidR="00C547A7" w:rsidRPr="00AC3102" w:rsidRDefault="00C547A7" w:rsidP="00AC3102">
            <w:pPr>
              <w:rPr>
                <w:b/>
                <w:bCs/>
                <w:sz w:val="28"/>
              </w:rPr>
            </w:pPr>
            <w:r w:rsidRPr="00AC3102">
              <w:rPr>
                <w:b/>
                <w:bCs/>
                <w:sz w:val="28"/>
              </w:rPr>
              <w:t>Formal Grievance Appeal</w:t>
            </w:r>
          </w:p>
        </w:tc>
      </w:tr>
      <w:tr w:rsidR="00C547A7" w:rsidRPr="00426C68" w:rsidTr="00684B45">
        <w:trPr>
          <w:trHeight w:val="283"/>
        </w:trPr>
        <w:tc>
          <w:tcPr>
            <w:tcW w:w="1020" w:type="dxa"/>
          </w:tcPr>
          <w:p w:rsidR="00C547A7" w:rsidRPr="00426C68" w:rsidRDefault="00C547A7" w:rsidP="00AC3102">
            <w:pPr>
              <w:spacing w:after="60"/>
              <w:rPr>
                <w:rFonts w:cs="Arial"/>
                <w:szCs w:val="22"/>
              </w:rPr>
            </w:pPr>
          </w:p>
        </w:tc>
        <w:tc>
          <w:tcPr>
            <w:tcW w:w="8731" w:type="dxa"/>
          </w:tcPr>
          <w:p w:rsidR="00C547A7" w:rsidRPr="00426C68" w:rsidRDefault="00C547A7" w:rsidP="00AC3102">
            <w:pPr>
              <w:spacing w:after="60"/>
              <w:rPr>
                <w:rFonts w:cs="Arial"/>
                <w:szCs w:val="22"/>
              </w:rPr>
            </w:pPr>
          </w:p>
        </w:tc>
      </w:tr>
      <w:tr w:rsidR="00C547A7" w:rsidRPr="00426C68" w:rsidTr="00684B45">
        <w:trPr>
          <w:trHeight w:val="283"/>
        </w:trPr>
        <w:tc>
          <w:tcPr>
            <w:tcW w:w="1020" w:type="dxa"/>
          </w:tcPr>
          <w:p w:rsidR="00C547A7" w:rsidRPr="00426C68" w:rsidRDefault="00EB412C" w:rsidP="00AC3102">
            <w:pPr>
              <w:spacing w:after="60"/>
              <w:rPr>
                <w:rFonts w:cs="Arial"/>
                <w:szCs w:val="22"/>
              </w:rPr>
            </w:pPr>
            <w:r w:rsidRPr="00426C68">
              <w:rPr>
                <w:rFonts w:cs="Arial"/>
                <w:szCs w:val="22"/>
              </w:rPr>
              <w:t>5.1</w:t>
            </w:r>
          </w:p>
        </w:tc>
        <w:tc>
          <w:tcPr>
            <w:tcW w:w="8731" w:type="dxa"/>
          </w:tcPr>
          <w:p w:rsidR="00CA5623" w:rsidRPr="00426C68" w:rsidRDefault="00EB412C" w:rsidP="00CC103E">
            <w:pPr>
              <w:spacing w:after="60"/>
              <w:rPr>
                <w:rFonts w:cs="Arial"/>
                <w:szCs w:val="22"/>
              </w:rPr>
            </w:pPr>
            <w:r w:rsidRPr="00426C68">
              <w:rPr>
                <w:rFonts w:cs="Arial"/>
                <w:spacing w:val="-3"/>
                <w:szCs w:val="22"/>
              </w:rPr>
              <w:t>If the employee considers that the grievance has not been satisfactorily re</w:t>
            </w:r>
            <w:r w:rsidR="0090045E" w:rsidRPr="00426C68">
              <w:rPr>
                <w:rFonts w:cs="Arial"/>
                <w:spacing w:val="-3"/>
                <w:szCs w:val="22"/>
              </w:rPr>
              <w:t>solved, then they must submit a formal</w:t>
            </w:r>
            <w:r w:rsidR="00BF3795" w:rsidRPr="00426C68">
              <w:rPr>
                <w:rFonts w:cs="Arial"/>
                <w:spacing w:val="-3"/>
                <w:szCs w:val="22"/>
              </w:rPr>
              <w:t xml:space="preserve"> appeal </w:t>
            </w:r>
            <w:r w:rsidR="00BF1879" w:rsidRPr="00426C68">
              <w:rPr>
                <w:rFonts w:cs="Arial"/>
                <w:spacing w:val="-3"/>
                <w:szCs w:val="22"/>
              </w:rPr>
              <w:t>by</w:t>
            </w:r>
            <w:r w:rsidR="0090045E" w:rsidRPr="00426C68">
              <w:rPr>
                <w:rFonts w:cs="Arial"/>
                <w:spacing w:val="-3"/>
                <w:szCs w:val="22"/>
              </w:rPr>
              <w:t xml:space="preserve"> the </w:t>
            </w:r>
            <w:r w:rsidR="00DF540E" w:rsidRPr="00426C68">
              <w:rPr>
                <w:rFonts w:cs="Arial"/>
                <w:spacing w:val="-3"/>
                <w:szCs w:val="22"/>
              </w:rPr>
              <w:t>given deadline stating</w:t>
            </w:r>
            <w:r w:rsidR="0090045E" w:rsidRPr="00426C68">
              <w:rPr>
                <w:rFonts w:cs="Arial"/>
                <w:spacing w:val="-3"/>
                <w:szCs w:val="22"/>
              </w:rPr>
              <w:t xml:space="preserve"> </w:t>
            </w:r>
            <w:r w:rsidR="00DF540E" w:rsidRPr="00426C68">
              <w:rPr>
                <w:rFonts w:cs="Arial"/>
                <w:spacing w:val="-3"/>
                <w:szCs w:val="22"/>
              </w:rPr>
              <w:t xml:space="preserve">the </w:t>
            </w:r>
            <w:r w:rsidRPr="00426C68">
              <w:rPr>
                <w:rFonts w:cs="Arial"/>
                <w:spacing w:val="-3"/>
                <w:szCs w:val="22"/>
              </w:rPr>
              <w:t>grounds on which the appeal is made.</w:t>
            </w:r>
            <w:r w:rsidR="00CC103E">
              <w:rPr>
                <w:rFonts w:cs="Arial"/>
                <w:spacing w:val="-3"/>
                <w:szCs w:val="22"/>
              </w:rPr>
              <w:t xml:space="preserve"> </w:t>
            </w:r>
          </w:p>
        </w:tc>
      </w:tr>
      <w:tr w:rsidR="00AC3102" w:rsidRPr="00426C68" w:rsidTr="00684B45">
        <w:trPr>
          <w:trHeight w:val="283"/>
        </w:trPr>
        <w:tc>
          <w:tcPr>
            <w:tcW w:w="1020" w:type="dxa"/>
          </w:tcPr>
          <w:p w:rsidR="00AC3102" w:rsidRPr="00426C68" w:rsidRDefault="00AC3102" w:rsidP="00AC3102">
            <w:pPr>
              <w:spacing w:after="60"/>
              <w:rPr>
                <w:rFonts w:cs="Arial"/>
                <w:szCs w:val="22"/>
              </w:rPr>
            </w:pPr>
          </w:p>
        </w:tc>
        <w:tc>
          <w:tcPr>
            <w:tcW w:w="8731" w:type="dxa"/>
          </w:tcPr>
          <w:p w:rsidR="00AC3102" w:rsidRPr="00426C68" w:rsidRDefault="00AC3102" w:rsidP="00AC3102">
            <w:pPr>
              <w:spacing w:after="60"/>
              <w:rPr>
                <w:rFonts w:cs="Arial"/>
                <w:spacing w:val="-3"/>
                <w:szCs w:val="22"/>
              </w:rPr>
            </w:pPr>
          </w:p>
        </w:tc>
      </w:tr>
      <w:tr w:rsidR="00CC103E" w:rsidRPr="00426C68" w:rsidTr="00684B45">
        <w:trPr>
          <w:trHeight w:val="283"/>
        </w:trPr>
        <w:tc>
          <w:tcPr>
            <w:tcW w:w="1020" w:type="dxa"/>
          </w:tcPr>
          <w:p w:rsidR="00CC103E" w:rsidRPr="00BF291E" w:rsidRDefault="00CC103E" w:rsidP="00AC3102">
            <w:pPr>
              <w:spacing w:after="60"/>
              <w:rPr>
                <w:rFonts w:cs="Arial"/>
                <w:szCs w:val="22"/>
              </w:rPr>
            </w:pPr>
            <w:r w:rsidRPr="00BF291E">
              <w:rPr>
                <w:rFonts w:cs="Arial"/>
                <w:szCs w:val="22"/>
              </w:rPr>
              <w:t>5.2</w:t>
            </w:r>
          </w:p>
        </w:tc>
        <w:tc>
          <w:tcPr>
            <w:tcW w:w="8731" w:type="dxa"/>
          </w:tcPr>
          <w:p w:rsidR="00CC103E" w:rsidRPr="00F74462" w:rsidRDefault="00BF291E" w:rsidP="00BF291E">
            <w:pPr>
              <w:pStyle w:val="NormalWeb"/>
              <w:shd w:val="clear" w:color="auto" w:fill="FFFFFF"/>
              <w:spacing w:before="0" w:beforeAutospacing="0" w:after="0" w:afterAutospacing="0"/>
              <w:rPr>
                <w:rFonts w:ascii="Arial" w:hAnsi="Arial" w:cs="Arial"/>
                <w:color w:val="000000" w:themeColor="text1"/>
                <w:sz w:val="22"/>
                <w:szCs w:val="22"/>
              </w:rPr>
            </w:pPr>
            <w:r w:rsidRPr="00BF291E">
              <w:rPr>
                <w:rFonts w:ascii="Arial" w:hAnsi="Arial" w:cs="Arial"/>
                <w:color w:val="000000" w:themeColor="text1"/>
                <w:sz w:val="22"/>
                <w:szCs w:val="22"/>
              </w:rPr>
              <w:t>If the</w:t>
            </w:r>
            <w:r w:rsidR="00CC103E" w:rsidRPr="00BF291E">
              <w:rPr>
                <w:rFonts w:ascii="Arial" w:hAnsi="Arial" w:cs="Arial"/>
                <w:color w:val="000000" w:themeColor="text1"/>
                <w:sz w:val="22"/>
                <w:szCs w:val="22"/>
              </w:rPr>
              <w:t xml:space="preserve"> employee </w:t>
            </w:r>
            <w:r w:rsidRPr="00BF291E">
              <w:rPr>
                <w:rFonts w:ascii="Arial" w:hAnsi="Arial" w:cs="Arial"/>
                <w:color w:val="000000" w:themeColor="text1"/>
                <w:sz w:val="22"/>
                <w:szCs w:val="22"/>
              </w:rPr>
              <w:t>who is</w:t>
            </w:r>
            <w:r w:rsidR="00C677CA" w:rsidRPr="00BF291E">
              <w:rPr>
                <w:rFonts w:ascii="Arial" w:hAnsi="Arial" w:cs="Arial"/>
                <w:color w:val="000000" w:themeColor="text1"/>
                <w:sz w:val="22"/>
                <w:szCs w:val="22"/>
              </w:rPr>
              <w:t xml:space="preserve"> subject of the grievance, they do </w:t>
            </w:r>
            <w:r w:rsidR="00CC103E" w:rsidRPr="00BF291E">
              <w:rPr>
                <w:rFonts w:ascii="Arial" w:hAnsi="Arial" w:cs="Arial"/>
                <w:color w:val="000000" w:themeColor="text1"/>
                <w:sz w:val="22"/>
                <w:szCs w:val="22"/>
              </w:rPr>
              <w:t>not have the right of appeal.</w:t>
            </w:r>
            <w:bookmarkStart w:id="0" w:name="_GoBack"/>
            <w:bookmarkEnd w:id="0"/>
            <w:r w:rsidR="00CC103E">
              <w:rPr>
                <w:rFonts w:ascii="Arial" w:hAnsi="Arial" w:cs="Arial"/>
                <w:color w:val="000000" w:themeColor="text1"/>
                <w:sz w:val="22"/>
                <w:szCs w:val="22"/>
              </w:rPr>
              <w:t xml:space="preserve">  </w:t>
            </w:r>
          </w:p>
        </w:tc>
      </w:tr>
      <w:tr w:rsidR="00CC103E" w:rsidRPr="00426C68" w:rsidTr="00684B45">
        <w:trPr>
          <w:trHeight w:val="283"/>
        </w:trPr>
        <w:tc>
          <w:tcPr>
            <w:tcW w:w="1020" w:type="dxa"/>
          </w:tcPr>
          <w:p w:rsidR="00CC103E" w:rsidRDefault="00CC103E" w:rsidP="00AC3102">
            <w:pPr>
              <w:spacing w:after="60"/>
              <w:rPr>
                <w:rFonts w:cs="Arial"/>
                <w:szCs w:val="22"/>
              </w:rPr>
            </w:pPr>
          </w:p>
        </w:tc>
        <w:tc>
          <w:tcPr>
            <w:tcW w:w="8731" w:type="dxa"/>
          </w:tcPr>
          <w:p w:rsidR="00CC103E" w:rsidRPr="00F74462" w:rsidRDefault="00CC103E" w:rsidP="00AC3102">
            <w:pPr>
              <w:pStyle w:val="NormalWeb"/>
              <w:shd w:val="clear" w:color="auto" w:fill="FFFFFF"/>
              <w:spacing w:before="0" w:beforeAutospacing="0" w:after="0" w:afterAutospacing="0"/>
              <w:rPr>
                <w:rFonts w:ascii="Arial" w:hAnsi="Arial" w:cs="Arial"/>
                <w:color w:val="000000" w:themeColor="text1"/>
                <w:sz w:val="22"/>
                <w:szCs w:val="22"/>
              </w:rPr>
            </w:pPr>
          </w:p>
        </w:tc>
      </w:tr>
      <w:tr w:rsidR="00AC3102" w:rsidRPr="00426C68" w:rsidTr="00684B45">
        <w:trPr>
          <w:trHeight w:val="283"/>
        </w:trPr>
        <w:tc>
          <w:tcPr>
            <w:tcW w:w="1020" w:type="dxa"/>
          </w:tcPr>
          <w:p w:rsidR="00AC3102" w:rsidRPr="00426C68" w:rsidRDefault="00AC3102" w:rsidP="00AC3102">
            <w:pPr>
              <w:spacing w:after="60"/>
              <w:rPr>
                <w:rFonts w:cs="Arial"/>
                <w:szCs w:val="22"/>
              </w:rPr>
            </w:pPr>
            <w:r>
              <w:rPr>
                <w:rFonts w:cs="Arial"/>
                <w:szCs w:val="22"/>
              </w:rPr>
              <w:t>5.</w:t>
            </w:r>
            <w:r w:rsidR="00CC103E">
              <w:rPr>
                <w:rFonts w:cs="Arial"/>
                <w:szCs w:val="22"/>
              </w:rPr>
              <w:t>3</w:t>
            </w:r>
          </w:p>
        </w:tc>
        <w:tc>
          <w:tcPr>
            <w:tcW w:w="8731" w:type="dxa"/>
          </w:tcPr>
          <w:p w:rsidR="00AC3102" w:rsidRDefault="00AC3102" w:rsidP="00AC3102">
            <w:pPr>
              <w:pStyle w:val="NormalWeb"/>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An appeal must be based on the following grounds:</w:t>
            </w:r>
          </w:p>
          <w:p w:rsidR="00AC3102" w:rsidRPr="00F74462" w:rsidRDefault="00AC3102" w:rsidP="00AC3102">
            <w:pPr>
              <w:pStyle w:val="NormalWeb"/>
              <w:shd w:val="clear" w:color="auto" w:fill="FFFFFF"/>
              <w:spacing w:before="0" w:beforeAutospacing="0" w:after="0" w:afterAutospacing="0"/>
              <w:rPr>
                <w:rFonts w:ascii="Arial" w:hAnsi="Arial" w:cs="Arial"/>
                <w:color w:val="000000" w:themeColor="text1"/>
                <w:sz w:val="22"/>
                <w:szCs w:val="22"/>
              </w:rPr>
            </w:pPr>
          </w:p>
          <w:p w:rsidR="00AC3102" w:rsidRPr="00A83A89" w:rsidRDefault="00AC3102" w:rsidP="00A83A89">
            <w:pPr>
              <w:pStyle w:val="NormalWeb"/>
              <w:shd w:val="clear" w:color="auto" w:fill="FFFFFF"/>
              <w:spacing w:before="0" w:beforeAutospacing="0" w:after="0" w:afterAutospacing="0"/>
              <w:rPr>
                <w:rFonts w:ascii="Arial" w:hAnsi="Arial" w:cs="Arial"/>
                <w:color w:val="000000" w:themeColor="text1"/>
                <w:sz w:val="22"/>
                <w:szCs w:val="22"/>
              </w:rPr>
            </w:pPr>
            <w:r w:rsidRPr="00F74462">
              <w:rPr>
                <w:rFonts w:ascii="Arial" w:hAnsi="Arial" w:cs="Arial"/>
                <w:color w:val="000000" w:themeColor="text1"/>
                <w:sz w:val="22"/>
                <w:szCs w:val="22"/>
              </w:rPr>
              <w:t>(a) substantive – new evidence has come to light</w:t>
            </w:r>
            <w:r w:rsidRPr="00F74462">
              <w:rPr>
                <w:rFonts w:ascii="Arial" w:hAnsi="Arial" w:cs="Arial"/>
                <w:color w:val="000000" w:themeColor="text1"/>
                <w:sz w:val="22"/>
                <w:szCs w:val="22"/>
              </w:rPr>
              <w:br/>
              <w:t>(b) procedural – the policies and procedures were not followed correctly</w:t>
            </w:r>
            <w:r w:rsidRPr="00F74462">
              <w:rPr>
                <w:rFonts w:ascii="Arial" w:hAnsi="Arial" w:cs="Arial"/>
                <w:color w:val="000000" w:themeColor="text1"/>
                <w:sz w:val="22"/>
                <w:szCs w:val="22"/>
              </w:rPr>
              <w:br/>
              <w:t>(c) inaccurate – the investigation report misinterprets the information provided</w:t>
            </w:r>
            <w:r w:rsidRPr="00F74462">
              <w:rPr>
                <w:rFonts w:ascii="Arial" w:hAnsi="Arial" w:cs="Arial"/>
                <w:color w:val="000000" w:themeColor="text1"/>
                <w:sz w:val="22"/>
                <w:szCs w:val="22"/>
              </w:rPr>
              <w:br/>
              <w:t>(d) inconsistent – the decision does not follow logically from the investigation</w:t>
            </w:r>
            <w:r w:rsidRPr="00F74462">
              <w:rPr>
                <w:rFonts w:ascii="Arial" w:hAnsi="Arial" w:cs="Arial"/>
                <w:color w:val="000000" w:themeColor="text1"/>
                <w:sz w:val="22"/>
                <w:szCs w:val="22"/>
              </w:rPr>
              <w:br/>
              <w:t>(e) incommensurate - the outcome of the decision is inappropriate to the scale of the behavior.</w:t>
            </w:r>
          </w:p>
        </w:tc>
      </w:tr>
      <w:tr w:rsidR="00AC3102" w:rsidRPr="00426C68" w:rsidTr="00684B45">
        <w:trPr>
          <w:trHeight w:val="283"/>
        </w:trPr>
        <w:tc>
          <w:tcPr>
            <w:tcW w:w="1020" w:type="dxa"/>
          </w:tcPr>
          <w:p w:rsidR="00AC3102" w:rsidRDefault="00AC3102" w:rsidP="00AC3102">
            <w:pPr>
              <w:spacing w:after="60"/>
              <w:rPr>
                <w:rFonts w:cs="Arial"/>
                <w:szCs w:val="22"/>
              </w:rPr>
            </w:pPr>
          </w:p>
        </w:tc>
        <w:tc>
          <w:tcPr>
            <w:tcW w:w="8731" w:type="dxa"/>
          </w:tcPr>
          <w:p w:rsidR="00AC3102" w:rsidRPr="00F74462" w:rsidRDefault="00AC3102" w:rsidP="00AC3102">
            <w:pPr>
              <w:pStyle w:val="NormalWeb"/>
              <w:shd w:val="clear" w:color="auto" w:fill="FFFFFF"/>
              <w:spacing w:before="0" w:beforeAutospacing="0" w:after="0" w:afterAutospacing="0"/>
              <w:rPr>
                <w:rFonts w:ascii="Arial" w:hAnsi="Arial" w:cs="Arial"/>
                <w:color w:val="000000" w:themeColor="text1"/>
                <w:sz w:val="22"/>
                <w:szCs w:val="22"/>
              </w:rPr>
            </w:pPr>
          </w:p>
        </w:tc>
      </w:tr>
      <w:tr w:rsidR="00A83A89" w:rsidRPr="00426C68" w:rsidTr="00684B45">
        <w:trPr>
          <w:trHeight w:val="283"/>
        </w:trPr>
        <w:tc>
          <w:tcPr>
            <w:tcW w:w="1020" w:type="dxa"/>
          </w:tcPr>
          <w:p w:rsidR="00A83A89" w:rsidRPr="00A83A89" w:rsidRDefault="00A83A89" w:rsidP="00AC3102">
            <w:pPr>
              <w:spacing w:after="60"/>
              <w:rPr>
                <w:rFonts w:cs="Arial"/>
                <w:color w:val="000000" w:themeColor="text1"/>
                <w:szCs w:val="22"/>
                <w:lang w:val="en-US"/>
              </w:rPr>
            </w:pPr>
            <w:r w:rsidRPr="00A83A89">
              <w:rPr>
                <w:rFonts w:cs="Arial"/>
                <w:color w:val="000000" w:themeColor="text1"/>
                <w:szCs w:val="22"/>
                <w:lang w:val="en-US"/>
              </w:rPr>
              <w:t>5.4</w:t>
            </w:r>
          </w:p>
        </w:tc>
        <w:tc>
          <w:tcPr>
            <w:tcW w:w="8731" w:type="dxa"/>
          </w:tcPr>
          <w:p w:rsidR="00A83A89" w:rsidRPr="00A83A89" w:rsidRDefault="00A83A89" w:rsidP="00AC3102">
            <w:pPr>
              <w:pStyle w:val="NormalWeb"/>
              <w:shd w:val="clear" w:color="auto" w:fill="FFFFFF"/>
              <w:spacing w:before="0" w:beforeAutospacing="0" w:after="0" w:afterAutospacing="0"/>
              <w:rPr>
                <w:rFonts w:ascii="Arial" w:hAnsi="Arial" w:cs="Arial"/>
                <w:color w:val="000000" w:themeColor="text1"/>
                <w:sz w:val="22"/>
                <w:szCs w:val="22"/>
              </w:rPr>
            </w:pPr>
            <w:r w:rsidRPr="00A83A89">
              <w:rPr>
                <w:rFonts w:ascii="Arial" w:hAnsi="Arial" w:cs="Arial"/>
                <w:color w:val="000000" w:themeColor="text1"/>
                <w:sz w:val="22"/>
                <w:szCs w:val="22"/>
              </w:rPr>
              <w:t>Any appeal must give the specific grounds as to the reasons for the appeal. It is not sufficient to simply state the reasons given in 5.3 without expanding on these points. Appeals must be submitted in writing, by the date stated in the outcome letter.</w:t>
            </w:r>
          </w:p>
        </w:tc>
      </w:tr>
      <w:tr w:rsidR="00A83A89" w:rsidRPr="00426C68" w:rsidTr="00684B45">
        <w:trPr>
          <w:trHeight w:val="283"/>
        </w:trPr>
        <w:tc>
          <w:tcPr>
            <w:tcW w:w="1020" w:type="dxa"/>
          </w:tcPr>
          <w:p w:rsidR="00A83A89" w:rsidRPr="00AC3102" w:rsidRDefault="00A83A89" w:rsidP="00AC3102">
            <w:pPr>
              <w:spacing w:after="60"/>
              <w:rPr>
                <w:rFonts w:cs="Arial"/>
                <w:color w:val="000000" w:themeColor="text1"/>
              </w:rPr>
            </w:pPr>
          </w:p>
        </w:tc>
        <w:tc>
          <w:tcPr>
            <w:tcW w:w="8731" w:type="dxa"/>
          </w:tcPr>
          <w:p w:rsidR="00A83A89" w:rsidRPr="00AC3102" w:rsidRDefault="00A83A89" w:rsidP="00AC3102">
            <w:pPr>
              <w:pStyle w:val="NormalWeb"/>
              <w:shd w:val="clear" w:color="auto" w:fill="FFFFFF"/>
              <w:spacing w:before="0" w:beforeAutospacing="0" w:after="0" w:afterAutospacing="0"/>
              <w:rPr>
                <w:rFonts w:ascii="Arial" w:hAnsi="Arial" w:cs="Arial"/>
                <w:color w:val="000000" w:themeColor="text1"/>
                <w:sz w:val="22"/>
                <w:szCs w:val="20"/>
                <w:lang w:val="en-GB"/>
              </w:rPr>
            </w:pPr>
          </w:p>
        </w:tc>
      </w:tr>
      <w:tr w:rsidR="00AC3102" w:rsidRPr="00426C68" w:rsidTr="00684B45">
        <w:trPr>
          <w:trHeight w:val="283"/>
        </w:trPr>
        <w:tc>
          <w:tcPr>
            <w:tcW w:w="1020" w:type="dxa"/>
          </w:tcPr>
          <w:p w:rsidR="00AC3102" w:rsidRPr="00AC3102" w:rsidRDefault="00AC3102" w:rsidP="00AC3102">
            <w:pPr>
              <w:spacing w:after="60"/>
              <w:rPr>
                <w:rFonts w:cs="Arial"/>
                <w:color w:val="000000" w:themeColor="text1"/>
              </w:rPr>
            </w:pPr>
            <w:r w:rsidRPr="00AC3102">
              <w:rPr>
                <w:rFonts w:cs="Arial"/>
                <w:color w:val="000000" w:themeColor="text1"/>
              </w:rPr>
              <w:t>5.</w:t>
            </w:r>
            <w:r w:rsidR="00A83A89">
              <w:rPr>
                <w:rFonts w:cs="Arial"/>
                <w:color w:val="000000" w:themeColor="text1"/>
              </w:rPr>
              <w:t>5</w:t>
            </w:r>
          </w:p>
        </w:tc>
        <w:tc>
          <w:tcPr>
            <w:tcW w:w="8731" w:type="dxa"/>
          </w:tcPr>
          <w:p w:rsidR="00AC3102" w:rsidRPr="00AC3102" w:rsidRDefault="00AC3102" w:rsidP="00AC3102">
            <w:pPr>
              <w:pStyle w:val="NormalWeb"/>
              <w:shd w:val="clear" w:color="auto" w:fill="FFFFFF"/>
              <w:spacing w:before="0" w:beforeAutospacing="0" w:after="0" w:afterAutospacing="0"/>
              <w:rPr>
                <w:rFonts w:ascii="Arial" w:hAnsi="Arial" w:cs="Arial"/>
                <w:color w:val="000000" w:themeColor="text1"/>
                <w:sz w:val="22"/>
                <w:szCs w:val="20"/>
                <w:lang w:val="en-GB"/>
              </w:rPr>
            </w:pPr>
            <w:r w:rsidRPr="00AC3102">
              <w:rPr>
                <w:rFonts w:ascii="Arial" w:hAnsi="Arial" w:cs="Arial"/>
                <w:color w:val="000000" w:themeColor="text1"/>
                <w:sz w:val="22"/>
                <w:szCs w:val="20"/>
                <w:lang w:val="en-GB"/>
              </w:rPr>
              <w:t>The appeal will be heard by a Panel which will not include any members who were involved in the proceedings prior to the appeal.</w:t>
            </w:r>
          </w:p>
        </w:tc>
      </w:tr>
      <w:tr w:rsidR="00AC3102" w:rsidRPr="00426C68" w:rsidTr="00684B45">
        <w:trPr>
          <w:trHeight w:val="283"/>
        </w:trPr>
        <w:tc>
          <w:tcPr>
            <w:tcW w:w="1020" w:type="dxa"/>
          </w:tcPr>
          <w:p w:rsidR="00AC3102" w:rsidRPr="00AC3102" w:rsidRDefault="00AC3102" w:rsidP="00AC3102">
            <w:pPr>
              <w:spacing w:after="60"/>
              <w:rPr>
                <w:rFonts w:cs="Arial"/>
                <w:color w:val="000000" w:themeColor="text1"/>
              </w:rPr>
            </w:pPr>
          </w:p>
        </w:tc>
        <w:tc>
          <w:tcPr>
            <w:tcW w:w="8731" w:type="dxa"/>
          </w:tcPr>
          <w:p w:rsidR="00AC3102" w:rsidRPr="00AC3102" w:rsidRDefault="00AC3102" w:rsidP="00AC3102">
            <w:pPr>
              <w:pStyle w:val="NormalWeb"/>
              <w:shd w:val="clear" w:color="auto" w:fill="FFFFFF"/>
              <w:spacing w:before="0" w:beforeAutospacing="0" w:after="0" w:afterAutospacing="0"/>
              <w:rPr>
                <w:rFonts w:ascii="Arial" w:hAnsi="Arial" w:cs="Arial"/>
                <w:color w:val="000000" w:themeColor="text1"/>
                <w:sz w:val="22"/>
                <w:szCs w:val="20"/>
                <w:lang w:val="en-GB"/>
              </w:rPr>
            </w:pPr>
          </w:p>
        </w:tc>
      </w:tr>
      <w:tr w:rsidR="00AC3102" w:rsidRPr="00426C68" w:rsidTr="00684B45">
        <w:trPr>
          <w:trHeight w:val="283"/>
        </w:trPr>
        <w:tc>
          <w:tcPr>
            <w:tcW w:w="1020" w:type="dxa"/>
          </w:tcPr>
          <w:p w:rsidR="00AC3102" w:rsidRPr="00AC3102" w:rsidRDefault="00AC3102" w:rsidP="00AC3102">
            <w:pPr>
              <w:rPr>
                <w:rFonts w:cs="Arial"/>
                <w:color w:val="000000" w:themeColor="text1"/>
              </w:rPr>
            </w:pPr>
            <w:r>
              <w:rPr>
                <w:rFonts w:cs="Arial"/>
                <w:color w:val="000000" w:themeColor="text1"/>
              </w:rPr>
              <w:t>5.</w:t>
            </w:r>
            <w:r w:rsidR="00A83A89">
              <w:rPr>
                <w:rFonts w:cs="Arial"/>
                <w:color w:val="000000" w:themeColor="text1"/>
              </w:rPr>
              <w:t>6</w:t>
            </w:r>
          </w:p>
        </w:tc>
        <w:tc>
          <w:tcPr>
            <w:tcW w:w="8731" w:type="dxa"/>
          </w:tcPr>
          <w:p w:rsidR="00AC3102" w:rsidRDefault="00AC3102" w:rsidP="00AC3102">
            <w:pPr>
              <w:rPr>
                <w:rFonts w:cs="Arial"/>
                <w:szCs w:val="22"/>
              </w:rPr>
            </w:pPr>
            <w:r w:rsidRPr="00426C68">
              <w:rPr>
                <w:rFonts w:cs="Arial"/>
                <w:szCs w:val="22"/>
              </w:rPr>
              <w:t>The following options will be available from which Appeal Hearing can make a decision:</w:t>
            </w:r>
          </w:p>
          <w:p w:rsidR="00AC3102" w:rsidRDefault="00AC3102" w:rsidP="00AC3102">
            <w:pPr>
              <w:rPr>
                <w:rFonts w:cs="Arial"/>
                <w:szCs w:val="22"/>
              </w:rPr>
            </w:pPr>
          </w:p>
          <w:p w:rsidR="00AC3102" w:rsidRDefault="00AC3102" w:rsidP="00AC3102">
            <w:pPr>
              <w:pStyle w:val="ListParagraph"/>
              <w:numPr>
                <w:ilvl w:val="0"/>
                <w:numId w:val="7"/>
              </w:numPr>
              <w:rPr>
                <w:rFonts w:cs="Arial"/>
                <w:szCs w:val="22"/>
              </w:rPr>
            </w:pPr>
            <w:r>
              <w:rPr>
                <w:rFonts w:cs="Arial"/>
                <w:szCs w:val="22"/>
              </w:rPr>
              <w:t>Uphold the grounds for appeal.</w:t>
            </w:r>
          </w:p>
          <w:p w:rsidR="00AC3102" w:rsidRDefault="00AC3102" w:rsidP="00AC3102">
            <w:pPr>
              <w:pStyle w:val="ListParagraph"/>
              <w:numPr>
                <w:ilvl w:val="0"/>
                <w:numId w:val="7"/>
              </w:numPr>
              <w:rPr>
                <w:rFonts w:cs="Arial"/>
                <w:szCs w:val="22"/>
              </w:rPr>
            </w:pPr>
            <w:r>
              <w:rPr>
                <w:rFonts w:cs="Arial"/>
                <w:szCs w:val="22"/>
              </w:rPr>
              <w:t xml:space="preserve">Uphold some of the grounds for appeal. </w:t>
            </w:r>
          </w:p>
          <w:p w:rsidR="00AC3102" w:rsidRDefault="00AC3102" w:rsidP="00AC3102">
            <w:pPr>
              <w:pStyle w:val="ListParagraph"/>
              <w:numPr>
                <w:ilvl w:val="0"/>
                <w:numId w:val="7"/>
              </w:numPr>
              <w:rPr>
                <w:rFonts w:cs="Arial"/>
                <w:szCs w:val="22"/>
              </w:rPr>
            </w:pPr>
            <w:r>
              <w:rPr>
                <w:rFonts w:cs="Arial"/>
                <w:szCs w:val="22"/>
              </w:rPr>
              <w:t xml:space="preserve">Reject the grounds for appeal. </w:t>
            </w:r>
          </w:p>
          <w:p w:rsidR="00AC3102" w:rsidRPr="00AC3102" w:rsidRDefault="00AC3102" w:rsidP="00AC3102">
            <w:pPr>
              <w:pStyle w:val="ListParagraph"/>
              <w:numPr>
                <w:ilvl w:val="0"/>
                <w:numId w:val="7"/>
              </w:numPr>
              <w:rPr>
                <w:rFonts w:cs="Arial"/>
                <w:szCs w:val="22"/>
              </w:rPr>
            </w:pPr>
            <w:r>
              <w:rPr>
                <w:rFonts w:cs="Arial"/>
                <w:szCs w:val="22"/>
              </w:rPr>
              <w:lastRenderedPageBreak/>
              <w:t xml:space="preserve">Require a reinvestigation of the whole or part of the grievance.  </w:t>
            </w:r>
          </w:p>
        </w:tc>
      </w:tr>
      <w:tr w:rsidR="00AC3102" w:rsidRPr="00426C68" w:rsidTr="00684B45">
        <w:trPr>
          <w:trHeight w:val="283"/>
        </w:trPr>
        <w:tc>
          <w:tcPr>
            <w:tcW w:w="1020" w:type="dxa"/>
          </w:tcPr>
          <w:p w:rsidR="00AC3102" w:rsidRDefault="00AC3102" w:rsidP="00AC3102">
            <w:pPr>
              <w:rPr>
                <w:rFonts w:cs="Arial"/>
                <w:color w:val="000000" w:themeColor="text1"/>
              </w:rPr>
            </w:pPr>
          </w:p>
        </w:tc>
        <w:tc>
          <w:tcPr>
            <w:tcW w:w="8731" w:type="dxa"/>
          </w:tcPr>
          <w:p w:rsidR="00AC3102" w:rsidRPr="00426C68" w:rsidRDefault="00AC3102" w:rsidP="00AC3102">
            <w:pPr>
              <w:rPr>
                <w:rFonts w:cs="Arial"/>
                <w:szCs w:val="22"/>
              </w:rPr>
            </w:pPr>
          </w:p>
        </w:tc>
      </w:tr>
      <w:tr w:rsidR="00AC3102" w:rsidRPr="00426C68" w:rsidTr="00684B45">
        <w:trPr>
          <w:trHeight w:val="283"/>
        </w:trPr>
        <w:tc>
          <w:tcPr>
            <w:tcW w:w="1020" w:type="dxa"/>
          </w:tcPr>
          <w:p w:rsidR="00AC3102" w:rsidRDefault="00AC3102" w:rsidP="00AC3102">
            <w:pPr>
              <w:rPr>
                <w:rFonts w:cs="Arial"/>
                <w:color w:val="000000" w:themeColor="text1"/>
              </w:rPr>
            </w:pPr>
            <w:r>
              <w:rPr>
                <w:rFonts w:cs="Arial"/>
                <w:color w:val="000000" w:themeColor="text1"/>
              </w:rPr>
              <w:t>5.</w:t>
            </w:r>
            <w:r w:rsidR="00A83A89">
              <w:rPr>
                <w:rFonts w:cs="Arial"/>
                <w:color w:val="000000" w:themeColor="text1"/>
              </w:rPr>
              <w:t>7</w:t>
            </w:r>
          </w:p>
        </w:tc>
        <w:tc>
          <w:tcPr>
            <w:tcW w:w="8731" w:type="dxa"/>
          </w:tcPr>
          <w:p w:rsidR="00AC3102" w:rsidRPr="00426C68" w:rsidRDefault="00AC3102" w:rsidP="00AC3102">
            <w:pPr>
              <w:rPr>
                <w:rFonts w:cs="Arial"/>
                <w:szCs w:val="22"/>
              </w:rPr>
            </w:pPr>
            <w:r w:rsidRPr="00426C68">
              <w:rPr>
                <w:rFonts w:cs="Arial"/>
                <w:szCs w:val="22"/>
              </w:rPr>
              <w:t>The Chair of the Appeal Hearing will formally notify the employee of the outcome and the reasons for it.</w:t>
            </w:r>
          </w:p>
        </w:tc>
      </w:tr>
      <w:tr w:rsidR="00AC3102" w:rsidRPr="00426C68" w:rsidTr="00684B45">
        <w:trPr>
          <w:trHeight w:val="283"/>
        </w:trPr>
        <w:tc>
          <w:tcPr>
            <w:tcW w:w="1020" w:type="dxa"/>
          </w:tcPr>
          <w:p w:rsidR="00AC3102" w:rsidRDefault="00AC3102" w:rsidP="00AC3102">
            <w:pPr>
              <w:rPr>
                <w:rFonts w:cs="Arial"/>
                <w:color w:val="000000" w:themeColor="text1"/>
              </w:rPr>
            </w:pPr>
          </w:p>
        </w:tc>
        <w:tc>
          <w:tcPr>
            <w:tcW w:w="8731" w:type="dxa"/>
          </w:tcPr>
          <w:p w:rsidR="00AC3102" w:rsidRPr="00426C68" w:rsidRDefault="00AC3102" w:rsidP="00AC3102">
            <w:pPr>
              <w:rPr>
                <w:rFonts w:cs="Arial"/>
                <w:szCs w:val="22"/>
              </w:rPr>
            </w:pPr>
          </w:p>
        </w:tc>
      </w:tr>
      <w:tr w:rsidR="00AC3102" w:rsidRPr="00426C68" w:rsidTr="00684B45">
        <w:trPr>
          <w:trHeight w:val="283"/>
        </w:trPr>
        <w:tc>
          <w:tcPr>
            <w:tcW w:w="1020" w:type="dxa"/>
          </w:tcPr>
          <w:p w:rsidR="00AC3102" w:rsidRDefault="00AC3102" w:rsidP="00AC3102">
            <w:pPr>
              <w:rPr>
                <w:rFonts w:cs="Arial"/>
                <w:color w:val="000000" w:themeColor="text1"/>
              </w:rPr>
            </w:pPr>
            <w:r>
              <w:rPr>
                <w:rFonts w:cs="Arial"/>
                <w:color w:val="000000" w:themeColor="text1"/>
              </w:rPr>
              <w:t>5.</w:t>
            </w:r>
            <w:r w:rsidR="00A83A89">
              <w:rPr>
                <w:rFonts w:cs="Arial"/>
                <w:color w:val="000000" w:themeColor="text1"/>
              </w:rPr>
              <w:t>8</w:t>
            </w:r>
          </w:p>
        </w:tc>
        <w:tc>
          <w:tcPr>
            <w:tcW w:w="8731" w:type="dxa"/>
          </w:tcPr>
          <w:p w:rsidR="00AC3102" w:rsidRPr="00426C68" w:rsidRDefault="00AC3102" w:rsidP="00AC3102">
            <w:pPr>
              <w:rPr>
                <w:rFonts w:cs="Arial"/>
                <w:szCs w:val="22"/>
              </w:rPr>
            </w:pPr>
            <w:r>
              <w:rPr>
                <w:rFonts w:cs="Arial"/>
                <w:szCs w:val="22"/>
              </w:rPr>
              <w:t xml:space="preserve">The decision of the appeal hearing is final.  </w:t>
            </w:r>
          </w:p>
        </w:tc>
      </w:tr>
      <w:tr w:rsidR="00AC3102" w:rsidRPr="00426C68" w:rsidTr="00684B45">
        <w:trPr>
          <w:trHeight w:val="283"/>
        </w:trPr>
        <w:tc>
          <w:tcPr>
            <w:tcW w:w="1020" w:type="dxa"/>
          </w:tcPr>
          <w:p w:rsidR="00AC3102" w:rsidRPr="00426C68" w:rsidRDefault="00AC3102" w:rsidP="00AC3102">
            <w:pPr>
              <w:spacing w:after="60"/>
              <w:jc w:val="both"/>
              <w:rPr>
                <w:rFonts w:cs="Arial"/>
                <w:szCs w:val="22"/>
              </w:rPr>
            </w:pPr>
          </w:p>
        </w:tc>
        <w:tc>
          <w:tcPr>
            <w:tcW w:w="8731" w:type="dxa"/>
          </w:tcPr>
          <w:p w:rsidR="00AC3102" w:rsidRPr="00426C68" w:rsidRDefault="00AC3102" w:rsidP="00AC3102">
            <w:pPr>
              <w:spacing w:after="60"/>
              <w:jc w:val="both"/>
              <w:rPr>
                <w:rFonts w:cs="Arial"/>
                <w:szCs w:val="22"/>
              </w:rPr>
            </w:pPr>
          </w:p>
        </w:tc>
      </w:tr>
      <w:tr w:rsidR="00C547A7" w:rsidRPr="00426C68" w:rsidTr="00684B45">
        <w:tc>
          <w:tcPr>
            <w:tcW w:w="1020" w:type="dxa"/>
          </w:tcPr>
          <w:p w:rsidR="00C547A7" w:rsidRPr="00AC3102" w:rsidRDefault="00EE063A" w:rsidP="00E75679">
            <w:pPr>
              <w:rPr>
                <w:b/>
                <w:bCs/>
                <w:sz w:val="28"/>
              </w:rPr>
            </w:pPr>
            <w:r w:rsidRPr="00AC3102">
              <w:rPr>
                <w:b/>
                <w:bCs/>
                <w:sz w:val="28"/>
              </w:rPr>
              <w:t>6</w:t>
            </w:r>
            <w:r w:rsidR="00C547A7" w:rsidRPr="00AC3102">
              <w:rPr>
                <w:b/>
                <w:bCs/>
                <w:sz w:val="28"/>
              </w:rPr>
              <w:t>.0</w:t>
            </w:r>
          </w:p>
        </w:tc>
        <w:tc>
          <w:tcPr>
            <w:tcW w:w="8731" w:type="dxa"/>
          </w:tcPr>
          <w:p w:rsidR="00C547A7" w:rsidRPr="00AC3102" w:rsidRDefault="00CD36CB" w:rsidP="00E75679">
            <w:pPr>
              <w:rPr>
                <w:b/>
                <w:bCs/>
                <w:sz w:val="28"/>
              </w:rPr>
            </w:pPr>
            <w:r w:rsidRPr="00AC3102">
              <w:rPr>
                <w:b/>
                <w:bCs/>
                <w:sz w:val="28"/>
              </w:rPr>
              <w:t>Grievances Raised by Former Employees</w:t>
            </w:r>
          </w:p>
        </w:tc>
      </w:tr>
      <w:tr w:rsidR="00C547A7" w:rsidRPr="00426C68" w:rsidTr="00684B45">
        <w:tc>
          <w:tcPr>
            <w:tcW w:w="1020" w:type="dxa"/>
          </w:tcPr>
          <w:p w:rsidR="00C547A7" w:rsidRPr="00426C68" w:rsidRDefault="00C547A7" w:rsidP="00E75679">
            <w:pPr>
              <w:spacing w:after="60"/>
              <w:rPr>
                <w:rFonts w:cs="Arial"/>
                <w:szCs w:val="22"/>
              </w:rPr>
            </w:pPr>
          </w:p>
        </w:tc>
        <w:tc>
          <w:tcPr>
            <w:tcW w:w="8731" w:type="dxa"/>
          </w:tcPr>
          <w:p w:rsidR="00C547A7" w:rsidRPr="00426C68" w:rsidRDefault="00C547A7" w:rsidP="00E75679">
            <w:pPr>
              <w:spacing w:after="60"/>
              <w:rPr>
                <w:rFonts w:cs="Arial"/>
                <w:szCs w:val="22"/>
              </w:rPr>
            </w:pPr>
          </w:p>
        </w:tc>
      </w:tr>
      <w:tr w:rsidR="00C547A7" w:rsidRPr="00426C68" w:rsidTr="00684B45">
        <w:tc>
          <w:tcPr>
            <w:tcW w:w="1020" w:type="dxa"/>
          </w:tcPr>
          <w:p w:rsidR="00C547A7" w:rsidRPr="00426C68" w:rsidRDefault="00EE063A" w:rsidP="00E75679">
            <w:pPr>
              <w:spacing w:after="60"/>
              <w:rPr>
                <w:rFonts w:cs="Arial"/>
                <w:szCs w:val="22"/>
              </w:rPr>
            </w:pPr>
            <w:r w:rsidRPr="00426C68">
              <w:rPr>
                <w:rFonts w:cs="Arial"/>
                <w:szCs w:val="22"/>
              </w:rPr>
              <w:t>6.1</w:t>
            </w:r>
          </w:p>
        </w:tc>
        <w:tc>
          <w:tcPr>
            <w:tcW w:w="8731" w:type="dxa"/>
          </w:tcPr>
          <w:p w:rsidR="00C547A7" w:rsidRPr="00426C68" w:rsidRDefault="00CE43FD" w:rsidP="00E75679">
            <w:pPr>
              <w:spacing w:after="60"/>
              <w:rPr>
                <w:rFonts w:cs="Arial"/>
                <w:szCs w:val="22"/>
              </w:rPr>
            </w:pPr>
            <w:r w:rsidRPr="00426C68">
              <w:rPr>
                <w:rFonts w:eastAsia="SimSun" w:cs="Arial"/>
                <w:color w:val="000000"/>
                <w:szCs w:val="22"/>
                <w:lang w:eastAsia="zh-CN"/>
              </w:rPr>
              <w:t>Providing that</w:t>
            </w:r>
            <w:r w:rsidR="00EE063A" w:rsidRPr="00426C68">
              <w:rPr>
                <w:rFonts w:cs="Arial"/>
                <w:spacing w:val="-3"/>
                <w:szCs w:val="22"/>
              </w:rPr>
              <w:t xml:space="preserve"> </w:t>
            </w:r>
            <w:r w:rsidRPr="00426C68">
              <w:rPr>
                <w:rFonts w:cs="Arial"/>
                <w:spacing w:val="-3"/>
                <w:szCs w:val="22"/>
              </w:rPr>
              <w:t xml:space="preserve">either the </w:t>
            </w:r>
            <w:r w:rsidR="00B76AF0" w:rsidRPr="00426C68">
              <w:rPr>
                <w:rFonts w:cs="Arial"/>
                <w:spacing w:val="-3"/>
                <w:szCs w:val="22"/>
              </w:rPr>
              <w:t>School</w:t>
            </w:r>
            <w:r w:rsidR="00EE063A" w:rsidRPr="00426C68">
              <w:rPr>
                <w:rFonts w:cs="Arial"/>
                <w:spacing w:val="-3"/>
                <w:szCs w:val="22"/>
              </w:rPr>
              <w:t xml:space="preserve"> </w:t>
            </w:r>
            <w:r w:rsidR="000C478A" w:rsidRPr="00426C68">
              <w:rPr>
                <w:rFonts w:cs="Arial"/>
                <w:spacing w:val="-3"/>
                <w:szCs w:val="22"/>
              </w:rPr>
              <w:t>had not received t</w:t>
            </w:r>
            <w:r w:rsidR="00EE063A" w:rsidRPr="00426C68">
              <w:rPr>
                <w:rFonts w:cs="Arial"/>
                <w:spacing w:val="-3"/>
                <w:szCs w:val="22"/>
              </w:rPr>
              <w:t>he</w:t>
            </w:r>
            <w:r w:rsidRPr="00426C68">
              <w:rPr>
                <w:rFonts w:cs="Arial"/>
                <w:spacing w:val="-3"/>
                <w:szCs w:val="22"/>
              </w:rPr>
              <w:t xml:space="preserve"> grievance</w:t>
            </w:r>
            <w:r w:rsidR="00EE063A" w:rsidRPr="00426C68">
              <w:rPr>
                <w:rFonts w:cs="Arial"/>
                <w:spacing w:val="-3"/>
                <w:szCs w:val="22"/>
              </w:rPr>
              <w:t xml:space="preserve"> or the grievance was not complet</w:t>
            </w:r>
            <w:r w:rsidRPr="00426C68">
              <w:rPr>
                <w:rFonts w:cs="Arial"/>
                <w:spacing w:val="-3"/>
                <w:szCs w:val="22"/>
              </w:rPr>
              <w:t>ed before</w:t>
            </w:r>
            <w:r w:rsidR="00EE063A" w:rsidRPr="00426C68">
              <w:rPr>
                <w:rFonts w:cs="Arial"/>
                <w:spacing w:val="-3"/>
                <w:szCs w:val="22"/>
              </w:rPr>
              <w:t xml:space="preserve"> </w:t>
            </w:r>
            <w:r w:rsidR="000C478A" w:rsidRPr="00426C68">
              <w:rPr>
                <w:rFonts w:cs="Arial"/>
                <w:spacing w:val="-3"/>
                <w:szCs w:val="22"/>
              </w:rPr>
              <w:t xml:space="preserve">the </w:t>
            </w:r>
            <w:r w:rsidR="00EE063A" w:rsidRPr="00426C68">
              <w:rPr>
                <w:rFonts w:cs="Arial"/>
                <w:spacing w:val="-3"/>
                <w:szCs w:val="22"/>
              </w:rPr>
              <w:t>employment ended</w:t>
            </w:r>
            <w:r w:rsidRPr="00426C68">
              <w:rPr>
                <w:rFonts w:cs="Arial"/>
                <w:spacing w:val="-3"/>
                <w:szCs w:val="22"/>
              </w:rPr>
              <w:t xml:space="preserve">, </w:t>
            </w:r>
            <w:r w:rsidRPr="00426C68">
              <w:rPr>
                <w:rFonts w:eastAsia="SimSun" w:cs="Arial"/>
                <w:color w:val="000000"/>
                <w:szCs w:val="22"/>
                <w:lang w:eastAsia="zh-CN"/>
              </w:rPr>
              <w:t>a former employee may raise a formal grievance with the School, but must do so no later than three months from leaving employment.</w:t>
            </w:r>
          </w:p>
        </w:tc>
      </w:tr>
      <w:tr w:rsidR="008F3554" w:rsidRPr="00426C68" w:rsidTr="00E04897">
        <w:trPr>
          <w:trHeight w:val="283"/>
        </w:trPr>
        <w:tc>
          <w:tcPr>
            <w:tcW w:w="1020" w:type="dxa"/>
          </w:tcPr>
          <w:p w:rsidR="008F3554" w:rsidRPr="00426C68" w:rsidRDefault="008F3554" w:rsidP="00E75679">
            <w:pPr>
              <w:spacing w:after="60"/>
              <w:rPr>
                <w:rFonts w:cs="Arial"/>
                <w:szCs w:val="22"/>
              </w:rPr>
            </w:pPr>
          </w:p>
        </w:tc>
        <w:tc>
          <w:tcPr>
            <w:tcW w:w="8731" w:type="dxa"/>
          </w:tcPr>
          <w:p w:rsidR="008F3554" w:rsidRPr="00426C68" w:rsidRDefault="008F3554" w:rsidP="00E75679">
            <w:pPr>
              <w:spacing w:after="60"/>
              <w:rPr>
                <w:rFonts w:cs="Arial"/>
                <w:szCs w:val="22"/>
              </w:rPr>
            </w:pPr>
          </w:p>
        </w:tc>
      </w:tr>
      <w:tr w:rsidR="00EE063A" w:rsidRPr="00426C68" w:rsidTr="00684B45">
        <w:tc>
          <w:tcPr>
            <w:tcW w:w="1020" w:type="dxa"/>
          </w:tcPr>
          <w:p w:rsidR="00EE063A" w:rsidRPr="00426C68" w:rsidRDefault="00EE063A" w:rsidP="00E75679">
            <w:pPr>
              <w:spacing w:after="60"/>
              <w:rPr>
                <w:rFonts w:cs="Arial"/>
                <w:szCs w:val="22"/>
              </w:rPr>
            </w:pPr>
            <w:r w:rsidRPr="00426C68">
              <w:rPr>
                <w:rFonts w:cs="Arial"/>
                <w:szCs w:val="22"/>
              </w:rPr>
              <w:t>6.2</w:t>
            </w:r>
          </w:p>
        </w:tc>
        <w:tc>
          <w:tcPr>
            <w:tcW w:w="8731" w:type="dxa"/>
          </w:tcPr>
          <w:p w:rsidR="00EE063A" w:rsidRPr="00426C68" w:rsidRDefault="00EE063A" w:rsidP="00E75679">
            <w:pPr>
              <w:spacing w:after="120"/>
              <w:rPr>
                <w:rFonts w:cs="Arial"/>
                <w:szCs w:val="22"/>
              </w:rPr>
            </w:pPr>
            <w:r w:rsidRPr="00426C68">
              <w:rPr>
                <w:rFonts w:cs="Arial"/>
                <w:spacing w:val="-3"/>
                <w:szCs w:val="22"/>
              </w:rPr>
              <w:t>In these circumstances the following two-step modified procedure will be used</w:t>
            </w:r>
            <w:r w:rsidR="00E75679">
              <w:rPr>
                <w:rFonts w:cs="Arial"/>
                <w:spacing w:val="-3"/>
                <w:szCs w:val="22"/>
              </w:rPr>
              <w:t>:</w:t>
            </w:r>
          </w:p>
        </w:tc>
      </w:tr>
      <w:tr w:rsidR="00D644D8" w:rsidRPr="00426C68" w:rsidTr="00684B45">
        <w:tc>
          <w:tcPr>
            <w:tcW w:w="1020" w:type="dxa"/>
          </w:tcPr>
          <w:p w:rsidR="00D644D8" w:rsidRPr="00426C68" w:rsidRDefault="00D644D8" w:rsidP="00E75679">
            <w:pPr>
              <w:spacing w:after="60"/>
              <w:rPr>
                <w:rFonts w:cs="Arial"/>
                <w:b/>
                <w:i/>
                <w:szCs w:val="22"/>
              </w:rPr>
            </w:pPr>
            <w:r w:rsidRPr="00426C68">
              <w:rPr>
                <w:rFonts w:cs="Arial"/>
                <w:b/>
                <w:i/>
                <w:szCs w:val="22"/>
              </w:rPr>
              <w:t>6.2.1</w:t>
            </w:r>
          </w:p>
        </w:tc>
        <w:tc>
          <w:tcPr>
            <w:tcW w:w="8731" w:type="dxa"/>
          </w:tcPr>
          <w:p w:rsidR="00D644D8" w:rsidRPr="00E75679" w:rsidRDefault="00D644D8" w:rsidP="00E75679">
            <w:pPr>
              <w:spacing w:after="60"/>
              <w:rPr>
                <w:rFonts w:cs="Arial"/>
                <w:b/>
                <w:i/>
                <w:spacing w:val="-3"/>
                <w:szCs w:val="22"/>
              </w:rPr>
            </w:pPr>
            <w:r w:rsidRPr="00426C68">
              <w:rPr>
                <w:rFonts w:cs="Arial"/>
                <w:b/>
                <w:i/>
                <w:spacing w:val="-3"/>
                <w:szCs w:val="22"/>
              </w:rPr>
              <w:t xml:space="preserve">Step One </w:t>
            </w:r>
            <w:r w:rsidR="00E75679">
              <w:rPr>
                <w:rFonts w:cs="Arial"/>
                <w:b/>
                <w:i/>
                <w:spacing w:val="-3"/>
                <w:szCs w:val="22"/>
              </w:rPr>
              <w:t xml:space="preserve">– </w:t>
            </w:r>
            <w:r w:rsidRPr="00426C68">
              <w:rPr>
                <w:rFonts w:cs="Arial"/>
                <w:b/>
                <w:i/>
                <w:spacing w:val="-3"/>
                <w:szCs w:val="22"/>
              </w:rPr>
              <w:t>Statement of Grievance</w:t>
            </w:r>
          </w:p>
        </w:tc>
      </w:tr>
      <w:tr w:rsidR="00C547A7" w:rsidRPr="00426C68" w:rsidTr="00684B45">
        <w:tc>
          <w:tcPr>
            <w:tcW w:w="1020" w:type="dxa"/>
          </w:tcPr>
          <w:p w:rsidR="00C547A7" w:rsidRPr="00426C68" w:rsidRDefault="00C547A7" w:rsidP="00E75679">
            <w:pPr>
              <w:spacing w:after="60"/>
              <w:rPr>
                <w:rFonts w:cs="Arial"/>
                <w:szCs w:val="22"/>
              </w:rPr>
            </w:pPr>
          </w:p>
        </w:tc>
        <w:tc>
          <w:tcPr>
            <w:tcW w:w="8731" w:type="dxa"/>
          </w:tcPr>
          <w:p w:rsidR="00C547A7" w:rsidRPr="00426C68" w:rsidRDefault="00EE063A" w:rsidP="00E75679">
            <w:pPr>
              <w:spacing w:after="60"/>
              <w:rPr>
                <w:rFonts w:cs="Arial"/>
                <w:bCs/>
                <w:szCs w:val="22"/>
              </w:rPr>
            </w:pPr>
            <w:r w:rsidRPr="00426C68">
              <w:rPr>
                <w:rFonts w:cs="Arial"/>
                <w:spacing w:val="-3"/>
                <w:szCs w:val="22"/>
              </w:rPr>
              <w:t xml:space="preserve">The employee should formally submit, no later than three months from leaving employment, their grievance to </w:t>
            </w:r>
            <w:r w:rsidR="00B76AF0" w:rsidRPr="00426C68">
              <w:rPr>
                <w:rFonts w:cs="Arial"/>
                <w:spacing w:val="-3"/>
                <w:szCs w:val="22"/>
              </w:rPr>
              <w:t>the School</w:t>
            </w:r>
            <w:r w:rsidRPr="00426C68">
              <w:rPr>
                <w:rFonts w:cs="Arial"/>
                <w:spacing w:val="-3"/>
                <w:szCs w:val="22"/>
              </w:rPr>
              <w:t>.</w:t>
            </w:r>
          </w:p>
        </w:tc>
      </w:tr>
      <w:tr w:rsidR="00D644D8" w:rsidRPr="00426C68" w:rsidTr="00684B45">
        <w:tc>
          <w:tcPr>
            <w:tcW w:w="1020" w:type="dxa"/>
          </w:tcPr>
          <w:p w:rsidR="00D644D8" w:rsidRPr="00426C68" w:rsidRDefault="00D644D8" w:rsidP="00E75679">
            <w:pPr>
              <w:spacing w:after="60"/>
              <w:rPr>
                <w:rFonts w:cs="Arial"/>
                <w:b/>
                <w:i/>
                <w:szCs w:val="22"/>
              </w:rPr>
            </w:pPr>
            <w:r w:rsidRPr="00426C68">
              <w:rPr>
                <w:rFonts w:cs="Arial"/>
                <w:b/>
                <w:i/>
                <w:szCs w:val="22"/>
              </w:rPr>
              <w:t>6.2.2</w:t>
            </w:r>
          </w:p>
        </w:tc>
        <w:tc>
          <w:tcPr>
            <w:tcW w:w="8731" w:type="dxa"/>
          </w:tcPr>
          <w:p w:rsidR="00D644D8" w:rsidRPr="00426C68" w:rsidRDefault="00D644D8" w:rsidP="00E75679">
            <w:pPr>
              <w:spacing w:after="60"/>
              <w:rPr>
                <w:rFonts w:cs="Arial"/>
                <w:b/>
                <w:spacing w:val="-3"/>
                <w:szCs w:val="22"/>
              </w:rPr>
            </w:pPr>
            <w:r w:rsidRPr="00426C68">
              <w:rPr>
                <w:rFonts w:cs="Arial"/>
                <w:b/>
                <w:i/>
                <w:spacing w:val="-3"/>
                <w:szCs w:val="22"/>
              </w:rPr>
              <w:t>Step Two – Response</w:t>
            </w:r>
          </w:p>
        </w:tc>
      </w:tr>
      <w:tr w:rsidR="00953CFE" w:rsidRPr="00426C68" w:rsidTr="00684B45">
        <w:tc>
          <w:tcPr>
            <w:tcW w:w="1020" w:type="dxa"/>
          </w:tcPr>
          <w:p w:rsidR="00953CFE" w:rsidRPr="00426C68" w:rsidRDefault="00953CFE" w:rsidP="00E75679">
            <w:pPr>
              <w:spacing w:after="60"/>
              <w:rPr>
                <w:rFonts w:cs="Arial"/>
                <w:szCs w:val="22"/>
              </w:rPr>
            </w:pPr>
          </w:p>
        </w:tc>
        <w:tc>
          <w:tcPr>
            <w:tcW w:w="8731" w:type="dxa"/>
          </w:tcPr>
          <w:p w:rsidR="00953CFE" w:rsidRPr="00426C68" w:rsidRDefault="00B76AF0" w:rsidP="00E75679">
            <w:pPr>
              <w:spacing w:after="60"/>
              <w:rPr>
                <w:rFonts w:cs="Arial"/>
                <w:b/>
                <w:spacing w:val="-3"/>
                <w:szCs w:val="22"/>
              </w:rPr>
            </w:pPr>
            <w:r w:rsidRPr="00426C68">
              <w:rPr>
                <w:rFonts w:cs="Arial"/>
                <w:spacing w:val="-3"/>
                <w:szCs w:val="22"/>
              </w:rPr>
              <w:t>The School</w:t>
            </w:r>
            <w:r w:rsidR="00953CFE" w:rsidRPr="00426C68">
              <w:rPr>
                <w:rFonts w:cs="Arial"/>
                <w:spacing w:val="-3"/>
                <w:szCs w:val="22"/>
              </w:rPr>
              <w:t xml:space="preserve"> will consider and respond to the letter and shall also investigate the concerns raised, where it is considered to be warranted</w:t>
            </w:r>
            <w:r w:rsidR="00656D2E">
              <w:rPr>
                <w:rFonts w:cs="Arial"/>
                <w:spacing w:val="-3"/>
                <w:szCs w:val="22"/>
              </w:rPr>
              <w:t xml:space="preserve">. </w:t>
            </w:r>
          </w:p>
        </w:tc>
      </w:tr>
    </w:tbl>
    <w:p w:rsidR="00C547A7" w:rsidRPr="00426C68" w:rsidRDefault="00C547A7" w:rsidP="00E75679">
      <w:pPr>
        <w:rPr>
          <w:rFonts w:cs="Arial"/>
          <w:szCs w:val="22"/>
        </w:rPr>
      </w:pPr>
    </w:p>
    <w:sectPr w:rsidR="00C547A7" w:rsidRPr="00426C68" w:rsidSect="00433896">
      <w:headerReference w:type="default" r:id="rId8"/>
      <w:footerReference w:type="default" r:id="rId9"/>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67A" w:rsidRDefault="00D1467A">
      <w:r>
        <w:separator/>
      </w:r>
    </w:p>
  </w:endnote>
  <w:endnote w:type="continuationSeparator" w:id="0">
    <w:p w:rsidR="00D1467A" w:rsidRDefault="00D1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BF291E">
      <w:rPr>
        <w:rStyle w:val="PageNumber"/>
        <w:noProof/>
        <w:sz w:val="16"/>
      </w:rPr>
      <w:t>6</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BF291E">
      <w:rPr>
        <w:rStyle w:val="PageNumber"/>
        <w:noProof/>
        <w:sz w:val="16"/>
      </w:rPr>
      <w:t>6</w:t>
    </w:r>
    <w:r w:rsidR="000F27F4">
      <w:rPr>
        <w:rStyle w:val="PageNumber"/>
        <w:sz w:val="16"/>
      </w:rPr>
      <w:fldChar w:fldCharType="end"/>
    </w:r>
  </w:p>
  <w:p w:rsidR="00EC5E3B" w:rsidRPr="00CD67C0" w:rsidRDefault="00EC5E3B" w:rsidP="00EC5E3B">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sidR="00853C81">
      <w:rPr>
        <w:rFonts w:cs="Arial"/>
        <w:bCs/>
        <w:i/>
        <w:sz w:val="16"/>
        <w:szCs w:val="16"/>
      </w:rPr>
      <w:t xml:space="preserve"> </w:t>
    </w:r>
    <w:r>
      <w:rPr>
        <w:rFonts w:cs="Arial"/>
        <w:bCs/>
        <w:i/>
        <w:sz w:val="16"/>
        <w:szCs w:val="16"/>
      </w:rPr>
      <w:t xml:space="preserve">              </w:t>
    </w:r>
    <w:r w:rsidR="00BF2D06">
      <w:rPr>
        <w:rFonts w:cs="Arial"/>
        <w:bCs/>
        <w:i/>
        <w:sz w:val="16"/>
        <w:szCs w:val="16"/>
      </w:rPr>
      <w:t xml:space="preserve"> </w:t>
    </w:r>
    <w:r w:rsidR="00853C81">
      <w:rPr>
        <w:rFonts w:cs="Arial"/>
        <w:bCs/>
        <w:i/>
        <w:sz w:val="16"/>
        <w:szCs w:val="16"/>
      </w:rPr>
      <w:t xml:space="preserve">September </w:t>
    </w:r>
    <w:r w:rsidR="00BF2D06">
      <w:rPr>
        <w:rFonts w:cs="Arial"/>
        <w:bCs/>
        <w:i/>
        <w:sz w:val="16"/>
        <w:szCs w:val="16"/>
      </w:rPr>
      <w:t>202</w:t>
    </w:r>
    <w:r w:rsidR="00EC7CCF">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67A" w:rsidRDefault="00D1467A">
      <w:r>
        <w:separator/>
      </w:r>
    </w:p>
  </w:footnote>
  <w:footnote w:type="continuationSeparator" w:id="0">
    <w:p w:rsidR="00D1467A" w:rsidRDefault="00D1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79" w:rsidRDefault="007F6363" w:rsidP="005B1079">
    <w:pPr>
      <w:jc w:val="center"/>
      <w:rPr>
        <w:rFonts w:cs="Arial"/>
        <w:b/>
        <w:sz w:val="24"/>
        <w:szCs w:val="24"/>
      </w:rPr>
    </w:pPr>
    <w:r>
      <w:rPr>
        <w:rFonts w:cs="Arial"/>
        <w:b/>
        <w:sz w:val="24"/>
        <w:szCs w:val="24"/>
      </w:rPr>
      <w:t xml:space="preserve">HES HR Model </w:t>
    </w:r>
    <w:r w:rsidR="005F2448">
      <w:rPr>
        <w:rFonts w:cs="Arial"/>
        <w:b/>
        <w:sz w:val="24"/>
        <w:szCs w:val="24"/>
      </w:rPr>
      <w:t>Grievance</w:t>
    </w:r>
    <w:r w:rsidR="002D3972">
      <w:rPr>
        <w:rFonts w:cs="Arial"/>
        <w:b/>
        <w:sz w:val="24"/>
        <w:szCs w:val="24"/>
      </w:rPr>
      <w:t xml:space="preserve"> Resolution </w:t>
    </w:r>
    <w:r w:rsidR="00CD36CB">
      <w:rPr>
        <w:rFonts w:cs="Arial"/>
        <w:b/>
        <w:sz w:val="24"/>
        <w:szCs w:val="24"/>
      </w:rPr>
      <w:t>Policy</w:t>
    </w:r>
    <w:r w:rsidR="005F2448">
      <w:rPr>
        <w:rFonts w:cs="Arial"/>
        <w:b/>
        <w:sz w:val="24"/>
        <w:szCs w:val="24"/>
      </w:rPr>
      <w:t xml:space="preserve"> </w:t>
    </w:r>
  </w:p>
  <w:p w:rsidR="003D5B76" w:rsidRPr="00D011D7" w:rsidRDefault="003D5B76"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23DD"/>
    <w:multiLevelType w:val="hybridMultilevel"/>
    <w:tmpl w:val="335C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22457"/>
    <w:multiLevelType w:val="hybridMultilevel"/>
    <w:tmpl w:val="CD90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20B43"/>
    <w:multiLevelType w:val="hybridMultilevel"/>
    <w:tmpl w:val="503E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E6CEE"/>
    <w:multiLevelType w:val="hybridMultilevel"/>
    <w:tmpl w:val="5CF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EF3A01"/>
    <w:multiLevelType w:val="hybridMultilevel"/>
    <w:tmpl w:val="E59E66DC"/>
    <w:lvl w:ilvl="0" w:tplc="4A8C6A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C7A2D"/>
    <w:multiLevelType w:val="hybridMultilevel"/>
    <w:tmpl w:val="DE9ED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206AC9"/>
    <w:multiLevelType w:val="hybridMultilevel"/>
    <w:tmpl w:val="B63E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2379"/>
    <w:rsid w:val="00005D12"/>
    <w:rsid w:val="00006CFF"/>
    <w:rsid w:val="000221BB"/>
    <w:rsid w:val="00031F7B"/>
    <w:rsid w:val="00050B9F"/>
    <w:rsid w:val="0005149C"/>
    <w:rsid w:val="000571E2"/>
    <w:rsid w:val="00064988"/>
    <w:rsid w:val="00066DBE"/>
    <w:rsid w:val="00080A58"/>
    <w:rsid w:val="0009315A"/>
    <w:rsid w:val="000A21C2"/>
    <w:rsid w:val="000B3ED3"/>
    <w:rsid w:val="000C478A"/>
    <w:rsid w:val="000C73E5"/>
    <w:rsid w:val="000F27F4"/>
    <w:rsid w:val="00102E6A"/>
    <w:rsid w:val="00105DA6"/>
    <w:rsid w:val="0011176B"/>
    <w:rsid w:val="001354C7"/>
    <w:rsid w:val="00143B12"/>
    <w:rsid w:val="00151318"/>
    <w:rsid w:val="00157592"/>
    <w:rsid w:val="00174D66"/>
    <w:rsid w:val="001774A3"/>
    <w:rsid w:val="00181752"/>
    <w:rsid w:val="0018564D"/>
    <w:rsid w:val="001B292F"/>
    <w:rsid w:val="001D35C9"/>
    <w:rsid w:val="00204094"/>
    <w:rsid w:val="00211024"/>
    <w:rsid w:val="00240607"/>
    <w:rsid w:val="0025197C"/>
    <w:rsid w:val="002626A3"/>
    <w:rsid w:val="002C3589"/>
    <w:rsid w:val="002D388E"/>
    <w:rsid w:val="002D3972"/>
    <w:rsid w:val="002E0076"/>
    <w:rsid w:val="002E1DCD"/>
    <w:rsid w:val="002E3623"/>
    <w:rsid w:val="002F24D0"/>
    <w:rsid w:val="0031058F"/>
    <w:rsid w:val="00320313"/>
    <w:rsid w:val="0032446C"/>
    <w:rsid w:val="00375EB9"/>
    <w:rsid w:val="0038219E"/>
    <w:rsid w:val="00385298"/>
    <w:rsid w:val="00387648"/>
    <w:rsid w:val="00393167"/>
    <w:rsid w:val="00397641"/>
    <w:rsid w:val="003A3F3D"/>
    <w:rsid w:val="003C0AC4"/>
    <w:rsid w:val="003C33FF"/>
    <w:rsid w:val="003C70E6"/>
    <w:rsid w:val="003C76AB"/>
    <w:rsid w:val="003D5B76"/>
    <w:rsid w:val="003E6AA0"/>
    <w:rsid w:val="003F4AB9"/>
    <w:rsid w:val="003F69A2"/>
    <w:rsid w:val="003F78E4"/>
    <w:rsid w:val="00426C68"/>
    <w:rsid w:val="004270C5"/>
    <w:rsid w:val="00433896"/>
    <w:rsid w:val="00443A38"/>
    <w:rsid w:val="00460DA7"/>
    <w:rsid w:val="00461FF4"/>
    <w:rsid w:val="0046520C"/>
    <w:rsid w:val="00473838"/>
    <w:rsid w:val="004822A3"/>
    <w:rsid w:val="00482EBF"/>
    <w:rsid w:val="00487F20"/>
    <w:rsid w:val="00496D9A"/>
    <w:rsid w:val="004C2FA0"/>
    <w:rsid w:val="004E2A8E"/>
    <w:rsid w:val="004F4051"/>
    <w:rsid w:val="00507C8B"/>
    <w:rsid w:val="00507D04"/>
    <w:rsid w:val="005147A9"/>
    <w:rsid w:val="00522A44"/>
    <w:rsid w:val="00524648"/>
    <w:rsid w:val="00525BC6"/>
    <w:rsid w:val="00527993"/>
    <w:rsid w:val="00530B9B"/>
    <w:rsid w:val="00530DF7"/>
    <w:rsid w:val="005474EB"/>
    <w:rsid w:val="00550F5D"/>
    <w:rsid w:val="00556C82"/>
    <w:rsid w:val="00563282"/>
    <w:rsid w:val="005662D8"/>
    <w:rsid w:val="005819C6"/>
    <w:rsid w:val="00581A8D"/>
    <w:rsid w:val="005A5219"/>
    <w:rsid w:val="005B1079"/>
    <w:rsid w:val="005D3A69"/>
    <w:rsid w:val="005D4026"/>
    <w:rsid w:val="005D5FD4"/>
    <w:rsid w:val="005F2448"/>
    <w:rsid w:val="00601F64"/>
    <w:rsid w:val="00606A8F"/>
    <w:rsid w:val="00614479"/>
    <w:rsid w:val="00624BD6"/>
    <w:rsid w:val="006301D5"/>
    <w:rsid w:val="0063590F"/>
    <w:rsid w:val="006363F7"/>
    <w:rsid w:val="006409C1"/>
    <w:rsid w:val="0064589B"/>
    <w:rsid w:val="00646C0D"/>
    <w:rsid w:val="00650CD8"/>
    <w:rsid w:val="00656924"/>
    <w:rsid w:val="00656D2E"/>
    <w:rsid w:val="0065795D"/>
    <w:rsid w:val="00673F8C"/>
    <w:rsid w:val="00684B45"/>
    <w:rsid w:val="00687034"/>
    <w:rsid w:val="006A18DB"/>
    <w:rsid w:val="006C477C"/>
    <w:rsid w:val="006D447C"/>
    <w:rsid w:val="00720F27"/>
    <w:rsid w:val="007235F7"/>
    <w:rsid w:val="007247AA"/>
    <w:rsid w:val="00730BD6"/>
    <w:rsid w:val="00736EEB"/>
    <w:rsid w:val="00743FFB"/>
    <w:rsid w:val="007566F3"/>
    <w:rsid w:val="00757FD3"/>
    <w:rsid w:val="00763278"/>
    <w:rsid w:val="00784B46"/>
    <w:rsid w:val="007908CF"/>
    <w:rsid w:val="007A0203"/>
    <w:rsid w:val="007A2AC4"/>
    <w:rsid w:val="007A54D5"/>
    <w:rsid w:val="007A7811"/>
    <w:rsid w:val="007C2264"/>
    <w:rsid w:val="007D2D4F"/>
    <w:rsid w:val="007D4E01"/>
    <w:rsid w:val="007D75AA"/>
    <w:rsid w:val="007F24B0"/>
    <w:rsid w:val="007F566D"/>
    <w:rsid w:val="007F6363"/>
    <w:rsid w:val="0080611B"/>
    <w:rsid w:val="00813BD5"/>
    <w:rsid w:val="00823337"/>
    <w:rsid w:val="00833330"/>
    <w:rsid w:val="008350C7"/>
    <w:rsid w:val="008354C7"/>
    <w:rsid w:val="00835790"/>
    <w:rsid w:val="00840A4D"/>
    <w:rsid w:val="00847F07"/>
    <w:rsid w:val="00853C81"/>
    <w:rsid w:val="00855553"/>
    <w:rsid w:val="0087003A"/>
    <w:rsid w:val="008828D8"/>
    <w:rsid w:val="008A0EE6"/>
    <w:rsid w:val="008C24CD"/>
    <w:rsid w:val="008C6809"/>
    <w:rsid w:val="008E4660"/>
    <w:rsid w:val="008F2C7E"/>
    <w:rsid w:val="008F3554"/>
    <w:rsid w:val="0090045E"/>
    <w:rsid w:val="00910203"/>
    <w:rsid w:val="009210AE"/>
    <w:rsid w:val="00931F05"/>
    <w:rsid w:val="00946575"/>
    <w:rsid w:val="00953CFE"/>
    <w:rsid w:val="009628C2"/>
    <w:rsid w:val="00975F11"/>
    <w:rsid w:val="00977E5F"/>
    <w:rsid w:val="009D0524"/>
    <w:rsid w:val="009D547B"/>
    <w:rsid w:val="009E1135"/>
    <w:rsid w:val="009E597C"/>
    <w:rsid w:val="009F60A2"/>
    <w:rsid w:val="00A15123"/>
    <w:rsid w:val="00A302A7"/>
    <w:rsid w:val="00A305CF"/>
    <w:rsid w:val="00A33FB2"/>
    <w:rsid w:val="00A37FA1"/>
    <w:rsid w:val="00A43B60"/>
    <w:rsid w:val="00A675B7"/>
    <w:rsid w:val="00A71140"/>
    <w:rsid w:val="00A83A89"/>
    <w:rsid w:val="00A85AE0"/>
    <w:rsid w:val="00A96275"/>
    <w:rsid w:val="00AA2FA4"/>
    <w:rsid w:val="00AB3007"/>
    <w:rsid w:val="00AC3102"/>
    <w:rsid w:val="00AD3638"/>
    <w:rsid w:val="00AF03A4"/>
    <w:rsid w:val="00AF1B64"/>
    <w:rsid w:val="00B00ED1"/>
    <w:rsid w:val="00B03916"/>
    <w:rsid w:val="00B3004B"/>
    <w:rsid w:val="00B37B2A"/>
    <w:rsid w:val="00B50F76"/>
    <w:rsid w:val="00B53F05"/>
    <w:rsid w:val="00B55348"/>
    <w:rsid w:val="00B62C00"/>
    <w:rsid w:val="00B712D8"/>
    <w:rsid w:val="00B76AF0"/>
    <w:rsid w:val="00B84DE0"/>
    <w:rsid w:val="00B8630F"/>
    <w:rsid w:val="00B8675B"/>
    <w:rsid w:val="00B94F6A"/>
    <w:rsid w:val="00BB4515"/>
    <w:rsid w:val="00BE7AA6"/>
    <w:rsid w:val="00BF0B19"/>
    <w:rsid w:val="00BF1879"/>
    <w:rsid w:val="00BF291E"/>
    <w:rsid w:val="00BF2D06"/>
    <w:rsid w:val="00BF3795"/>
    <w:rsid w:val="00BF57C9"/>
    <w:rsid w:val="00C06FE3"/>
    <w:rsid w:val="00C31FA8"/>
    <w:rsid w:val="00C3740A"/>
    <w:rsid w:val="00C547A7"/>
    <w:rsid w:val="00C677CA"/>
    <w:rsid w:val="00C77D84"/>
    <w:rsid w:val="00C87ABE"/>
    <w:rsid w:val="00C93E4B"/>
    <w:rsid w:val="00C93E7E"/>
    <w:rsid w:val="00C9414B"/>
    <w:rsid w:val="00CA44E2"/>
    <w:rsid w:val="00CA5623"/>
    <w:rsid w:val="00CB7921"/>
    <w:rsid w:val="00CC103E"/>
    <w:rsid w:val="00CD36CB"/>
    <w:rsid w:val="00CD4887"/>
    <w:rsid w:val="00CE43FD"/>
    <w:rsid w:val="00D1467A"/>
    <w:rsid w:val="00D24CE1"/>
    <w:rsid w:val="00D4236E"/>
    <w:rsid w:val="00D50E7B"/>
    <w:rsid w:val="00D565D8"/>
    <w:rsid w:val="00D63DB1"/>
    <w:rsid w:val="00D644D8"/>
    <w:rsid w:val="00D65FD7"/>
    <w:rsid w:val="00D66E4E"/>
    <w:rsid w:val="00D9354E"/>
    <w:rsid w:val="00D94A81"/>
    <w:rsid w:val="00D952D2"/>
    <w:rsid w:val="00DA0A0B"/>
    <w:rsid w:val="00DB304A"/>
    <w:rsid w:val="00DC1F0B"/>
    <w:rsid w:val="00DC4B5A"/>
    <w:rsid w:val="00DC73E6"/>
    <w:rsid w:val="00DD3B31"/>
    <w:rsid w:val="00DE5CCB"/>
    <w:rsid w:val="00DF540E"/>
    <w:rsid w:val="00DF5CFA"/>
    <w:rsid w:val="00DF6CAB"/>
    <w:rsid w:val="00E00DE0"/>
    <w:rsid w:val="00E01E69"/>
    <w:rsid w:val="00E05633"/>
    <w:rsid w:val="00E1381C"/>
    <w:rsid w:val="00E16B1E"/>
    <w:rsid w:val="00E1782B"/>
    <w:rsid w:val="00E362A0"/>
    <w:rsid w:val="00E70CCB"/>
    <w:rsid w:val="00E73605"/>
    <w:rsid w:val="00E738DB"/>
    <w:rsid w:val="00E75679"/>
    <w:rsid w:val="00EA1EE6"/>
    <w:rsid w:val="00EB0A0F"/>
    <w:rsid w:val="00EB412C"/>
    <w:rsid w:val="00EC5E3B"/>
    <w:rsid w:val="00EC7CCF"/>
    <w:rsid w:val="00EE063A"/>
    <w:rsid w:val="00EE38C3"/>
    <w:rsid w:val="00EE5601"/>
    <w:rsid w:val="00EF078F"/>
    <w:rsid w:val="00EF2B58"/>
    <w:rsid w:val="00F00AF9"/>
    <w:rsid w:val="00F15FCD"/>
    <w:rsid w:val="00F313BF"/>
    <w:rsid w:val="00F368DA"/>
    <w:rsid w:val="00F52D53"/>
    <w:rsid w:val="00F603C4"/>
    <w:rsid w:val="00F7114F"/>
    <w:rsid w:val="00F72C7E"/>
    <w:rsid w:val="00F74462"/>
    <w:rsid w:val="00F74E1A"/>
    <w:rsid w:val="00F75BDB"/>
    <w:rsid w:val="00F75F76"/>
    <w:rsid w:val="00F84182"/>
    <w:rsid w:val="00F90117"/>
    <w:rsid w:val="00F95941"/>
    <w:rsid w:val="00FA0CF3"/>
    <w:rsid w:val="00FA37A0"/>
    <w:rsid w:val="00FC0265"/>
    <w:rsid w:val="00FC32DC"/>
    <w:rsid w:val="00FC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2A23DCB0"/>
  <w15:docId w15:val="{9DA28C02-AEBC-4AE5-9604-9B48588A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4C7"/>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uiPriority w:val="99"/>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977E5F"/>
    <w:pPr>
      <w:ind w:left="720"/>
      <w:contextualSpacing/>
    </w:pPr>
  </w:style>
  <w:style w:type="paragraph" w:customStyle="1" w:styleId="Default">
    <w:name w:val="Default"/>
    <w:rsid w:val="008A0EE6"/>
    <w:pPr>
      <w:autoSpaceDE w:val="0"/>
      <w:autoSpaceDN w:val="0"/>
      <w:adjustRightInd w:val="0"/>
    </w:pPr>
    <w:rPr>
      <w:rFonts w:ascii="Arial" w:eastAsiaTheme="minorHAnsi" w:hAnsi="Arial" w:cs="Arial"/>
      <w:color w:val="000000"/>
      <w:sz w:val="24"/>
      <w:szCs w:val="24"/>
      <w:lang w:val="en-GB"/>
    </w:rPr>
  </w:style>
  <w:style w:type="paragraph" w:styleId="NoSpacing">
    <w:name w:val="No Spacing"/>
    <w:uiPriority w:val="1"/>
    <w:qFormat/>
    <w:rsid w:val="00F90117"/>
    <w:pPr>
      <w:overflowPunct w:val="0"/>
      <w:autoSpaceDE w:val="0"/>
      <w:autoSpaceDN w:val="0"/>
      <w:adjustRightInd w:val="0"/>
      <w:textAlignment w:val="baseline"/>
    </w:pPr>
    <w:rPr>
      <w:lang w:val="en-AU"/>
    </w:rPr>
  </w:style>
  <w:style w:type="character" w:customStyle="1" w:styleId="FooterChar">
    <w:name w:val="Footer Char"/>
    <w:basedOn w:val="DefaultParagraphFont"/>
    <w:link w:val="Footer"/>
    <w:uiPriority w:val="99"/>
    <w:rsid w:val="00EC5E3B"/>
    <w:rPr>
      <w:rFonts w:ascii="Arial" w:hAnsi="Arial"/>
      <w:sz w:val="22"/>
      <w:lang w:val="en-GB"/>
    </w:rPr>
  </w:style>
  <w:style w:type="character" w:styleId="Strong">
    <w:name w:val="Strong"/>
    <w:basedOn w:val="DefaultParagraphFont"/>
    <w:uiPriority w:val="22"/>
    <w:qFormat/>
    <w:rsid w:val="007A7811"/>
    <w:rPr>
      <w:b/>
      <w:bCs/>
    </w:rPr>
  </w:style>
  <w:style w:type="paragraph" w:styleId="Revision">
    <w:name w:val="Revision"/>
    <w:hidden/>
    <w:uiPriority w:val="99"/>
    <w:semiHidden/>
    <w:rsid w:val="00426C68"/>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6203">
      <w:marLeft w:val="0"/>
      <w:marRight w:val="0"/>
      <w:marTop w:val="0"/>
      <w:marBottom w:val="0"/>
      <w:divBdr>
        <w:top w:val="none" w:sz="0" w:space="0" w:color="auto"/>
        <w:left w:val="none" w:sz="0" w:space="0" w:color="auto"/>
        <w:bottom w:val="none" w:sz="0" w:space="0" w:color="auto"/>
        <w:right w:val="none" w:sz="0" w:space="0" w:color="auto"/>
      </w:divBdr>
    </w:div>
    <w:div w:id="376510099">
      <w:bodyDiv w:val="1"/>
      <w:marLeft w:val="0"/>
      <w:marRight w:val="0"/>
      <w:marTop w:val="0"/>
      <w:marBottom w:val="0"/>
      <w:divBdr>
        <w:top w:val="none" w:sz="0" w:space="0" w:color="auto"/>
        <w:left w:val="none" w:sz="0" w:space="0" w:color="auto"/>
        <w:bottom w:val="none" w:sz="0" w:space="0" w:color="auto"/>
        <w:right w:val="none" w:sz="0" w:space="0" w:color="auto"/>
      </w:divBdr>
    </w:div>
    <w:div w:id="1085760778">
      <w:bodyDiv w:val="1"/>
      <w:marLeft w:val="0"/>
      <w:marRight w:val="0"/>
      <w:marTop w:val="0"/>
      <w:marBottom w:val="0"/>
      <w:divBdr>
        <w:top w:val="none" w:sz="0" w:space="0" w:color="auto"/>
        <w:left w:val="none" w:sz="0" w:space="0" w:color="auto"/>
        <w:bottom w:val="none" w:sz="0" w:space="0" w:color="auto"/>
        <w:right w:val="none" w:sz="0" w:space="0" w:color="auto"/>
      </w:divBdr>
    </w:div>
    <w:div w:id="1176503050">
      <w:marLeft w:val="0"/>
      <w:marRight w:val="0"/>
      <w:marTop w:val="0"/>
      <w:marBottom w:val="0"/>
      <w:divBdr>
        <w:top w:val="none" w:sz="0" w:space="0" w:color="auto"/>
        <w:left w:val="none" w:sz="0" w:space="0" w:color="auto"/>
        <w:bottom w:val="none" w:sz="0" w:space="0" w:color="auto"/>
        <w:right w:val="none" w:sz="0" w:space="0" w:color="auto"/>
      </w:divBdr>
    </w:div>
    <w:div w:id="1433553889">
      <w:marLeft w:val="0"/>
      <w:marRight w:val="0"/>
      <w:marTop w:val="0"/>
      <w:marBottom w:val="0"/>
      <w:divBdr>
        <w:top w:val="none" w:sz="0" w:space="0" w:color="auto"/>
        <w:left w:val="none" w:sz="0" w:space="0" w:color="auto"/>
        <w:bottom w:val="none" w:sz="0" w:space="0" w:color="auto"/>
        <w:right w:val="none" w:sz="0" w:space="0" w:color="auto"/>
      </w:divBdr>
    </w:div>
    <w:div w:id="17003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D6B4-99F1-4EEF-839C-CA7D75F2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1966</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Martin Organisciok</cp:lastModifiedBy>
  <cp:revision>19</cp:revision>
  <cp:lastPrinted>2018-09-21T06:31:00Z</cp:lastPrinted>
  <dcterms:created xsi:type="dcterms:W3CDTF">2024-07-31T11:48:00Z</dcterms:created>
  <dcterms:modified xsi:type="dcterms:W3CDTF">2025-08-18T09:25:00Z</dcterms:modified>
</cp:coreProperties>
</file>