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F3399F" w:rsidP="0072041A" w:rsidRDefault="000A2587" w14:paraId="047A1896" w14:textId="3178728E">
      <w:pPr>
        <w:ind w:left="142"/>
        <w:rPr>
          <w:b/>
          <w:bCs/>
          <w:sz w:val="24"/>
          <w:szCs w:val="24"/>
          <w:u w:val="single"/>
          <w:lang w:val="en-US"/>
        </w:rPr>
      </w:pPr>
      <w:r>
        <w:rPr>
          <w:noProof/>
          <w:lang w:eastAsia="en-GB"/>
        </w:rPr>
        <w:drawing>
          <wp:anchor distT="0" distB="0" distL="114300" distR="114300" simplePos="0" relativeHeight="251658240" behindDoc="0" locked="0" layoutInCell="1" allowOverlap="1" wp14:anchorId="4F4372C6" wp14:editId="1F23113C">
            <wp:simplePos x="0" y="0"/>
            <wp:positionH relativeFrom="margin">
              <wp:align>right</wp:align>
            </wp:positionH>
            <wp:positionV relativeFrom="paragraph">
              <wp:posOffset>-196850</wp:posOffset>
            </wp:positionV>
            <wp:extent cx="976630" cy="523875"/>
            <wp:effectExtent l="0" t="0" r="0" b="9525"/>
            <wp:wrapNone/>
            <wp:docPr id="2" name="Picture 2" descr="cid:095d2553-b725-44b4-b66a-2051c8a18317"/>
            <wp:cNvGraphicFramePr/>
            <a:graphic xmlns:a="http://schemas.openxmlformats.org/drawingml/2006/main">
              <a:graphicData uri="http://schemas.openxmlformats.org/drawingml/2006/picture">
                <pic:pic xmlns:pic="http://schemas.openxmlformats.org/drawingml/2006/picture">
                  <pic:nvPicPr>
                    <pic:cNvPr id="2" name="Picture 2" descr="cid:095d2553-b725-44b4-b66a-2051c8a18317"/>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663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6068" w:rsidR="00BB57DB">
        <w:rPr>
          <w:b w:val="1"/>
          <w:bCs w:val="1"/>
          <w:sz w:val="24"/>
          <w:szCs w:val="24"/>
          <w:u w:val="single"/>
          <w:lang w:val="en-US"/>
        </w:rPr>
        <w:t xml:space="preserve">Curriculum Intent </w:t>
      </w:r>
      <w:r w:rsidRPr="00F86068" w:rsidR="00A42981">
        <w:rPr>
          <w:b w:val="1"/>
          <w:bCs w:val="1"/>
          <w:sz w:val="24"/>
          <w:szCs w:val="24"/>
          <w:u w:val="single"/>
          <w:lang w:val="en-US"/>
        </w:rPr>
        <w:t>o</w:t>
      </w:r>
      <w:r w:rsidRPr="00F86068" w:rsidR="00BB57DB">
        <w:rPr>
          <w:b w:val="1"/>
          <w:bCs w:val="1"/>
          <w:sz w:val="24"/>
          <w:szCs w:val="24"/>
          <w:u w:val="single"/>
          <w:lang w:val="en-US"/>
        </w:rPr>
        <w:t xml:space="preserve">n </w:t>
      </w:r>
      <w:r w:rsidRPr="00F86068" w:rsidR="00A42981">
        <w:rPr>
          <w:b w:val="1"/>
          <w:bCs w:val="1"/>
          <w:sz w:val="24"/>
          <w:szCs w:val="24"/>
          <w:u w:val="single"/>
          <w:lang w:val="en-US"/>
        </w:rPr>
        <w:t>a</w:t>
      </w:r>
      <w:r w:rsidRPr="00F86068" w:rsidR="00BB57DB">
        <w:rPr>
          <w:b w:val="1"/>
          <w:bCs w:val="1"/>
          <w:sz w:val="24"/>
          <w:szCs w:val="24"/>
          <w:u w:val="single"/>
          <w:lang w:val="en-US"/>
        </w:rPr>
        <w:t xml:space="preserve"> Page</w:t>
      </w:r>
      <w:r w:rsidRPr="000A2587" w:rsidR="000A2587">
        <w:rPr>
          <w:noProof/>
        </w:rPr>
        <w:t xml:space="preserve"> </w:t>
      </w:r>
    </w:p>
    <w:tbl>
      <w:tblPr>
        <w:tblStyle w:val="TableGrid"/>
        <w:tblW w:w="10910" w:type="dxa"/>
        <w:tblLook w:val="04A0" w:firstRow="1" w:lastRow="0" w:firstColumn="1" w:lastColumn="0" w:noHBand="0" w:noVBand="1"/>
      </w:tblPr>
      <w:tblGrid>
        <w:gridCol w:w="1696"/>
        <w:gridCol w:w="9214"/>
      </w:tblGrid>
      <w:tr w:rsidR="00BB57DB" w:rsidTr="30467098" w14:paraId="35CBC0B5" w14:textId="77777777">
        <w:tc>
          <w:tcPr>
            <w:tcW w:w="1696" w:type="dxa"/>
            <w:shd w:val="clear" w:color="auto" w:fill="112B43"/>
            <w:tcMar/>
          </w:tcPr>
          <w:p w:rsidRPr="00BB57DB" w:rsidR="00BB57DB" w:rsidP="30467098" w:rsidRDefault="00BB57DB" w14:paraId="40A58483" w14:textId="3124E71E" w14:noSpellErr="1">
            <w:pPr>
              <w:rPr>
                <w:b w:val="1"/>
                <w:bCs w:val="1"/>
                <w:sz w:val="20"/>
                <w:szCs w:val="20"/>
                <w:lang w:val="en-US"/>
              </w:rPr>
            </w:pPr>
            <w:r w:rsidRPr="30467098" w:rsidR="00BB57DB">
              <w:rPr>
                <w:b w:val="1"/>
                <w:bCs w:val="1"/>
                <w:sz w:val="20"/>
                <w:szCs w:val="20"/>
                <w:lang w:val="en-US"/>
              </w:rPr>
              <w:t>Subject</w:t>
            </w:r>
          </w:p>
        </w:tc>
        <w:tc>
          <w:tcPr>
            <w:tcW w:w="9214" w:type="dxa"/>
            <w:tcMar/>
          </w:tcPr>
          <w:p w:rsidRPr="00EE1A0B" w:rsidR="00BB57DB" w:rsidP="30467098" w:rsidRDefault="008A6A4B" w14:paraId="28D95CD9" w14:textId="674F3ED5" w14:noSpellErr="1">
            <w:pPr>
              <w:rPr>
                <w:b w:val="1"/>
                <w:bCs w:val="1"/>
                <w:sz w:val="20"/>
                <w:szCs w:val="20"/>
                <w:lang w:val="en-US"/>
              </w:rPr>
            </w:pPr>
            <w:r w:rsidRPr="30467098" w:rsidR="008A6A4B">
              <w:rPr>
                <w:b w:val="1"/>
                <w:bCs w:val="1"/>
                <w:sz w:val="20"/>
                <w:szCs w:val="20"/>
                <w:lang w:val="en-US"/>
              </w:rPr>
              <w:t>Careers</w:t>
            </w:r>
            <w:r w:rsidRPr="30467098" w:rsidR="008A6A4B">
              <w:rPr>
                <w:b w:val="1"/>
                <w:bCs w:val="1"/>
                <w:sz w:val="20"/>
                <w:szCs w:val="20"/>
                <w:lang w:val="en-US"/>
              </w:rPr>
              <w:t xml:space="preserve"> </w:t>
            </w:r>
          </w:p>
        </w:tc>
      </w:tr>
      <w:tr w:rsidR="00BB57DB" w:rsidTr="30467098" w14:paraId="7E9CE5FD" w14:textId="77777777">
        <w:tc>
          <w:tcPr>
            <w:tcW w:w="1696" w:type="dxa"/>
            <w:shd w:val="clear" w:color="auto" w:fill="112B43"/>
            <w:tcMar/>
          </w:tcPr>
          <w:p w:rsidRPr="00BB57DB" w:rsidR="00BB57DB" w:rsidP="30467098" w:rsidRDefault="00D17D21" w14:paraId="64ACAB5B" w14:textId="4D71AA63" w14:noSpellErr="1">
            <w:pPr>
              <w:rPr>
                <w:b w:val="1"/>
                <w:bCs w:val="1"/>
                <w:sz w:val="20"/>
                <w:szCs w:val="20"/>
                <w:lang w:val="en-US"/>
              </w:rPr>
            </w:pPr>
            <w:r w:rsidRPr="30467098" w:rsidR="00D17D21">
              <w:rPr>
                <w:b w:val="1"/>
                <w:bCs w:val="1"/>
                <w:sz w:val="20"/>
                <w:szCs w:val="20"/>
                <w:lang w:val="en-US"/>
              </w:rPr>
              <w:t xml:space="preserve">Subject Teacher </w:t>
            </w:r>
          </w:p>
        </w:tc>
        <w:tc>
          <w:tcPr>
            <w:tcW w:w="9214" w:type="dxa"/>
            <w:tcMar/>
          </w:tcPr>
          <w:p w:rsidRPr="00EE1A0B" w:rsidR="00BB57DB" w:rsidP="30467098" w:rsidRDefault="006A5BDE" w14:paraId="4F36A676" w14:textId="55E051F0" w14:noSpellErr="1">
            <w:pPr>
              <w:spacing w:line="259" w:lineRule="auto"/>
              <w:rPr>
                <w:b w:val="1"/>
                <w:bCs w:val="1"/>
                <w:sz w:val="20"/>
                <w:szCs w:val="20"/>
              </w:rPr>
            </w:pPr>
            <w:r w:rsidRPr="30467098" w:rsidR="3C672344">
              <w:rPr>
                <w:b w:val="1"/>
                <w:bCs w:val="1"/>
                <w:sz w:val="20"/>
                <w:szCs w:val="20"/>
              </w:rPr>
              <w:t>Mr B. Singh</w:t>
            </w:r>
            <w:bookmarkStart w:name="_GoBack" w:id="0"/>
            <w:bookmarkEnd w:id="0"/>
          </w:p>
        </w:tc>
      </w:tr>
    </w:tbl>
    <w:tbl>
      <w:tblPr>
        <w:tblStyle w:val="TableGrid"/>
        <w:tblW w:w="10910" w:type="dxa"/>
        <w:tblLook w:val="04A0" w:firstRow="1" w:lastRow="0" w:firstColumn="1" w:lastColumn="0" w:noHBand="0" w:noVBand="1"/>
      </w:tblPr>
      <w:tblGrid>
        <w:gridCol w:w="10910"/>
      </w:tblGrid>
      <w:tr w:rsidR="00BB57DB" w:rsidTr="08395937" w14:paraId="352504ED" w14:textId="77777777">
        <w:tc>
          <w:tcPr>
            <w:tcW w:w="10910" w:type="dxa"/>
            <w:shd w:val="clear" w:color="auto" w:fill="112B43"/>
            <w:tcMar/>
          </w:tcPr>
          <w:p w:rsidRPr="00BB57DB" w:rsidR="00BB57DB" w:rsidP="08395937" w:rsidRDefault="00B74BEE" w14:paraId="7CA08541" w14:textId="693D6CAA">
            <w:pPr>
              <w:pStyle w:val="Normal"/>
              <w:bidi w:val="0"/>
              <w:spacing w:before="0" w:beforeAutospacing="off" w:after="0" w:afterAutospacing="off" w:line="259" w:lineRule="auto"/>
              <w:ind w:left="0" w:right="0"/>
              <w:jc w:val="left"/>
              <w:rPr>
                <w:rFonts w:ascii="Calibri" w:hAnsi="Calibri" w:cs="Calibri"/>
                <w:b w:val="1"/>
                <w:bCs w:val="1"/>
                <w:sz w:val="20"/>
                <w:szCs w:val="20"/>
                <w:lang w:val="en-US"/>
              </w:rPr>
            </w:pPr>
            <w:r w:rsidRPr="08395937" w:rsidR="00B74BEE">
              <w:rPr>
                <w:rFonts w:ascii="Calibri" w:hAnsi="Calibri" w:cs="Calibri"/>
                <w:b w:val="1"/>
                <w:bCs w:val="1"/>
                <w:sz w:val="20"/>
                <w:szCs w:val="20"/>
                <w:lang w:val="en-US"/>
              </w:rPr>
              <w:t>I</w:t>
            </w:r>
            <w:r w:rsidRPr="08395937" w:rsidR="00BB57DB">
              <w:rPr>
                <w:rFonts w:ascii="Calibri" w:hAnsi="Calibri" w:cs="Calibri"/>
                <w:b w:val="1"/>
                <w:bCs w:val="1"/>
                <w:sz w:val="20"/>
                <w:szCs w:val="20"/>
                <w:lang w:val="en-US"/>
              </w:rPr>
              <w:t xml:space="preserve">ntent </w:t>
            </w:r>
            <w:r w:rsidRPr="08395937" w:rsidR="00B74BEE">
              <w:rPr>
                <w:rFonts w:ascii="Calibri" w:hAnsi="Calibri" w:cs="Calibri"/>
                <w:b w:val="1"/>
                <w:bCs w:val="1"/>
                <w:sz w:val="20"/>
                <w:szCs w:val="20"/>
                <w:lang w:val="en-US"/>
              </w:rPr>
              <w:t>s</w:t>
            </w:r>
            <w:r w:rsidRPr="08395937" w:rsidR="00BB57DB">
              <w:rPr>
                <w:rFonts w:ascii="Calibri" w:hAnsi="Calibri" w:cs="Calibri"/>
                <w:b w:val="1"/>
                <w:bCs w:val="1"/>
                <w:sz w:val="20"/>
                <w:szCs w:val="20"/>
                <w:lang w:val="en-US"/>
              </w:rPr>
              <w:t xml:space="preserve">tatement </w:t>
            </w:r>
            <w:r w:rsidRPr="08395937" w:rsidR="00BB7DAA">
              <w:rPr>
                <w:rFonts w:ascii="Calibri" w:hAnsi="Calibri" w:cs="Calibri"/>
                <w:b w:val="1"/>
                <w:bCs w:val="1"/>
                <w:sz w:val="20"/>
                <w:szCs w:val="20"/>
                <w:lang w:val="en-US"/>
              </w:rPr>
              <w:t xml:space="preserve">– Our Curriculum Objectives </w:t>
            </w:r>
          </w:p>
        </w:tc>
      </w:tr>
      <w:tr w:rsidR="00BB57DB" w:rsidTr="08395937" w14:paraId="3280C247" w14:textId="77777777">
        <w:tc>
          <w:tcPr>
            <w:tcW w:w="10910" w:type="dxa"/>
            <w:tcMar/>
          </w:tcPr>
          <w:p w:rsidRPr="00241B10" w:rsidR="008A6A4B" w:rsidP="30467098" w:rsidRDefault="008A6A4B" w14:paraId="4B20ECF2" w14:textId="4B34107A">
            <w:pPr>
              <w:rPr>
                <w:rFonts w:ascii="Calibri" w:hAnsi="Calibri" w:eastAsia="Calibri" w:cs="Calibri"/>
                <w:b w:val="1"/>
                <w:bCs w:val="1"/>
                <w:sz w:val="18"/>
                <w:szCs w:val="18"/>
              </w:rPr>
            </w:pPr>
            <w:r w:rsidRPr="30467098" w:rsidR="008A6A4B">
              <w:rPr>
                <w:rFonts w:ascii="Calibri" w:hAnsi="Calibri" w:eastAsia="Calibri" w:cs="Calibri"/>
                <w:b w:val="1"/>
                <w:bCs w:val="1"/>
                <w:sz w:val="18"/>
                <w:szCs w:val="18"/>
              </w:rPr>
              <w:t xml:space="preserve">What will our pupils experience throughout their </w:t>
            </w:r>
            <w:r w:rsidRPr="30467098" w:rsidR="7DAA3807">
              <w:rPr>
                <w:rFonts w:ascii="Calibri" w:hAnsi="Calibri" w:eastAsia="Calibri" w:cs="Calibri"/>
                <w:b w:val="1"/>
                <w:bCs w:val="1"/>
                <w:sz w:val="18"/>
                <w:szCs w:val="18"/>
              </w:rPr>
              <w:t>Career's</w:t>
            </w:r>
            <w:r w:rsidRPr="30467098" w:rsidR="008A6A4B">
              <w:rPr>
                <w:rFonts w:ascii="Calibri" w:hAnsi="Calibri" w:eastAsia="Calibri" w:cs="Calibri"/>
                <w:b w:val="1"/>
                <w:bCs w:val="1"/>
                <w:sz w:val="18"/>
                <w:szCs w:val="18"/>
              </w:rPr>
              <w:t xml:space="preserve"> curriculum at Pine Green Academy?</w:t>
            </w:r>
          </w:p>
          <w:p w:rsidRPr="007D0A82" w:rsidR="00255B15" w:rsidP="008A6A4B" w:rsidRDefault="008A6A4B" w14:paraId="683ACABE" w14:textId="09711394">
            <w:pPr>
              <w:spacing w:line="276" w:lineRule="auto"/>
              <w:rPr>
                <w:rFonts w:ascii="Calibri" w:hAnsi="Calibri" w:eastAsia="Calibri" w:cs="Calibri"/>
                <w:color w:val="000000" w:themeColor="text1"/>
                <w:sz w:val="19"/>
                <w:szCs w:val="19"/>
              </w:rPr>
            </w:pPr>
            <w:r w:rsidRPr="30467098" w:rsidR="008A6A4B">
              <w:rPr>
                <w:rFonts w:ascii="Calibri" w:hAnsi="Calibri" w:eastAsia="Calibri" w:cs="Calibri"/>
                <w:sz w:val="18"/>
                <w:szCs w:val="18"/>
              </w:rPr>
              <w:t xml:space="preserve">Access to careers learning from Year 7 onwards - learning that is linked through their </w:t>
            </w:r>
            <w:r w:rsidRPr="30467098" w:rsidR="5CFCAAA0">
              <w:rPr>
                <w:rFonts w:ascii="Calibri" w:hAnsi="Calibri" w:eastAsia="Calibri" w:cs="Calibri"/>
                <w:sz w:val="18"/>
                <w:szCs w:val="18"/>
              </w:rPr>
              <w:t xml:space="preserve">Preparing for Adulthood </w:t>
            </w:r>
            <w:r w:rsidRPr="30467098" w:rsidR="008A6A4B">
              <w:rPr>
                <w:rFonts w:ascii="Calibri" w:hAnsi="Calibri" w:eastAsia="Calibri" w:cs="Calibri"/>
                <w:sz w:val="18"/>
                <w:szCs w:val="18"/>
              </w:rPr>
              <w:t>curriculum provision and also explicitly delivered sessions; a careers curriculum that has contributions and feedback from them, their families, school staff and external employers; engagement with many different employers throughout Year 7 to Year 11 in variety of formats such as assemblies, visits, talks, project work, careers events; unbiased careers advice and support from a careers leader; working with them and their families as they prepare for their future and for life after Pine Green Academy; staff who are committed to and passionate about helping them develop as they make key decisions and prepare for their future pathways.</w:t>
            </w:r>
          </w:p>
        </w:tc>
      </w:tr>
      <w:tr w:rsidR="00BB57DB" w:rsidTr="08395937" w14:paraId="5F88C1D2" w14:textId="77777777">
        <w:tc>
          <w:tcPr>
            <w:tcW w:w="10910" w:type="dxa"/>
            <w:shd w:val="clear" w:color="auto" w:fill="112B43"/>
            <w:tcMar/>
          </w:tcPr>
          <w:p w:rsidRPr="00BB57DB" w:rsidR="00BB57DB" w:rsidP="08395937" w:rsidRDefault="00BB7DAA" w14:paraId="10A9DCD0" w14:textId="18CF5D73">
            <w:pPr>
              <w:pStyle w:val="Normal"/>
              <w:bidi w:val="0"/>
              <w:spacing w:before="0" w:beforeAutospacing="off" w:after="0" w:afterAutospacing="off" w:line="259" w:lineRule="auto"/>
              <w:ind w:left="0" w:right="0"/>
              <w:jc w:val="left"/>
              <w:rPr>
                <w:b w:val="1"/>
                <w:bCs w:val="1"/>
                <w:lang w:val="en-US"/>
              </w:rPr>
            </w:pPr>
            <w:r w:rsidRPr="08395937" w:rsidR="00BB7DAA">
              <w:rPr>
                <w:rFonts w:ascii="Calibri" w:hAnsi="Calibri" w:cs="Calibri"/>
                <w:b w:val="1"/>
                <w:bCs w:val="1"/>
                <w:sz w:val="20"/>
                <w:szCs w:val="20"/>
                <w:lang w:val="en-US"/>
              </w:rPr>
              <w:t>C</w:t>
            </w:r>
            <w:r w:rsidRPr="08395937" w:rsidR="00BB7DAA">
              <w:rPr>
                <w:rFonts w:ascii="Calibri" w:hAnsi="Calibri" w:cs="Calibri"/>
                <w:b w:val="1"/>
                <w:bCs w:val="1"/>
                <w:sz w:val="20"/>
                <w:szCs w:val="20"/>
                <w:lang w:val="en-US"/>
              </w:rPr>
              <w:t>urriculum</w:t>
            </w:r>
            <w:r w:rsidRPr="08395937" w:rsidR="00BB7DAA">
              <w:rPr>
                <w:rFonts w:ascii="Calibri" w:hAnsi="Calibri" w:cs="Calibri"/>
                <w:b w:val="1"/>
                <w:bCs w:val="1"/>
                <w:sz w:val="20"/>
                <w:szCs w:val="20"/>
                <w:lang w:val="en-US"/>
              </w:rPr>
              <w:t xml:space="preserve"> Sequencing</w:t>
            </w:r>
          </w:p>
        </w:tc>
      </w:tr>
      <w:tr w:rsidR="00BB57DB" w:rsidTr="08395937" w14:paraId="08C3792D" w14:textId="77777777">
        <w:tc>
          <w:tcPr>
            <w:tcW w:w="10910" w:type="dxa"/>
            <w:tcMar/>
          </w:tcPr>
          <w:p w:rsidRPr="008A6A4B" w:rsidR="00255B15" w:rsidP="30467098" w:rsidRDefault="008A6A4B" w14:paraId="1C808037" w14:textId="768E9338">
            <w:pPr>
              <w:pStyle w:val="Normal"/>
              <w:spacing w:line="276" w:lineRule="auto"/>
              <w:rPr>
                <w:rFonts w:ascii="Calibri" w:hAnsi="Calibri" w:eastAsia="Calibri" w:cs="Calibri"/>
                <w:sz w:val="18"/>
                <w:szCs w:val="18"/>
                <w:lang w:val="en-US"/>
              </w:rPr>
            </w:pPr>
            <w:r w:rsidRPr="08395937" w:rsidR="008A6A4B">
              <w:rPr>
                <w:rFonts w:ascii="Calibri" w:hAnsi="Calibri" w:eastAsia="Calibri" w:cs="Calibri"/>
                <w:sz w:val="18"/>
                <w:szCs w:val="18"/>
              </w:rPr>
              <w:t>Pupils will have access to a careers curriculum from Year 7 onward</w:t>
            </w:r>
            <w:r w:rsidRPr="08395937" w:rsidR="58949E76">
              <w:rPr>
                <w:rFonts w:ascii="Calibri" w:hAnsi="Calibri" w:eastAsia="Calibri" w:cs="Calibri"/>
                <w:sz w:val="18"/>
                <w:szCs w:val="18"/>
              </w:rPr>
              <w:t xml:space="preserve"> via Preparing for Adulthood</w:t>
            </w:r>
            <w:r w:rsidRPr="08395937" w:rsidR="008A6A4B">
              <w:rPr>
                <w:rFonts w:ascii="Calibri" w:hAnsi="Calibri" w:eastAsia="Calibri" w:cs="Calibri"/>
                <w:sz w:val="18"/>
                <w:szCs w:val="18"/>
              </w:rPr>
              <w:t xml:space="preserve"> and </w:t>
            </w:r>
            <w:r w:rsidRPr="08395937" w:rsidR="52B23A34">
              <w:rPr>
                <w:rFonts w:ascii="Calibri" w:hAnsi="Calibri" w:eastAsia="Calibri" w:cs="Calibri"/>
                <w:sz w:val="18"/>
                <w:szCs w:val="18"/>
              </w:rPr>
              <w:t xml:space="preserve">from Year 10 </w:t>
            </w:r>
            <w:r w:rsidRPr="08395937" w:rsidR="008A6A4B">
              <w:rPr>
                <w:rFonts w:ascii="Calibri" w:hAnsi="Calibri" w:eastAsia="Calibri" w:cs="Calibri"/>
                <w:sz w:val="18"/>
                <w:szCs w:val="18"/>
              </w:rPr>
              <w:t xml:space="preserve">this will be routinely </w:t>
            </w:r>
            <w:r w:rsidRPr="08395937" w:rsidR="008A6A4B">
              <w:rPr>
                <w:rFonts w:ascii="Calibri" w:hAnsi="Calibri" w:eastAsia="Calibri" w:cs="Calibri"/>
                <w:sz w:val="18"/>
                <w:szCs w:val="18"/>
              </w:rPr>
              <w:t>monitored</w:t>
            </w:r>
            <w:r w:rsidRPr="08395937" w:rsidR="008A6A4B">
              <w:rPr>
                <w:rFonts w:ascii="Calibri" w:hAnsi="Calibri" w:eastAsia="Calibri" w:cs="Calibri"/>
                <w:sz w:val="18"/>
                <w:szCs w:val="18"/>
              </w:rPr>
              <w:t xml:space="preserve"> and evaluated to ensure it is fit for purpose. Pupils will meet and talk with </w:t>
            </w:r>
            <w:r w:rsidRPr="08395937" w:rsidR="008A6A4B">
              <w:rPr>
                <w:rFonts w:ascii="Calibri" w:hAnsi="Calibri" w:eastAsia="Calibri" w:cs="Calibri"/>
                <w:sz w:val="18"/>
                <w:szCs w:val="18"/>
              </w:rPr>
              <w:t>previous</w:t>
            </w:r>
            <w:r w:rsidRPr="08395937" w:rsidR="008A6A4B">
              <w:rPr>
                <w:rFonts w:ascii="Calibri" w:hAnsi="Calibri" w:eastAsia="Calibri" w:cs="Calibri"/>
                <w:sz w:val="18"/>
                <w:szCs w:val="18"/>
              </w:rPr>
              <w:t xml:space="preserve"> students to find out about their experiences and aspirations. There will be close working relationship with our Enterprise Advisor from Black Country Consortium to support mentoring pupils in KS4. There will be experiences of different work</w:t>
            </w:r>
            <w:r w:rsidRPr="08395937" w:rsidR="2F4E7730">
              <w:rPr>
                <w:rFonts w:ascii="Calibri" w:hAnsi="Calibri" w:eastAsia="Calibri" w:cs="Calibri"/>
                <w:sz w:val="18"/>
                <w:szCs w:val="18"/>
              </w:rPr>
              <w:t xml:space="preserve"> experiences</w:t>
            </w:r>
            <w:r w:rsidRPr="08395937" w:rsidR="008A6A4B">
              <w:rPr>
                <w:rFonts w:ascii="Calibri" w:hAnsi="Calibri" w:eastAsia="Calibri" w:cs="Calibri"/>
                <w:sz w:val="18"/>
                <w:szCs w:val="18"/>
              </w:rPr>
              <w:t xml:space="preserve"> </w:t>
            </w:r>
            <w:r w:rsidRPr="08395937" w:rsidR="15F70F6A">
              <w:rPr>
                <w:rFonts w:ascii="Calibri" w:hAnsi="Calibri" w:eastAsia="Calibri" w:cs="Calibri"/>
                <w:sz w:val="18"/>
                <w:szCs w:val="18"/>
              </w:rPr>
              <w:t xml:space="preserve">via Work </w:t>
            </w:r>
            <w:r w:rsidRPr="08395937" w:rsidR="2C911135">
              <w:rPr>
                <w:rFonts w:ascii="Calibri" w:hAnsi="Calibri" w:eastAsia="Calibri" w:cs="Calibri"/>
                <w:sz w:val="18"/>
                <w:szCs w:val="18"/>
              </w:rPr>
              <w:t xml:space="preserve">‘n </w:t>
            </w:r>
            <w:r w:rsidRPr="08395937" w:rsidR="15F70F6A">
              <w:rPr>
                <w:rFonts w:ascii="Calibri" w:hAnsi="Calibri" w:eastAsia="Calibri" w:cs="Calibri"/>
                <w:sz w:val="18"/>
                <w:szCs w:val="18"/>
              </w:rPr>
              <w:t xml:space="preserve">Learn Partnership </w:t>
            </w:r>
            <w:r w:rsidRPr="08395937" w:rsidR="008A6A4B">
              <w:rPr>
                <w:rFonts w:ascii="Calibri" w:hAnsi="Calibri" w:eastAsia="Calibri" w:cs="Calibri"/>
                <w:sz w:val="18"/>
                <w:szCs w:val="18"/>
              </w:rPr>
              <w:t>and environments as well as meaningful encounters with the world of work. The pupils will experience careers fairs and skills workshops - through Black Country Consortium</w:t>
            </w:r>
            <w:r w:rsidRPr="08395937" w:rsidR="43B309F1">
              <w:rPr>
                <w:rFonts w:ascii="Calibri" w:hAnsi="Calibri" w:eastAsia="Calibri" w:cs="Calibri"/>
                <w:sz w:val="18"/>
                <w:szCs w:val="18"/>
              </w:rPr>
              <w:t xml:space="preserve"> </w:t>
            </w:r>
            <w:r w:rsidRPr="08395937" w:rsidR="7B4611DC">
              <w:rPr>
                <w:rFonts w:ascii="Calibri" w:hAnsi="Calibri" w:eastAsia="Calibri" w:cs="Calibri"/>
                <w:sz w:val="18"/>
                <w:szCs w:val="18"/>
              </w:rPr>
              <w:t>and</w:t>
            </w:r>
            <w:r w:rsidRPr="08395937" w:rsidR="008A6A4B">
              <w:rPr>
                <w:rFonts w:ascii="Calibri" w:hAnsi="Calibri" w:eastAsia="Calibri" w:cs="Calibri"/>
                <w:sz w:val="18"/>
                <w:szCs w:val="18"/>
              </w:rPr>
              <w:t xml:space="preserve"> the LA</w:t>
            </w:r>
            <w:r w:rsidRPr="08395937" w:rsidR="1DA01A0C">
              <w:rPr>
                <w:rFonts w:ascii="Calibri" w:hAnsi="Calibri" w:eastAsia="Calibri" w:cs="Calibri"/>
                <w:sz w:val="18"/>
                <w:szCs w:val="18"/>
              </w:rPr>
              <w:t xml:space="preserve"> initiatives</w:t>
            </w:r>
            <w:r w:rsidRPr="08395937" w:rsidR="4A6CFB8B">
              <w:rPr>
                <w:rFonts w:ascii="Calibri" w:hAnsi="Calibri" w:eastAsia="Calibri" w:cs="Calibri"/>
                <w:sz w:val="18"/>
                <w:szCs w:val="18"/>
              </w:rPr>
              <w:t>,</w:t>
            </w:r>
            <w:r w:rsidRPr="08395937" w:rsidR="1DA01A0C">
              <w:rPr>
                <w:rFonts w:ascii="Calibri" w:hAnsi="Calibri" w:eastAsia="Calibri" w:cs="Calibri"/>
                <w:sz w:val="18"/>
                <w:szCs w:val="18"/>
              </w:rPr>
              <w:t xml:space="preserve"> namely</w:t>
            </w:r>
            <w:r w:rsidRPr="08395937" w:rsidR="2D9867A3">
              <w:rPr>
                <w:rFonts w:ascii="Calibri" w:hAnsi="Calibri" w:eastAsia="Calibri" w:cs="Calibri"/>
                <w:sz w:val="18"/>
                <w:szCs w:val="18"/>
              </w:rPr>
              <w:t xml:space="preserve"> Work with Wolves</w:t>
            </w:r>
            <w:r w:rsidRPr="08395937" w:rsidR="0814C7E8">
              <w:rPr>
                <w:rFonts w:ascii="Calibri" w:hAnsi="Calibri" w:eastAsia="Calibri" w:cs="Calibri"/>
                <w:sz w:val="18"/>
                <w:szCs w:val="18"/>
              </w:rPr>
              <w:t xml:space="preserve"> and</w:t>
            </w:r>
            <w:r w:rsidRPr="08395937" w:rsidR="2D9867A3">
              <w:rPr>
                <w:rFonts w:ascii="Calibri" w:hAnsi="Calibri" w:eastAsia="Calibri" w:cs="Calibri"/>
                <w:sz w:val="18"/>
                <w:szCs w:val="18"/>
              </w:rPr>
              <w:t xml:space="preserve"> Work Pays</w:t>
            </w:r>
            <w:r w:rsidRPr="08395937" w:rsidR="62857439">
              <w:rPr>
                <w:rFonts w:ascii="Calibri" w:hAnsi="Calibri" w:eastAsia="Calibri" w:cs="Calibri"/>
                <w:sz w:val="18"/>
                <w:szCs w:val="18"/>
              </w:rPr>
              <w:t>.</w:t>
            </w:r>
          </w:p>
        </w:tc>
      </w:tr>
      <w:tr w:rsidR="00BB57DB" w:rsidTr="08395937" w14:paraId="4FAB9D7A" w14:textId="77777777">
        <w:tc>
          <w:tcPr>
            <w:tcW w:w="10910" w:type="dxa"/>
            <w:shd w:val="clear" w:color="auto" w:fill="112B43"/>
            <w:tcMar/>
          </w:tcPr>
          <w:p w:rsidRPr="00BB57DB" w:rsidR="00BB57DB" w:rsidP="08395937" w:rsidRDefault="00D17D21" w14:paraId="4E0C79DB" w14:textId="6D23BDF3">
            <w:pPr>
              <w:pStyle w:val="Normal"/>
              <w:bidi w:val="0"/>
              <w:spacing w:before="0" w:beforeAutospacing="off" w:after="0" w:afterAutospacing="off" w:line="259" w:lineRule="auto"/>
              <w:ind w:left="0" w:right="0"/>
              <w:jc w:val="left"/>
              <w:rPr>
                <w:b w:val="1"/>
                <w:bCs w:val="1"/>
                <w:lang w:val="en-US"/>
              </w:rPr>
            </w:pPr>
            <w:r w:rsidRPr="08395937" w:rsidR="00D17D21">
              <w:rPr>
                <w:b w:val="1"/>
                <w:bCs w:val="1"/>
                <w:lang w:val="en-US"/>
              </w:rPr>
              <w:t xml:space="preserve">Our Long-Term Plan </w:t>
            </w:r>
          </w:p>
        </w:tc>
      </w:tr>
      <w:tr w:rsidR="00BB57DB" w:rsidTr="08395937" w14:paraId="7660A939" w14:textId="77777777">
        <w:trPr>
          <w:trHeight w:val="1170"/>
        </w:trPr>
        <w:tc>
          <w:tcPr>
            <w:tcW w:w="10910" w:type="dxa"/>
            <w:tcMar/>
          </w:tcPr>
          <w:p w:rsidRPr="00241B10" w:rsidR="008A6A4B" w:rsidP="30467098" w:rsidRDefault="008A6A4B" w14:paraId="7E3B5DDD" w14:textId="5A0EE2D2">
            <w:pPr>
              <w:pStyle w:val="Normal"/>
              <w:rPr>
                <w:rFonts w:ascii="Calibri" w:hAnsi="Calibri" w:cs="Calibri"/>
                <w:sz w:val="18"/>
                <w:szCs w:val="18"/>
                <w:lang w:val="en-US"/>
              </w:rPr>
            </w:pPr>
            <w:r w:rsidRPr="30467098" w:rsidR="008A6A4B">
              <w:rPr>
                <w:rFonts w:ascii="Calibri" w:hAnsi="Calibri" w:cs="Calibri"/>
                <w:b w:val="1"/>
                <w:bCs w:val="1"/>
                <w:sz w:val="18"/>
                <w:szCs w:val="18"/>
                <w:lang w:val="en-US"/>
              </w:rPr>
              <w:t xml:space="preserve">Year 10 </w:t>
            </w:r>
            <w:r w:rsidRPr="30467098" w:rsidR="008A6A4B">
              <w:rPr>
                <w:rFonts w:ascii="Calibri" w:hAnsi="Calibri" w:cs="Calibri"/>
                <w:b w:val="1"/>
                <w:bCs w:val="1"/>
                <w:sz w:val="18"/>
                <w:szCs w:val="18"/>
                <w:lang w:val="en-US"/>
              </w:rPr>
              <w:t>–</w:t>
            </w:r>
            <w:r w:rsidRPr="30467098" w:rsidR="00F01150">
              <w:rPr>
                <w:rFonts w:ascii="Calibri" w:hAnsi="Calibri" w:cs="Calibri"/>
                <w:b w:val="1"/>
                <w:bCs w:val="1"/>
                <w:sz w:val="18"/>
                <w:szCs w:val="18"/>
                <w:lang w:val="en-US"/>
              </w:rPr>
              <w:t xml:space="preserve"> </w:t>
            </w:r>
            <w:r w:rsidRPr="30467098" w:rsidR="00F01150">
              <w:rPr>
                <w:rFonts w:ascii="Calibri" w:hAnsi="Calibri" w:cs="Calibri"/>
                <w:sz w:val="18"/>
                <w:szCs w:val="18"/>
                <w:lang w:val="en-US"/>
              </w:rPr>
              <w:t xml:space="preserve"> </w:t>
            </w:r>
            <w:r w:rsidRPr="30467098" w:rsidR="004B4B9D">
              <w:rPr>
                <w:rFonts w:ascii="Calibri" w:hAnsi="Calibri" w:cs="Calibri"/>
                <w:sz w:val="18"/>
                <w:szCs w:val="18"/>
                <w:lang w:val="en-US"/>
              </w:rPr>
              <w:t>Discreet</w:t>
            </w:r>
            <w:r w:rsidRPr="30467098" w:rsidR="004B4B9D">
              <w:rPr>
                <w:rFonts w:ascii="Calibri" w:hAnsi="Calibri" w:cs="Calibri"/>
                <w:sz w:val="18"/>
                <w:szCs w:val="18"/>
                <w:lang w:val="en-US"/>
              </w:rPr>
              <w:t xml:space="preserve"> lessons covering saving and managing money, employment and </w:t>
            </w:r>
            <w:r w:rsidRPr="30467098" w:rsidR="05DDD62E">
              <w:rPr>
                <w:rFonts w:ascii="Calibri" w:hAnsi="Calibri" w:cs="Calibri"/>
                <w:sz w:val="18"/>
                <w:szCs w:val="18"/>
                <w:lang w:val="en-US"/>
              </w:rPr>
              <w:t>monetary management</w:t>
            </w:r>
            <w:r w:rsidRPr="30467098" w:rsidR="004B4B9D">
              <w:rPr>
                <w:rFonts w:ascii="Calibri" w:hAnsi="Calibri" w:cs="Calibri"/>
                <w:sz w:val="18"/>
                <w:szCs w:val="18"/>
                <w:lang w:val="en-US"/>
              </w:rPr>
              <w:t xml:space="preserve">, employability skills, targeted </w:t>
            </w:r>
            <w:r w:rsidRPr="30467098" w:rsidR="005F62AA">
              <w:rPr>
                <w:rFonts w:ascii="Calibri" w:hAnsi="Calibri" w:cs="Calibri"/>
                <w:sz w:val="18"/>
                <w:szCs w:val="18"/>
                <w:lang w:val="en-US"/>
              </w:rPr>
              <w:t>advertising, exploring pay slips</w:t>
            </w:r>
            <w:r w:rsidRPr="30467098" w:rsidR="004B4B9D">
              <w:rPr>
                <w:rFonts w:ascii="Calibri" w:hAnsi="Calibri" w:cs="Calibri"/>
                <w:sz w:val="18"/>
                <w:szCs w:val="18"/>
                <w:lang w:val="en-US"/>
              </w:rPr>
              <w:t xml:space="preserve">, </w:t>
            </w:r>
            <w:r w:rsidRPr="30467098" w:rsidR="005F62AA">
              <w:rPr>
                <w:rFonts w:ascii="Calibri" w:hAnsi="Calibri" w:cs="Calibri"/>
                <w:sz w:val="18"/>
                <w:szCs w:val="18"/>
                <w:lang w:val="en-US"/>
              </w:rPr>
              <w:t>employment</w:t>
            </w:r>
            <w:r w:rsidRPr="30467098" w:rsidR="004B4B9D">
              <w:rPr>
                <w:rFonts w:ascii="Calibri" w:hAnsi="Calibri" w:cs="Calibri"/>
                <w:sz w:val="18"/>
                <w:szCs w:val="18"/>
                <w:lang w:val="en-US"/>
              </w:rPr>
              <w:t xml:space="preserve"> rights, consumer rights, </w:t>
            </w:r>
            <w:r w:rsidRPr="30467098" w:rsidR="5992103E">
              <w:rPr>
                <w:rFonts w:ascii="Calibri" w:hAnsi="Calibri" w:cs="Calibri"/>
                <w:sz w:val="18"/>
                <w:szCs w:val="18"/>
                <w:lang w:val="en-US"/>
              </w:rPr>
              <w:t>rights</w:t>
            </w:r>
            <w:r w:rsidRPr="30467098" w:rsidR="004B4B9D">
              <w:rPr>
                <w:rFonts w:ascii="Calibri" w:hAnsi="Calibri" w:cs="Calibri"/>
                <w:sz w:val="18"/>
                <w:szCs w:val="18"/>
                <w:lang w:val="en-US"/>
              </w:rPr>
              <w:t xml:space="preserve"> and </w:t>
            </w:r>
            <w:r w:rsidRPr="30467098" w:rsidR="005F62AA">
              <w:rPr>
                <w:rFonts w:ascii="Calibri" w:hAnsi="Calibri" w:cs="Calibri"/>
                <w:sz w:val="18"/>
                <w:szCs w:val="18"/>
                <w:lang w:val="en-US"/>
              </w:rPr>
              <w:t>responsibilities</w:t>
            </w:r>
            <w:r w:rsidRPr="30467098" w:rsidR="004B4B9D">
              <w:rPr>
                <w:rFonts w:ascii="Calibri" w:hAnsi="Calibri" w:cs="Calibri"/>
                <w:sz w:val="18"/>
                <w:szCs w:val="18"/>
                <w:lang w:val="en-US"/>
              </w:rPr>
              <w:t>, what is an entrepreneur, types of employment and paperwork, banks and money, role of trade unions.</w:t>
            </w:r>
            <w:r w:rsidRPr="30467098" w:rsidR="2ED87E28">
              <w:rPr>
                <w:rFonts w:ascii="Calibri" w:hAnsi="Calibri" w:cs="Calibri"/>
                <w:sz w:val="18"/>
                <w:szCs w:val="18"/>
                <w:lang w:val="en-US"/>
              </w:rPr>
              <w:t xml:space="preserve"> Prisons for the Future project.</w:t>
            </w:r>
            <w:r w:rsidRPr="30467098" w:rsidR="004B4B9D">
              <w:rPr>
                <w:rFonts w:ascii="Calibri" w:hAnsi="Calibri" w:cs="Calibri"/>
                <w:b w:val="1"/>
                <w:bCs w:val="1"/>
                <w:sz w:val="18"/>
                <w:szCs w:val="18"/>
                <w:lang w:val="en-US"/>
              </w:rPr>
              <w:t xml:space="preserve"> </w:t>
            </w:r>
          </w:p>
          <w:p w:rsidRPr="00241B10" w:rsidR="00BB57DB" w:rsidP="30467098" w:rsidRDefault="008A6A4B" w14:paraId="05C51FC6" w14:textId="46A02180">
            <w:pPr>
              <w:pStyle w:val="Normal"/>
              <w:rPr>
                <w:rFonts w:ascii="Calibri" w:hAnsi="Calibri" w:cs="Calibri"/>
                <w:sz w:val="18"/>
                <w:szCs w:val="18"/>
                <w:lang w:val="en-US"/>
              </w:rPr>
            </w:pPr>
            <w:r w:rsidRPr="30467098" w:rsidR="008A6A4B">
              <w:rPr>
                <w:rFonts w:ascii="Calibri" w:hAnsi="Calibri" w:cs="Calibri"/>
                <w:b w:val="1"/>
                <w:bCs w:val="1"/>
                <w:sz w:val="18"/>
                <w:szCs w:val="18"/>
                <w:lang w:val="en-US"/>
              </w:rPr>
              <w:t xml:space="preserve">Year 11 </w:t>
            </w:r>
            <w:r w:rsidRPr="30467098" w:rsidR="7F773FC9">
              <w:rPr>
                <w:rFonts w:ascii="Calibri" w:hAnsi="Calibri" w:cs="Calibri"/>
                <w:b w:val="1"/>
                <w:bCs w:val="1"/>
                <w:sz w:val="18"/>
                <w:szCs w:val="18"/>
                <w:lang w:val="en-US"/>
              </w:rPr>
              <w:t xml:space="preserve">- </w:t>
            </w:r>
            <w:r w:rsidRPr="30467098" w:rsidR="7F773FC9">
              <w:rPr>
                <w:rFonts w:ascii="Calibri" w:hAnsi="Calibri" w:cs="Calibri"/>
                <w:b w:val="0"/>
                <w:bCs w:val="0"/>
                <w:sz w:val="18"/>
                <w:szCs w:val="18"/>
                <w:lang w:val="en-US"/>
              </w:rPr>
              <w:t>Discreet</w:t>
            </w:r>
            <w:r w:rsidRPr="30467098" w:rsidR="004B4B9D">
              <w:rPr>
                <w:rFonts w:ascii="Calibri" w:hAnsi="Calibri" w:cs="Calibri"/>
                <w:sz w:val="18"/>
                <w:szCs w:val="18"/>
                <w:lang w:val="en-US"/>
              </w:rPr>
              <w:t xml:space="preserve"> Lessons covering </w:t>
            </w:r>
            <w:r w:rsidRPr="30467098" w:rsidR="0912F3E8">
              <w:rPr>
                <w:rFonts w:ascii="Calibri" w:hAnsi="Calibri" w:cs="Calibri"/>
                <w:sz w:val="18"/>
                <w:szCs w:val="18"/>
                <w:lang w:val="en-US"/>
              </w:rPr>
              <w:t>post-16</w:t>
            </w:r>
            <w:r w:rsidRPr="30467098" w:rsidR="004B4B9D">
              <w:rPr>
                <w:rFonts w:ascii="Calibri" w:hAnsi="Calibri" w:cs="Calibri"/>
                <w:sz w:val="18"/>
                <w:szCs w:val="18"/>
                <w:lang w:val="en-US"/>
              </w:rPr>
              <w:t xml:space="preserve"> options, planning for </w:t>
            </w:r>
            <w:r w:rsidRPr="30467098" w:rsidR="005F62AA">
              <w:rPr>
                <w:rFonts w:ascii="Calibri" w:hAnsi="Calibri" w:cs="Calibri"/>
                <w:sz w:val="18"/>
                <w:szCs w:val="18"/>
                <w:lang w:val="en-US"/>
              </w:rPr>
              <w:t>future</w:t>
            </w:r>
            <w:r w:rsidRPr="30467098" w:rsidR="004B4B9D">
              <w:rPr>
                <w:rFonts w:ascii="Calibri" w:hAnsi="Calibri" w:cs="Calibri"/>
                <w:sz w:val="18"/>
                <w:szCs w:val="18"/>
                <w:lang w:val="en-US"/>
              </w:rPr>
              <w:t>, personal branding, interview preparation, time management, stress manage</w:t>
            </w:r>
            <w:r w:rsidRPr="30467098" w:rsidR="00241B10">
              <w:rPr>
                <w:rFonts w:ascii="Calibri" w:hAnsi="Calibri" w:cs="Calibri"/>
                <w:sz w:val="18"/>
                <w:szCs w:val="18"/>
                <w:lang w:val="en-US"/>
              </w:rPr>
              <w:t>ment, resilience and growing up.</w:t>
            </w:r>
            <w:r w:rsidRPr="30467098" w:rsidR="23D4B1C3">
              <w:rPr>
                <w:rFonts w:ascii="Calibri" w:hAnsi="Calibri" w:cs="Calibri"/>
                <w:sz w:val="18"/>
                <w:szCs w:val="18"/>
                <w:lang w:val="en-US"/>
              </w:rPr>
              <w:t xml:space="preserve"> New Reality TV show project.</w:t>
            </w:r>
          </w:p>
        </w:tc>
      </w:tr>
      <w:tr w:rsidR="00BB7DAA" w:rsidTr="08395937" w14:paraId="6C5FAF93" w14:textId="77777777">
        <w:tc>
          <w:tcPr>
            <w:tcW w:w="10910" w:type="dxa"/>
            <w:shd w:val="clear" w:color="auto" w:fill="112B43"/>
            <w:tcMar/>
          </w:tcPr>
          <w:p w:rsidRPr="005267A0" w:rsidR="00BB7DAA" w:rsidP="2BDD03C4" w:rsidRDefault="00BB7DAA" w14:paraId="36D389F1" w14:textId="6B45913B">
            <w:pPr>
              <w:rPr>
                <w:rFonts w:ascii="Calibri" w:hAnsi="Calibri" w:cs="Calibri"/>
                <w:b/>
                <w:bCs/>
                <w:sz w:val="20"/>
                <w:szCs w:val="20"/>
                <w:lang w:val="en-US"/>
              </w:rPr>
            </w:pPr>
            <w:r w:rsidRPr="005267A0">
              <w:rPr>
                <w:rFonts w:ascii="Calibri" w:hAnsi="Calibri" w:cs="Calibri"/>
                <w:b/>
                <w:bCs/>
                <w:sz w:val="20"/>
                <w:szCs w:val="20"/>
                <w:lang w:val="en-US"/>
              </w:rPr>
              <w:t xml:space="preserve">Assessment Opportunities </w:t>
            </w:r>
          </w:p>
        </w:tc>
      </w:tr>
      <w:tr w:rsidR="00BB7DAA" w:rsidTr="08395937" w14:paraId="01AF56C1" w14:textId="77777777">
        <w:tc>
          <w:tcPr>
            <w:tcW w:w="10910" w:type="dxa"/>
            <w:tcMar/>
          </w:tcPr>
          <w:p w:rsidRPr="00241B10" w:rsidR="00BB7DAA" w:rsidP="2BDD03C4" w:rsidRDefault="00241B10" w14:paraId="74A89028" w14:textId="4EFEF747">
            <w:pPr>
              <w:rPr>
                <w:rFonts w:ascii="Calibri" w:hAnsi="Calibri" w:cs="Calibri"/>
                <w:sz w:val="18"/>
                <w:szCs w:val="18"/>
                <w:lang w:val="en-US"/>
              </w:rPr>
            </w:pPr>
            <w:r w:rsidRPr="08395937" w:rsidR="00241B10">
              <w:rPr>
                <w:rFonts w:ascii="Calibri" w:hAnsi="Calibri" w:cs="Calibri"/>
                <w:sz w:val="18"/>
                <w:szCs w:val="18"/>
                <w:lang w:val="en-US"/>
              </w:rPr>
              <w:t xml:space="preserve">There </w:t>
            </w:r>
            <w:r w:rsidRPr="08395937" w:rsidR="6AE1C167">
              <w:rPr>
                <w:rFonts w:ascii="Calibri" w:hAnsi="Calibri" w:cs="Calibri"/>
                <w:sz w:val="18"/>
                <w:szCs w:val="18"/>
                <w:lang w:val="en-US"/>
              </w:rPr>
              <w:t>are</w:t>
            </w:r>
            <w:r w:rsidRPr="08395937" w:rsidR="00241B10">
              <w:rPr>
                <w:rFonts w:ascii="Calibri" w:hAnsi="Calibri" w:cs="Calibri"/>
                <w:sz w:val="18"/>
                <w:szCs w:val="18"/>
                <w:lang w:val="en-US"/>
              </w:rPr>
              <w:t xml:space="preserve"> no National Curriculum grade boundaries or levels for careers. Students self-assess at the end of every topic to </w:t>
            </w:r>
            <w:r w:rsidRPr="08395937" w:rsidR="00241B10">
              <w:rPr>
                <w:rFonts w:ascii="Calibri" w:hAnsi="Calibri" w:cs="Calibri"/>
                <w:sz w:val="18"/>
                <w:szCs w:val="18"/>
                <w:lang w:val="en-US"/>
              </w:rPr>
              <w:t>monitor</w:t>
            </w:r>
            <w:r w:rsidRPr="08395937" w:rsidR="00241B10">
              <w:rPr>
                <w:rFonts w:ascii="Calibri" w:hAnsi="Calibri" w:cs="Calibri"/>
                <w:sz w:val="18"/>
                <w:szCs w:val="18"/>
                <w:lang w:val="en-US"/>
              </w:rPr>
              <w:t xml:space="preserve"> progression. Formative assessment questioning is also provided at the end of each topic. </w:t>
            </w:r>
            <w:r w:rsidRPr="08395937" w:rsidR="005267A0">
              <w:rPr>
                <w:rFonts w:ascii="Calibri" w:hAnsi="Calibri" w:cs="Calibri"/>
                <w:sz w:val="18"/>
                <w:szCs w:val="18"/>
                <w:lang w:val="en-US"/>
              </w:rPr>
              <w:t xml:space="preserve"> </w:t>
            </w:r>
            <w:r w:rsidRPr="08395937" w:rsidR="7A11DD4B">
              <w:rPr>
                <w:rFonts w:ascii="Calibri" w:hAnsi="Calibri" w:cs="Calibri"/>
                <w:sz w:val="18"/>
                <w:szCs w:val="18"/>
                <w:lang w:val="en-US"/>
              </w:rPr>
              <w:t xml:space="preserve">Their </w:t>
            </w:r>
            <w:r w:rsidRPr="08395937" w:rsidR="0FBF54C0">
              <w:rPr>
                <w:rFonts w:ascii="Calibri" w:hAnsi="Calibri" w:cs="Calibri"/>
                <w:sz w:val="18"/>
                <w:szCs w:val="18"/>
                <w:lang w:val="en-US"/>
              </w:rPr>
              <w:t xml:space="preserve">progression and performance </w:t>
            </w:r>
            <w:r w:rsidRPr="08395937" w:rsidR="1F347E0B">
              <w:rPr>
                <w:rFonts w:ascii="Calibri" w:hAnsi="Calibri" w:cs="Calibri"/>
                <w:sz w:val="18"/>
                <w:szCs w:val="18"/>
                <w:lang w:val="en-US"/>
              </w:rPr>
              <w:t>are</w:t>
            </w:r>
            <w:r w:rsidRPr="08395937" w:rsidR="0FBF54C0">
              <w:rPr>
                <w:rFonts w:ascii="Calibri" w:hAnsi="Calibri" w:cs="Calibri"/>
                <w:sz w:val="18"/>
                <w:szCs w:val="18"/>
                <w:lang w:val="en-US"/>
              </w:rPr>
              <w:t xml:space="preserve"> </w:t>
            </w:r>
            <w:r w:rsidRPr="08395937" w:rsidR="317F8136">
              <w:rPr>
                <w:rFonts w:ascii="Calibri" w:hAnsi="Calibri" w:cs="Calibri"/>
                <w:sz w:val="18"/>
                <w:szCs w:val="18"/>
                <w:lang w:val="en-US"/>
              </w:rPr>
              <w:t>m</w:t>
            </w:r>
            <w:r w:rsidRPr="08395937" w:rsidR="163D0964">
              <w:rPr>
                <w:rFonts w:ascii="Calibri" w:hAnsi="Calibri" w:cs="Calibri"/>
                <w:sz w:val="18"/>
                <w:szCs w:val="18"/>
                <w:lang w:val="en-US"/>
              </w:rPr>
              <w:t xml:space="preserve">easured against </w:t>
            </w:r>
            <w:r w:rsidRPr="08395937" w:rsidR="7A11DD4B">
              <w:rPr>
                <w:rFonts w:ascii="Calibri" w:hAnsi="Calibri" w:cs="Calibri"/>
                <w:sz w:val="18"/>
                <w:szCs w:val="18"/>
                <w:lang w:val="en-US"/>
              </w:rPr>
              <w:t xml:space="preserve">the 8 Gatsby Benchmarks </w:t>
            </w:r>
            <w:r w:rsidRPr="08395937" w:rsidR="6EFCA03E">
              <w:rPr>
                <w:rFonts w:ascii="Calibri" w:hAnsi="Calibri" w:cs="Calibri"/>
                <w:sz w:val="18"/>
                <w:szCs w:val="18"/>
                <w:lang w:val="en-US"/>
              </w:rPr>
              <w:t>m</w:t>
            </w:r>
            <w:r w:rsidRPr="08395937" w:rsidR="247191EF">
              <w:rPr>
                <w:rFonts w:ascii="Calibri" w:hAnsi="Calibri" w:cs="Calibri"/>
                <w:sz w:val="18"/>
                <w:szCs w:val="18"/>
                <w:lang w:val="en-US"/>
              </w:rPr>
              <w:t>onitored</w:t>
            </w:r>
            <w:r w:rsidRPr="08395937" w:rsidR="247191EF">
              <w:rPr>
                <w:rFonts w:ascii="Calibri" w:hAnsi="Calibri" w:cs="Calibri"/>
                <w:sz w:val="18"/>
                <w:szCs w:val="18"/>
                <w:lang w:val="en-US"/>
              </w:rPr>
              <w:t xml:space="preserve"> and evaluated</w:t>
            </w:r>
            <w:r w:rsidRPr="08395937" w:rsidR="6EFCA03E">
              <w:rPr>
                <w:rFonts w:ascii="Calibri" w:hAnsi="Calibri" w:cs="Calibri"/>
                <w:sz w:val="18"/>
                <w:szCs w:val="18"/>
                <w:lang w:val="en-US"/>
              </w:rPr>
              <w:t xml:space="preserve"> </w:t>
            </w:r>
            <w:r w:rsidRPr="08395937" w:rsidR="7A11DD4B">
              <w:rPr>
                <w:rFonts w:ascii="Calibri" w:hAnsi="Calibri" w:cs="Calibri"/>
                <w:sz w:val="18"/>
                <w:szCs w:val="18"/>
                <w:lang w:val="en-US"/>
              </w:rPr>
              <w:t>on the Compass</w:t>
            </w:r>
            <w:r w:rsidRPr="08395937" w:rsidR="67E67E63">
              <w:rPr>
                <w:rFonts w:ascii="Calibri" w:hAnsi="Calibri" w:cs="Calibri"/>
                <w:sz w:val="18"/>
                <w:szCs w:val="18"/>
                <w:lang w:val="en-US"/>
              </w:rPr>
              <w:t>+ Platform.</w:t>
            </w:r>
          </w:p>
        </w:tc>
      </w:tr>
    </w:tbl>
    <w:tbl>
      <w:tblPr>
        <w:tblStyle w:val="TableGrid"/>
        <w:tblW w:w="10910" w:type="dxa"/>
        <w:tblLook w:val="04A0" w:firstRow="1" w:lastRow="0" w:firstColumn="1" w:lastColumn="0" w:noHBand="0" w:noVBand="1"/>
      </w:tblPr>
      <w:tblGrid>
        <w:gridCol w:w="2122"/>
        <w:gridCol w:w="8788"/>
      </w:tblGrid>
      <w:tr w:rsidR="00F643EF" w:rsidTr="08395937" w14:paraId="1D4BBEDE" w14:textId="74B487C1">
        <w:tc>
          <w:tcPr>
            <w:tcW w:w="10910" w:type="dxa"/>
            <w:gridSpan w:val="2"/>
            <w:shd w:val="clear" w:color="auto" w:fill="112B43"/>
            <w:tcMar/>
          </w:tcPr>
          <w:p w:rsidRPr="00BB57DB" w:rsidR="00F643EF" w:rsidP="08395937" w:rsidRDefault="00991F99" w14:paraId="4CC8FC7C" w14:textId="1BA54834">
            <w:pPr>
              <w:pStyle w:val="Normal"/>
              <w:bidi w:val="0"/>
              <w:spacing w:before="0" w:beforeAutospacing="off" w:after="0" w:afterAutospacing="off" w:line="259" w:lineRule="auto"/>
              <w:ind w:left="0" w:right="0"/>
              <w:jc w:val="center"/>
              <w:rPr>
                <w:rFonts w:ascii="Calibri" w:hAnsi="Calibri" w:cs="Calibri"/>
                <w:b w:val="1"/>
                <w:bCs w:val="1"/>
                <w:sz w:val="20"/>
                <w:szCs w:val="20"/>
                <w:lang w:val="en-US"/>
              </w:rPr>
            </w:pPr>
            <w:r w:rsidRPr="08395937" w:rsidR="6A41310C">
              <w:rPr>
                <w:rFonts w:ascii="Calibri" w:hAnsi="Calibri" w:cs="Calibri"/>
                <w:b w:val="1"/>
                <w:bCs w:val="1"/>
                <w:sz w:val="20"/>
                <w:szCs w:val="20"/>
                <w:lang w:val="en-US"/>
              </w:rPr>
              <w:t xml:space="preserve">Pine Green Curriculum </w:t>
            </w:r>
          </w:p>
        </w:tc>
      </w:tr>
      <w:tr w:rsidR="00D17D21" w:rsidTr="08395937" w14:paraId="24CB9D31" w14:textId="558B072C">
        <w:tc>
          <w:tcPr>
            <w:tcW w:w="2122" w:type="dxa"/>
            <w:shd w:val="clear" w:color="auto" w:fill="112B43"/>
            <w:tcMar/>
          </w:tcPr>
          <w:p w:rsidRPr="00BB57DB" w:rsidR="00D17D21" w:rsidP="08395937" w:rsidRDefault="00991F99" w14:paraId="72A1BA1D" w14:textId="3F2DA3DA">
            <w:pPr>
              <w:jc w:val="left"/>
              <w:rPr>
                <w:b w:val="1"/>
                <w:bCs w:val="1"/>
                <w:lang w:val="en-US"/>
              </w:rPr>
            </w:pPr>
            <w:r w:rsidRPr="08395937" w:rsidR="6A41310C">
              <w:rPr>
                <w:b w:val="1"/>
                <w:bCs w:val="1"/>
                <w:lang w:val="en-US"/>
              </w:rPr>
              <w:t xml:space="preserve">Our Curriculum </w:t>
            </w:r>
          </w:p>
        </w:tc>
        <w:tc>
          <w:tcPr>
            <w:tcW w:w="8788" w:type="dxa"/>
            <w:shd w:val="clear" w:color="auto" w:fill="112B43"/>
            <w:tcMar/>
          </w:tcPr>
          <w:p w:rsidRPr="000A2587" w:rsidR="00D17D21" w:rsidP="08395937" w:rsidRDefault="00991F99" w14:paraId="519F12ED" w14:textId="7146BC14">
            <w:pPr>
              <w:jc w:val="left"/>
              <w:rPr>
                <w:b w:val="1"/>
                <w:bCs w:val="1"/>
                <w:color w:val="FFFFFF" w:themeColor="background1"/>
                <w:lang w:val="en-US"/>
              </w:rPr>
            </w:pPr>
            <w:r w:rsidRPr="08395937" w:rsidR="6A41310C">
              <w:rPr>
                <w:b w:val="1"/>
                <w:bCs w:val="1"/>
                <w:color w:val="FFFFFF" w:themeColor="background1" w:themeTint="FF" w:themeShade="FF"/>
                <w:lang w:val="en-US"/>
              </w:rPr>
              <w:t xml:space="preserve">Department Opportunities </w:t>
            </w:r>
          </w:p>
        </w:tc>
      </w:tr>
      <w:tr w:rsidR="00D17D21" w:rsidTr="08395937" w14:paraId="51A5431F" w14:textId="77777777">
        <w:tc>
          <w:tcPr>
            <w:tcW w:w="2122" w:type="dxa"/>
            <w:shd w:val="clear" w:color="auto" w:fill="auto"/>
            <w:tcMar/>
          </w:tcPr>
          <w:p w:rsidRPr="00800A7F" w:rsidR="00D17D21" w:rsidP="0014119E" w:rsidRDefault="00D17D21" w14:paraId="401E238A" w14:textId="34AA4734">
            <w:pPr>
              <w:rPr>
                <w:b/>
                <w:bCs/>
                <w:sz w:val="18"/>
                <w:szCs w:val="19"/>
                <w:lang w:val="en-US"/>
              </w:rPr>
            </w:pPr>
            <w:r w:rsidRPr="00800A7F">
              <w:rPr>
                <w:b/>
                <w:bCs/>
                <w:sz w:val="18"/>
                <w:szCs w:val="19"/>
                <w:lang w:val="en-US"/>
              </w:rPr>
              <w:t>Confidence, Independence &amp; Resilience</w:t>
            </w:r>
          </w:p>
        </w:tc>
        <w:tc>
          <w:tcPr>
            <w:tcW w:w="8788" w:type="dxa"/>
            <w:shd w:val="clear" w:color="auto" w:fill="auto"/>
            <w:tcMar/>
          </w:tcPr>
          <w:p w:rsidRPr="00800A7F" w:rsidR="00D17D21" w:rsidP="08395937" w:rsidRDefault="00FF3D2A" w14:paraId="234CBAC1" w14:textId="27372A0E">
            <w:pPr>
              <w:rPr>
                <w:rFonts w:eastAsia="" w:eastAsiaTheme="minorEastAsia"/>
                <w:color w:val="000000" w:themeColor="text1"/>
                <w:sz w:val="18"/>
                <w:szCs w:val="18"/>
                <w:lang w:val="en-US"/>
              </w:rPr>
            </w:pPr>
            <w:r w:rsidRPr="08395937" w:rsidR="738B8F9E">
              <w:rPr>
                <w:rFonts w:eastAsia="" w:eastAsiaTheme="minorEastAsia"/>
                <w:color w:val="000000" w:themeColor="text1" w:themeTint="FF" w:themeShade="FF"/>
                <w:sz w:val="18"/>
                <w:szCs w:val="18"/>
                <w:lang w:val="en-US"/>
              </w:rPr>
              <w:t xml:space="preserve">Students cover a wide range of different topics to build a number of skills to help </w:t>
            </w:r>
            <w:r w:rsidRPr="08395937" w:rsidR="151469EE">
              <w:rPr>
                <w:rFonts w:eastAsia="" w:eastAsiaTheme="minorEastAsia"/>
                <w:color w:val="000000" w:themeColor="text1" w:themeTint="FF" w:themeShade="FF"/>
                <w:sz w:val="18"/>
                <w:szCs w:val="18"/>
                <w:lang w:val="en-US"/>
              </w:rPr>
              <w:t>foster</w:t>
            </w:r>
            <w:r w:rsidRPr="08395937" w:rsidR="738B8F9E">
              <w:rPr>
                <w:rFonts w:eastAsia="" w:eastAsiaTheme="minorEastAsia"/>
                <w:color w:val="000000" w:themeColor="text1" w:themeTint="FF" w:themeShade="FF"/>
                <w:sz w:val="18"/>
                <w:szCs w:val="18"/>
                <w:lang w:val="en-US"/>
              </w:rPr>
              <w:t xml:space="preserve"> confidence in themselves and their abilities.</w:t>
            </w:r>
            <w:r w:rsidRPr="08395937" w:rsidR="738B8F9E">
              <w:rPr>
                <w:rFonts w:eastAsia="" w:eastAsiaTheme="minorEastAsia"/>
                <w:color w:val="000000" w:themeColor="text1" w:themeTint="FF" w:themeShade="FF"/>
                <w:sz w:val="18"/>
                <w:szCs w:val="18"/>
                <w:lang w:val="en-US"/>
              </w:rPr>
              <w:t xml:space="preserve"> Lessons involve a lot of group discussions, </w:t>
            </w:r>
            <w:r w:rsidRPr="08395937" w:rsidR="151469EE">
              <w:rPr>
                <w:rFonts w:eastAsia="" w:eastAsiaTheme="minorEastAsia"/>
                <w:color w:val="000000" w:themeColor="text1" w:themeTint="FF" w:themeShade="FF"/>
                <w:sz w:val="18"/>
                <w:szCs w:val="18"/>
                <w:lang w:val="en-US"/>
              </w:rPr>
              <w:t xml:space="preserve">multimedia, written work, brainstorming sessions, </w:t>
            </w:r>
            <w:r w:rsidRPr="08395937" w:rsidR="151469EE">
              <w:rPr>
                <w:rFonts w:eastAsia="" w:eastAsiaTheme="minorEastAsia"/>
                <w:color w:val="000000" w:themeColor="text1" w:themeTint="FF" w:themeShade="FF"/>
                <w:sz w:val="18"/>
                <w:szCs w:val="18"/>
                <w:lang w:val="en-US"/>
              </w:rPr>
              <w:t>quizzes</w:t>
            </w:r>
            <w:r w:rsidRPr="08395937" w:rsidR="151469EE">
              <w:rPr>
                <w:rFonts w:eastAsia="" w:eastAsiaTheme="minorEastAsia"/>
                <w:color w:val="000000" w:themeColor="text1" w:themeTint="FF" w:themeShade="FF"/>
                <w:sz w:val="18"/>
                <w:szCs w:val="18"/>
                <w:lang w:val="en-US"/>
              </w:rPr>
              <w:t xml:space="preserve"> and </w:t>
            </w:r>
            <w:r w:rsidRPr="08395937" w:rsidR="6315B876">
              <w:rPr>
                <w:rFonts w:eastAsia="" w:eastAsiaTheme="minorEastAsia"/>
                <w:color w:val="000000" w:themeColor="text1" w:themeTint="FF" w:themeShade="FF"/>
                <w:sz w:val="18"/>
                <w:szCs w:val="18"/>
                <w:lang w:val="en-US"/>
              </w:rPr>
              <w:t>theory,</w:t>
            </w:r>
            <w:r w:rsidRPr="08395937" w:rsidR="151469EE">
              <w:rPr>
                <w:rFonts w:eastAsia="" w:eastAsiaTheme="minorEastAsia"/>
                <w:color w:val="000000" w:themeColor="text1" w:themeTint="FF" w:themeShade="FF"/>
                <w:sz w:val="18"/>
                <w:szCs w:val="18"/>
                <w:lang w:val="en-US"/>
              </w:rPr>
              <w:t xml:space="preserve"> giving the students a very rounded </w:t>
            </w:r>
            <w:r w:rsidRPr="08395937" w:rsidR="151469EE">
              <w:rPr>
                <w:rFonts w:eastAsia="" w:eastAsiaTheme="minorEastAsia"/>
                <w:color w:val="000000" w:themeColor="text1" w:themeTint="FF" w:themeShade="FF"/>
                <w:sz w:val="18"/>
                <w:szCs w:val="18"/>
                <w:lang w:val="en-US"/>
              </w:rPr>
              <w:t>careers</w:t>
            </w:r>
            <w:r w:rsidRPr="08395937" w:rsidR="151469EE">
              <w:rPr>
                <w:rFonts w:eastAsia="" w:eastAsiaTheme="minorEastAsia"/>
                <w:color w:val="000000" w:themeColor="text1" w:themeTint="FF" w:themeShade="FF"/>
                <w:sz w:val="18"/>
                <w:szCs w:val="18"/>
                <w:lang w:val="en-US"/>
              </w:rPr>
              <w:t xml:space="preserve"> education. </w:t>
            </w:r>
          </w:p>
        </w:tc>
      </w:tr>
      <w:tr w:rsidR="00D17D21" w:rsidTr="08395937" w14:paraId="1A6FD625" w14:textId="5EA5F62C">
        <w:tc>
          <w:tcPr>
            <w:tcW w:w="2122" w:type="dxa"/>
            <w:shd w:val="clear" w:color="auto" w:fill="auto"/>
            <w:tcMar/>
          </w:tcPr>
          <w:p w:rsidRPr="00800A7F" w:rsidR="00D17D21" w:rsidP="0014119E" w:rsidRDefault="00D17D21" w14:paraId="632D26BB" w14:textId="7FD1DAE5">
            <w:pPr>
              <w:rPr>
                <w:b/>
                <w:bCs/>
                <w:sz w:val="18"/>
                <w:szCs w:val="19"/>
                <w:lang w:val="en-US"/>
              </w:rPr>
            </w:pPr>
            <w:r w:rsidRPr="00800A7F">
              <w:rPr>
                <w:b/>
                <w:bCs/>
                <w:sz w:val="18"/>
                <w:szCs w:val="19"/>
                <w:lang w:val="en-US"/>
              </w:rPr>
              <w:t xml:space="preserve">Be Kind: Empathy &amp; Compassion whilst valuing diversity </w:t>
            </w:r>
          </w:p>
        </w:tc>
        <w:tc>
          <w:tcPr>
            <w:tcW w:w="8788" w:type="dxa"/>
            <w:shd w:val="clear" w:color="auto" w:fill="auto"/>
            <w:tcMar/>
          </w:tcPr>
          <w:p w:rsidRPr="00800A7F" w:rsidR="00D17D21" w:rsidP="0014119E" w:rsidRDefault="00800A7F" w14:paraId="1FE1DB4A" w14:textId="4E47EEFF">
            <w:pPr>
              <w:rPr>
                <w:rFonts w:ascii="Calibri" w:hAnsi="Calibri" w:eastAsia="Calibri" w:cs="Calibri"/>
                <w:color w:val="000000" w:themeColor="text1"/>
                <w:sz w:val="18"/>
                <w:szCs w:val="19"/>
                <w:lang w:val="en-US"/>
              </w:rPr>
            </w:pPr>
            <w:r w:rsidRPr="00800A7F">
              <w:rPr>
                <w:rFonts w:ascii="Calibri" w:hAnsi="Calibri" w:eastAsia="Calibri" w:cs="Calibri"/>
                <w:color w:val="000000" w:themeColor="text1"/>
                <w:sz w:val="18"/>
                <w:szCs w:val="19"/>
                <w:lang w:val="en-US"/>
              </w:rPr>
              <w:t xml:space="preserve">There are a number of topics woven into the careers curriculum which address these issues directly. These include, but are not limited to, </w:t>
            </w:r>
            <w:r w:rsidRPr="00800A7F">
              <w:rPr>
                <w:rFonts w:ascii="Calibri" w:hAnsi="Calibri" w:eastAsia="Calibri" w:cs="Calibri"/>
                <w:i/>
                <w:color w:val="000000" w:themeColor="text1"/>
                <w:sz w:val="18"/>
                <w:szCs w:val="19"/>
                <w:lang w:val="en-US"/>
              </w:rPr>
              <w:t>Diversity and Inclusion; Importance of Happiness, Prejudice and Discrimination, Breaking Down Stereotypes in Society.</w:t>
            </w:r>
            <w:r w:rsidRPr="00800A7F">
              <w:rPr>
                <w:rFonts w:ascii="Calibri" w:hAnsi="Calibri" w:eastAsia="Calibri" w:cs="Calibri"/>
                <w:color w:val="000000" w:themeColor="text1"/>
                <w:sz w:val="18"/>
                <w:szCs w:val="19"/>
                <w:lang w:val="en-US"/>
              </w:rPr>
              <w:t xml:space="preserve">  </w:t>
            </w:r>
          </w:p>
        </w:tc>
      </w:tr>
      <w:tr w:rsidR="00D17D21" w:rsidTr="08395937" w14:paraId="5CD61CC4" w14:textId="36A66F8A">
        <w:trPr>
          <w:trHeight w:val="410"/>
        </w:trPr>
        <w:tc>
          <w:tcPr>
            <w:tcW w:w="2122" w:type="dxa"/>
            <w:shd w:val="clear" w:color="auto" w:fill="auto"/>
            <w:tcMar/>
          </w:tcPr>
          <w:p w:rsidRPr="00800A7F" w:rsidR="00D17D21" w:rsidP="0014119E" w:rsidRDefault="00D17D21" w14:paraId="16FBA6C2" w14:textId="7C30E223">
            <w:pPr>
              <w:rPr>
                <w:b/>
                <w:bCs/>
                <w:sz w:val="18"/>
                <w:szCs w:val="19"/>
                <w:lang w:val="en-US"/>
              </w:rPr>
            </w:pPr>
            <w:r w:rsidRPr="00800A7F">
              <w:rPr>
                <w:b/>
                <w:bCs/>
                <w:sz w:val="18"/>
                <w:szCs w:val="19"/>
                <w:lang w:val="en-US"/>
              </w:rPr>
              <w:t>Cultural Awareness</w:t>
            </w:r>
          </w:p>
        </w:tc>
        <w:tc>
          <w:tcPr>
            <w:tcW w:w="8788" w:type="dxa"/>
            <w:shd w:val="clear" w:color="auto" w:fill="auto"/>
            <w:tcMar/>
          </w:tcPr>
          <w:p w:rsidRPr="00FF3D2A" w:rsidR="00D17D21" w:rsidP="0014119E" w:rsidRDefault="00FF3D2A" w14:paraId="2A11C9D1" w14:textId="6BF3EDDC">
            <w:pPr>
              <w:rPr>
                <w:rFonts w:ascii="Calibri" w:hAnsi="Calibri" w:eastAsia="Calibri" w:cs="Calibri"/>
                <w:i/>
                <w:color w:val="000000" w:themeColor="text1"/>
                <w:sz w:val="18"/>
                <w:szCs w:val="18"/>
                <w:lang w:val="en-US"/>
              </w:rPr>
            </w:pPr>
            <w:r w:rsidRPr="00800A7F">
              <w:rPr>
                <w:rFonts w:ascii="Calibri" w:hAnsi="Calibri" w:eastAsia="Calibri" w:cs="Calibri"/>
                <w:color w:val="000000" w:themeColor="text1"/>
                <w:sz w:val="18"/>
                <w:szCs w:val="19"/>
                <w:lang w:val="en-US"/>
              </w:rPr>
              <w:t>There are a number of topics woven into the careers curriculum which address these issues directly. These include</w:t>
            </w:r>
            <w:r>
              <w:rPr>
                <w:rFonts w:ascii="Calibri" w:hAnsi="Calibri" w:eastAsia="Calibri" w:cs="Calibri"/>
                <w:color w:val="000000" w:themeColor="text1"/>
                <w:sz w:val="18"/>
                <w:szCs w:val="19"/>
                <w:lang w:val="en-US"/>
              </w:rPr>
              <w:t xml:space="preserve">, but are not limited to; </w:t>
            </w:r>
            <w:r>
              <w:rPr>
                <w:rFonts w:ascii="Calibri" w:hAnsi="Calibri" w:eastAsia="Calibri" w:cs="Calibri"/>
                <w:i/>
                <w:color w:val="000000" w:themeColor="text1"/>
                <w:sz w:val="18"/>
                <w:szCs w:val="19"/>
                <w:lang w:val="en-US"/>
              </w:rPr>
              <w:t xml:space="preserve">Diversity, Prejudice and Discrimination, getting to know people, Rights and responsibilities. </w:t>
            </w:r>
          </w:p>
        </w:tc>
      </w:tr>
      <w:tr w:rsidR="00D17D21" w:rsidTr="08395937" w14:paraId="454C19E0" w14:textId="077811C0">
        <w:trPr>
          <w:trHeight w:val="706"/>
        </w:trPr>
        <w:tc>
          <w:tcPr>
            <w:tcW w:w="2122" w:type="dxa"/>
            <w:shd w:val="clear" w:color="auto" w:fill="auto"/>
            <w:tcMar/>
          </w:tcPr>
          <w:p w:rsidRPr="00800A7F" w:rsidR="00D17D21" w:rsidRDefault="00D17D21" w14:paraId="2851CF83" w14:textId="22CDEDD1">
            <w:pPr>
              <w:rPr>
                <w:b/>
                <w:bCs/>
                <w:sz w:val="18"/>
                <w:szCs w:val="19"/>
                <w:lang w:val="en-US"/>
              </w:rPr>
            </w:pPr>
            <w:r w:rsidRPr="00800A7F">
              <w:rPr>
                <w:b/>
                <w:bCs/>
                <w:sz w:val="18"/>
                <w:szCs w:val="19"/>
                <w:lang w:val="en-US"/>
              </w:rPr>
              <w:t xml:space="preserve">Aspirations </w:t>
            </w:r>
          </w:p>
        </w:tc>
        <w:tc>
          <w:tcPr>
            <w:tcW w:w="8788" w:type="dxa"/>
            <w:shd w:val="clear" w:color="auto" w:fill="auto"/>
            <w:tcMar/>
          </w:tcPr>
          <w:p w:rsidRPr="00FF3D2A" w:rsidR="00FF3D2A" w:rsidP="08395937" w:rsidRDefault="00FF3D2A" w14:paraId="4E4A6174" w14:textId="269091B7">
            <w:pPr>
              <w:rPr>
                <w:sz w:val="18"/>
                <w:szCs w:val="18"/>
                <w:lang w:val="en-US"/>
              </w:rPr>
            </w:pPr>
            <w:r w:rsidRPr="08395937" w:rsidR="738B8F9E">
              <w:rPr>
                <w:sz w:val="18"/>
                <w:szCs w:val="18"/>
                <w:lang w:val="en-US"/>
              </w:rPr>
              <w:t xml:space="preserve">Pupils will know that they have a valued and important part to play in the world in which they </w:t>
            </w:r>
            <w:r w:rsidRPr="08395937" w:rsidR="7E86F0A3">
              <w:rPr>
                <w:sz w:val="18"/>
                <w:szCs w:val="18"/>
                <w:lang w:val="en-US"/>
              </w:rPr>
              <w:t>live,</w:t>
            </w:r>
            <w:r w:rsidRPr="08395937" w:rsidR="738B8F9E">
              <w:rPr>
                <w:sz w:val="18"/>
                <w:szCs w:val="18"/>
                <w:lang w:val="en-US"/>
              </w:rPr>
              <w:t xml:space="preserve"> and they can and are motivated to contribute to society in a way which best suits their interests and skills</w:t>
            </w:r>
          </w:p>
          <w:p w:rsidRPr="00800A7F" w:rsidR="00D17D21" w:rsidP="00FF3D2A" w:rsidRDefault="00FF3D2A" w14:paraId="244D966B" w14:textId="11FC5988">
            <w:pPr>
              <w:rPr>
                <w:b/>
                <w:bCs/>
                <w:color w:val="00B050"/>
                <w:sz w:val="18"/>
                <w:szCs w:val="18"/>
                <w:lang w:val="en-US"/>
              </w:rPr>
            </w:pPr>
            <w:r w:rsidRPr="00FF3D2A">
              <w:rPr>
                <w:bCs/>
                <w:sz w:val="18"/>
                <w:szCs w:val="19"/>
                <w:lang w:val="en-US"/>
              </w:rPr>
              <w:t>Pupils will know the value of having work and commitments in their lives</w:t>
            </w:r>
          </w:p>
        </w:tc>
      </w:tr>
      <w:tr w:rsidR="00D17D21" w:rsidTr="08395937" w14:paraId="04741372" w14:textId="77777777">
        <w:trPr>
          <w:trHeight w:val="688"/>
        </w:trPr>
        <w:tc>
          <w:tcPr>
            <w:tcW w:w="2122" w:type="dxa"/>
            <w:shd w:val="clear" w:color="auto" w:fill="auto"/>
            <w:tcMar/>
          </w:tcPr>
          <w:p w:rsidRPr="00800A7F" w:rsidR="00D17D21" w:rsidRDefault="00D17D21" w14:paraId="5B4B69A3" w14:textId="470CF945">
            <w:pPr>
              <w:rPr>
                <w:b/>
                <w:bCs/>
                <w:sz w:val="18"/>
                <w:szCs w:val="19"/>
                <w:lang w:val="en-US"/>
              </w:rPr>
            </w:pPr>
            <w:r w:rsidRPr="00800A7F">
              <w:rPr>
                <w:b/>
                <w:bCs/>
                <w:sz w:val="18"/>
                <w:szCs w:val="19"/>
                <w:lang w:val="en-US"/>
              </w:rPr>
              <w:t xml:space="preserve">Preparedness for the future </w:t>
            </w:r>
          </w:p>
        </w:tc>
        <w:tc>
          <w:tcPr>
            <w:tcW w:w="8788" w:type="dxa"/>
            <w:shd w:val="clear" w:color="auto" w:fill="auto"/>
            <w:tcMar/>
          </w:tcPr>
          <w:p w:rsidRPr="00FF3D2A" w:rsidR="00FF3D2A" w:rsidP="00FF3D2A" w:rsidRDefault="00FF3D2A" w14:paraId="09960151" w14:textId="3BF85AB7">
            <w:pPr>
              <w:rPr>
                <w:bCs/>
                <w:sz w:val="18"/>
                <w:szCs w:val="19"/>
                <w:lang w:val="en-US"/>
              </w:rPr>
            </w:pPr>
            <w:r w:rsidRPr="00FF3D2A">
              <w:rPr>
                <w:bCs/>
                <w:sz w:val="18"/>
                <w:szCs w:val="19"/>
                <w:lang w:val="en-US"/>
              </w:rPr>
              <w:t>Pupils will have a successful transition on from Year 11 into Post 16</w:t>
            </w:r>
          </w:p>
          <w:p w:rsidRPr="00FF3D2A" w:rsidR="00FF3D2A" w:rsidP="00FF3D2A" w:rsidRDefault="00FF3D2A" w14:paraId="5ABD315A" w14:textId="33EB8CE4">
            <w:pPr>
              <w:rPr>
                <w:bCs/>
                <w:sz w:val="18"/>
                <w:szCs w:val="19"/>
                <w:lang w:val="en-US"/>
              </w:rPr>
            </w:pPr>
            <w:r w:rsidRPr="00FF3D2A">
              <w:rPr>
                <w:bCs/>
                <w:sz w:val="18"/>
                <w:szCs w:val="19"/>
                <w:lang w:val="en-US"/>
              </w:rPr>
              <w:t>Pupils will have had experience of a wide range of opportunities, interests and options so they are best placed to make informed decisions about their future choices</w:t>
            </w:r>
          </w:p>
          <w:p w:rsidRPr="00FF3D2A" w:rsidR="00FF3D2A" w:rsidP="00FF3D2A" w:rsidRDefault="00FF3D2A" w14:paraId="271B3AFD" w14:textId="1C81F947">
            <w:pPr>
              <w:rPr>
                <w:bCs/>
                <w:sz w:val="18"/>
                <w:szCs w:val="19"/>
                <w:lang w:val="en-US"/>
              </w:rPr>
            </w:pPr>
            <w:r w:rsidRPr="00FF3D2A">
              <w:rPr>
                <w:bCs/>
                <w:sz w:val="18"/>
                <w:szCs w:val="19"/>
                <w:lang w:val="en-US"/>
              </w:rPr>
              <w:t>Pupils will develop the skills needed for them to be employable, whether that is voluntarily or paid</w:t>
            </w:r>
          </w:p>
          <w:p w:rsidRPr="00FF3D2A" w:rsidR="00D17D21" w:rsidP="08395937" w:rsidRDefault="00FF3D2A" w14:paraId="36701220" w14:textId="418B6660">
            <w:pPr>
              <w:rPr>
                <w:sz w:val="18"/>
                <w:szCs w:val="18"/>
                <w:lang w:val="en-US"/>
              </w:rPr>
            </w:pPr>
            <w:r w:rsidRPr="08395937" w:rsidR="738B8F9E">
              <w:rPr>
                <w:sz w:val="18"/>
                <w:szCs w:val="18"/>
                <w:lang w:val="en-US"/>
              </w:rPr>
              <w:t xml:space="preserve">Pupils will know about and make use of the range of support and advice that is available to them </w:t>
            </w:r>
            <w:r w:rsidRPr="08395937" w:rsidR="5A988475">
              <w:rPr>
                <w:sz w:val="18"/>
                <w:szCs w:val="18"/>
                <w:lang w:val="en-US"/>
              </w:rPr>
              <w:t>to</w:t>
            </w:r>
            <w:r w:rsidRPr="08395937" w:rsidR="738B8F9E">
              <w:rPr>
                <w:sz w:val="18"/>
                <w:szCs w:val="18"/>
                <w:lang w:val="en-US"/>
              </w:rPr>
              <w:t xml:space="preserve"> support their choices and decision making as the</w:t>
            </w:r>
            <w:r w:rsidRPr="08395937" w:rsidR="43844680">
              <w:rPr>
                <w:sz w:val="18"/>
                <w:szCs w:val="18"/>
                <w:lang w:val="en-US"/>
              </w:rPr>
              <w:t>y</w:t>
            </w:r>
            <w:r w:rsidRPr="08395937" w:rsidR="738B8F9E">
              <w:rPr>
                <w:sz w:val="18"/>
                <w:szCs w:val="18"/>
                <w:lang w:val="en-US"/>
              </w:rPr>
              <w:t xml:space="preserve"> progress on from Pine Green Academy</w:t>
            </w:r>
            <w:r w:rsidRPr="08395937" w:rsidR="12D6D343">
              <w:rPr>
                <w:sz w:val="18"/>
                <w:szCs w:val="18"/>
                <w:lang w:val="en-US"/>
              </w:rPr>
              <w:t>.</w:t>
            </w:r>
          </w:p>
        </w:tc>
      </w:tr>
    </w:tbl>
    <w:tbl>
      <w:tblPr>
        <w:tblStyle w:val="TableGrid"/>
        <w:tblW w:w="10910" w:type="dxa"/>
        <w:tblLook w:val="04A0" w:firstRow="1" w:lastRow="0" w:firstColumn="1" w:lastColumn="0" w:noHBand="0" w:noVBand="1"/>
      </w:tblPr>
      <w:tblGrid>
        <w:gridCol w:w="5665"/>
        <w:gridCol w:w="5245"/>
      </w:tblGrid>
      <w:tr w:rsidR="00F3399F" w:rsidTr="08395937" w14:paraId="16C89354" w14:textId="77777777">
        <w:tc>
          <w:tcPr>
            <w:tcW w:w="10910" w:type="dxa"/>
            <w:gridSpan w:val="2"/>
            <w:shd w:val="clear" w:color="auto" w:fill="112B43"/>
            <w:tcMar/>
          </w:tcPr>
          <w:p w:rsidRPr="00F3399F" w:rsidR="00F3399F" w:rsidP="08395937" w:rsidRDefault="00F3399F" w14:paraId="39308E1C" w14:textId="4607CFBC">
            <w:pPr>
              <w:jc w:val="center"/>
              <w:rPr>
                <w:b w:val="1"/>
                <w:bCs w:val="1"/>
                <w:lang w:val="en-US"/>
              </w:rPr>
            </w:pPr>
            <w:r w:rsidRPr="08395937" w:rsidR="413CC62C">
              <w:rPr>
                <w:b w:val="1"/>
                <w:bCs w:val="1"/>
                <w:lang w:val="en-US"/>
              </w:rPr>
              <w:t xml:space="preserve">Vulnerable </w:t>
            </w:r>
            <w:r w:rsidRPr="08395937" w:rsidR="00BB7DAA">
              <w:rPr>
                <w:b w:val="1"/>
                <w:bCs w:val="1"/>
                <w:lang w:val="en-US"/>
              </w:rPr>
              <w:t>S</w:t>
            </w:r>
            <w:r w:rsidRPr="08395937" w:rsidR="413CC62C">
              <w:rPr>
                <w:b w:val="1"/>
                <w:bCs w:val="1"/>
                <w:lang w:val="en-US"/>
              </w:rPr>
              <w:t>tudent</w:t>
            </w:r>
            <w:r w:rsidRPr="08395937" w:rsidR="00BB7DAA">
              <w:rPr>
                <w:b w:val="1"/>
                <w:bCs w:val="1"/>
                <w:lang w:val="en-US"/>
              </w:rPr>
              <w:t>s</w:t>
            </w:r>
            <w:r w:rsidRPr="08395937" w:rsidR="413CC62C">
              <w:rPr>
                <w:b w:val="1"/>
                <w:bCs w:val="1"/>
                <w:lang w:val="en-US"/>
              </w:rPr>
              <w:t xml:space="preserve"> </w:t>
            </w:r>
            <w:r w:rsidRPr="08395937" w:rsidR="38E90CA1">
              <w:rPr>
                <w:b w:val="1"/>
                <w:bCs w:val="1"/>
                <w:lang w:val="en-US"/>
              </w:rPr>
              <w:t>c</w:t>
            </w:r>
            <w:r w:rsidRPr="08395937" w:rsidR="413CC62C">
              <w:rPr>
                <w:b w:val="1"/>
                <w:bCs w:val="1"/>
                <w:lang w:val="en-US"/>
              </w:rPr>
              <w:t>hecklist</w:t>
            </w:r>
          </w:p>
        </w:tc>
      </w:tr>
      <w:tr w:rsidR="00991F99" w:rsidTr="08395937" w14:paraId="5A4BE5A8" w14:textId="77777777">
        <w:tc>
          <w:tcPr>
            <w:tcW w:w="5665" w:type="dxa"/>
            <w:shd w:val="clear" w:color="auto" w:fill="112B43"/>
            <w:tcMar/>
          </w:tcPr>
          <w:p w:rsidRPr="00F3399F" w:rsidR="00991F99" w:rsidP="00991F99" w:rsidRDefault="00991F99" w14:paraId="35453FDF" w14:textId="77777777">
            <w:pPr>
              <w:jc w:val="center"/>
              <w:rPr>
                <w:b/>
                <w:bCs/>
                <w:lang w:val="en-US"/>
              </w:rPr>
            </w:pPr>
            <w:r w:rsidRPr="00F3399F">
              <w:rPr>
                <w:b/>
                <w:bCs/>
                <w:lang w:val="en-US"/>
              </w:rPr>
              <w:t>SEND</w:t>
            </w:r>
          </w:p>
        </w:tc>
        <w:tc>
          <w:tcPr>
            <w:tcW w:w="5245" w:type="dxa"/>
            <w:shd w:val="clear" w:color="auto" w:fill="112B43"/>
            <w:tcMar/>
          </w:tcPr>
          <w:p w:rsidRPr="00F3399F" w:rsidR="00991F99" w:rsidP="00991F99" w:rsidRDefault="00991F99" w14:paraId="27C8B81D" w14:textId="61EDC15D">
            <w:pPr>
              <w:jc w:val="center"/>
              <w:rPr>
                <w:b/>
                <w:bCs/>
                <w:lang w:val="en-US"/>
              </w:rPr>
            </w:pPr>
            <w:r>
              <w:rPr>
                <w:b/>
                <w:bCs/>
                <w:lang w:val="en-US"/>
              </w:rPr>
              <w:t>PP</w:t>
            </w:r>
          </w:p>
        </w:tc>
      </w:tr>
      <w:tr w:rsidR="00991F99" w:rsidTr="08395937" w14:paraId="6A0AE3D2" w14:textId="77777777">
        <w:tc>
          <w:tcPr>
            <w:tcW w:w="5665" w:type="dxa"/>
            <w:tcMar/>
          </w:tcPr>
          <w:p w:rsidRPr="007D0A82" w:rsidR="00255B15" w:rsidP="30467098" w:rsidRDefault="00255B15" w14:paraId="3A326AA7" w14:textId="0DEDA4D9">
            <w:pPr>
              <w:pStyle w:val="xmsolistparagraph"/>
              <w:numPr>
                <w:ilvl w:val="0"/>
                <w:numId w:val="14"/>
              </w:numPr>
              <w:ind/>
              <w:rPr>
                <w:rFonts w:eastAsia="Times New Roman"/>
                <w:sz w:val="19"/>
                <w:szCs w:val="19"/>
              </w:rPr>
            </w:pPr>
            <w:r w:rsidRPr="30467098" w:rsidR="542FB688">
              <w:rPr>
                <w:rFonts w:eastAsia="Times New Roman"/>
                <w:sz w:val="19"/>
                <w:szCs w:val="19"/>
              </w:rPr>
              <w:t>Evidence of Learning</w:t>
            </w:r>
          </w:p>
          <w:p w:rsidRPr="007D0A82" w:rsidR="00255B15" w:rsidP="30467098" w:rsidRDefault="00255B15" w14:paraId="128800D5" w14:textId="59E2A34E">
            <w:pPr>
              <w:pStyle w:val="xmsolistparagraph"/>
              <w:numPr>
                <w:ilvl w:val="0"/>
                <w:numId w:val="14"/>
              </w:numPr>
              <w:ind/>
              <w:rPr>
                <w:rFonts w:eastAsia="Times New Roman"/>
                <w:sz w:val="19"/>
                <w:szCs w:val="19"/>
              </w:rPr>
            </w:pPr>
            <w:r w:rsidRPr="30467098" w:rsidR="542FB688">
              <w:rPr>
                <w:rFonts w:eastAsia="Times New Roman"/>
                <w:sz w:val="19"/>
                <w:szCs w:val="19"/>
              </w:rPr>
              <w:t>Writing Frames</w:t>
            </w:r>
          </w:p>
          <w:p w:rsidRPr="007D0A82" w:rsidR="00255B15" w:rsidP="30467098" w:rsidRDefault="00255B15" w14:paraId="68BDC219" w14:textId="07AA00D7">
            <w:pPr>
              <w:pStyle w:val="xmsolistparagraph"/>
              <w:numPr>
                <w:ilvl w:val="0"/>
                <w:numId w:val="14"/>
              </w:numPr>
              <w:ind/>
              <w:rPr>
                <w:rFonts w:eastAsia="Times New Roman"/>
                <w:sz w:val="19"/>
                <w:szCs w:val="19"/>
              </w:rPr>
            </w:pPr>
            <w:r w:rsidRPr="30467098" w:rsidR="542FB688">
              <w:rPr>
                <w:rFonts w:eastAsia="Times New Roman"/>
                <w:sz w:val="19"/>
                <w:szCs w:val="19"/>
              </w:rPr>
              <w:t xml:space="preserve">Picture to Text and </w:t>
            </w:r>
            <w:r w:rsidRPr="30467098" w:rsidR="542FB688">
              <w:rPr>
                <w:rFonts w:eastAsia="Times New Roman"/>
                <w:sz w:val="19"/>
                <w:szCs w:val="19"/>
              </w:rPr>
              <w:t>vi</w:t>
            </w:r>
            <w:r w:rsidRPr="30467098" w:rsidR="02669BEB">
              <w:rPr>
                <w:rFonts w:eastAsia="Times New Roman"/>
                <w:sz w:val="19"/>
                <w:szCs w:val="19"/>
              </w:rPr>
              <w:t>ce</w:t>
            </w:r>
            <w:r w:rsidRPr="30467098" w:rsidR="542FB688">
              <w:rPr>
                <w:rFonts w:eastAsia="Times New Roman"/>
                <w:sz w:val="19"/>
                <w:szCs w:val="19"/>
              </w:rPr>
              <w:t xml:space="preserve"> versa</w:t>
            </w:r>
          </w:p>
          <w:p w:rsidRPr="007D0A82" w:rsidR="00255B15" w:rsidP="30467098" w:rsidRDefault="00255B15" w14:paraId="3D01802C" w14:textId="0ABD6432">
            <w:pPr>
              <w:pStyle w:val="xmsolistparagraph"/>
              <w:numPr>
                <w:ilvl w:val="0"/>
                <w:numId w:val="14"/>
              </w:numPr>
              <w:ind/>
              <w:rPr>
                <w:rFonts w:eastAsia="Times New Roman"/>
                <w:sz w:val="19"/>
                <w:szCs w:val="19"/>
              </w:rPr>
            </w:pPr>
            <w:r w:rsidRPr="30467098" w:rsidR="542FB688">
              <w:rPr>
                <w:rFonts w:eastAsia="Times New Roman"/>
                <w:sz w:val="19"/>
                <w:szCs w:val="19"/>
              </w:rPr>
              <w:t>Use of Bonus Points Rewards on Sleuth</w:t>
            </w:r>
          </w:p>
        </w:tc>
        <w:tc>
          <w:tcPr>
            <w:tcW w:w="5245" w:type="dxa"/>
            <w:tcMar/>
          </w:tcPr>
          <w:p w:rsidRPr="00DD65C7" w:rsidR="00255B15" w:rsidP="30467098" w:rsidRDefault="00255B15" w14:paraId="6A719F9E" w14:textId="0DEDA4D9">
            <w:pPr>
              <w:pStyle w:val="xmsolistparagraph"/>
              <w:numPr>
                <w:ilvl w:val="0"/>
                <w:numId w:val="13"/>
              </w:numPr>
              <w:bidi w:val="0"/>
              <w:spacing w:before="0" w:beforeAutospacing="off" w:after="0" w:afterAutospacing="off" w:line="240" w:lineRule="auto"/>
              <w:ind w:left="720" w:right="0" w:hanging="360"/>
              <w:jc w:val="left"/>
              <w:rPr>
                <w:rFonts w:eastAsia="Times New Roman"/>
                <w:sz w:val="19"/>
                <w:szCs w:val="19"/>
              </w:rPr>
            </w:pPr>
            <w:r w:rsidRPr="30467098" w:rsidR="542FB688">
              <w:rPr>
                <w:rFonts w:eastAsia="Times New Roman"/>
                <w:sz w:val="19"/>
                <w:szCs w:val="19"/>
              </w:rPr>
              <w:t>Evidence of Learning</w:t>
            </w:r>
          </w:p>
          <w:p w:rsidRPr="00DD65C7" w:rsidR="00255B15" w:rsidP="30467098" w:rsidRDefault="00255B15" w14:paraId="35536D16" w14:textId="59E2A34E">
            <w:pPr>
              <w:pStyle w:val="xmsolistparagraph"/>
              <w:numPr>
                <w:ilvl w:val="0"/>
                <w:numId w:val="13"/>
              </w:numPr>
              <w:bidi w:val="0"/>
              <w:spacing w:before="0" w:beforeAutospacing="off" w:after="0" w:afterAutospacing="off" w:line="240" w:lineRule="auto"/>
              <w:ind w:left="720" w:right="0" w:hanging="360"/>
              <w:jc w:val="left"/>
              <w:rPr>
                <w:rFonts w:eastAsia="Times New Roman"/>
                <w:sz w:val="19"/>
                <w:szCs w:val="19"/>
              </w:rPr>
            </w:pPr>
            <w:r w:rsidRPr="30467098" w:rsidR="542FB688">
              <w:rPr>
                <w:rFonts w:eastAsia="Times New Roman"/>
                <w:sz w:val="19"/>
                <w:szCs w:val="19"/>
              </w:rPr>
              <w:t>Writing Frames</w:t>
            </w:r>
          </w:p>
          <w:p w:rsidRPr="00DD65C7" w:rsidR="00255B15" w:rsidP="30467098" w:rsidRDefault="00255B15" w14:paraId="07BA6DD6" w14:textId="04C71DFE">
            <w:pPr>
              <w:pStyle w:val="xmsolistparagraph"/>
              <w:numPr>
                <w:ilvl w:val="0"/>
                <w:numId w:val="13"/>
              </w:numPr>
              <w:bidi w:val="0"/>
              <w:spacing w:before="0" w:beforeAutospacing="off" w:after="0" w:afterAutospacing="off" w:line="240" w:lineRule="auto"/>
              <w:ind w:left="720" w:right="0" w:hanging="360"/>
              <w:jc w:val="left"/>
              <w:rPr>
                <w:rFonts w:eastAsia="Times New Roman"/>
                <w:sz w:val="19"/>
                <w:szCs w:val="19"/>
              </w:rPr>
            </w:pPr>
            <w:r w:rsidRPr="30467098" w:rsidR="542FB688">
              <w:rPr>
                <w:rFonts w:eastAsia="Times New Roman"/>
                <w:sz w:val="19"/>
                <w:szCs w:val="19"/>
              </w:rPr>
              <w:t>Picture to Text and vi</w:t>
            </w:r>
            <w:r w:rsidRPr="30467098" w:rsidR="5EB30451">
              <w:rPr>
                <w:rFonts w:eastAsia="Times New Roman"/>
                <w:sz w:val="19"/>
                <w:szCs w:val="19"/>
              </w:rPr>
              <w:t xml:space="preserve">ce </w:t>
            </w:r>
            <w:r w:rsidRPr="30467098" w:rsidR="542FB688">
              <w:rPr>
                <w:rFonts w:eastAsia="Times New Roman"/>
                <w:sz w:val="19"/>
                <w:szCs w:val="19"/>
              </w:rPr>
              <w:t>versa</w:t>
            </w:r>
          </w:p>
          <w:p w:rsidRPr="00DD65C7" w:rsidR="00255B15" w:rsidP="30467098" w:rsidRDefault="00255B15" w14:paraId="2CB655EB" w14:textId="05A332E7">
            <w:pPr>
              <w:pStyle w:val="xmsolistparagraph"/>
              <w:numPr>
                <w:ilvl w:val="0"/>
                <w:numId w:val="13"/>
              </w:numPr>
              <w:bidi w:val="0"/>
              <w:spacing w:before="0" w:beforeAutospacing="off" w:after="0" w:afterAutospacing="off" w:line="240" w:lineRule="auto"/>
              <w:ind w:left="720" w:right="0" w:hanging="360"/>
              <w:jc w:val="left"/>
              <w:rPr>
                <w:rFonts w:ascii="Calibri" w:hAnsi="Calibri" w:eastAsia="" w:cs="Calibri"/>
                <w:sz w:val="24"/>
                <w:szCs w:val="24"/>
              </w:rPr>
            </w:pPr>
            <w:r w:rsidRPr="30467098" w:rsidR="542FB688">
              <w:rPr>
                <w:rFonts w:ascii="Calibri" w:hAnsi="Calibri" w:eastAsia="Times New Roman" w:cs="Calibri" w:eastAsiaTheme="minorEastAsia"/>
                <w:sz w:val="19"/>
                <w:szCs w:val="19"/>
                <w:lang w:eastAsia="en-GB"/>
              </w:rPr>
              <w:t>Use of Bonus Poin</w:t>
            </w:r>
            <w:r w:rsidRPr="30467098" w:rsidR="542FB688">
              <w:rPr>
                <w:rFonts w:eastAsia="Times New Roman"/>
                <w:sz w:val="19"/>
                <w:szCs w:val="19"/>
              </w:rPr>
              <w:t>ts Rewards on Sleuth</w:t>
            </w:r>
          </w:p>
        </w:tc>
      </w:tr>
    </w:tbl>
    <w:p w:rsidR="005267A0" w:rsidP="30467098" w:rsidRDefault="005267A0" w14:paraId="5C51B05B" w14:textId="77777777" w14:noSpellErr="1">
      <w:pPr>
        <w:pStyle w:val="NoSpacing"/>
        <w:rPr>
          <w:sz w:val="12"/>
          <w:szCs w:val="12"/>
        </w:rPr>
      </w:pPr>
    </w:p>
    <w:tbl>
      <w:tblPr>
        <w:tblStyle w:val="TableGrid"/>
        <w:tblW w:w="10910" w:type="dxa"/>
        <w:tblLook w:val="04A0" w:firstRow="1" w:lastRow="0" w:firstColumn="1" w:lastColumn="0" w:noHBand="0" w:noVBand="1"/>
      </w:tblPr>
      <w:tblGrid>
        <w:gridCol w:w="5665"/>
        <w:gridCol w:w="5245"/>
      </w:tblGrid>
      <w:tr w:rsidRPr="000A2587" w:rsidR="00BB7DAA" w:rsidTr="08395937" w14:paraId="35087C4A" w14:textId="77777777">
        <w:tc>
          <w:tcPr>
            <w:tcW w:w="10910" w:type="dxa"/>
            <w:gridSpan w:val="2"/>
            <w:shd w:val="clear" w:color="auto" w:fill="112B43"/>
            <w:tcMar/>
          </w:tcPr>
          <w:p w:rsidRPr="000A2587" w:rsidR="00BB7DAA" w:rsidP="08395937" w:rsidRDefault="00BB7DAA" w14:paraId="6B65A219" w14:textId="6C7A58B3">
            <w:pPr>
              <w:jc w:val="center"/>
              <w:rPr>
                <w:b w:val="1"/>
                <w:bCs w:val="1"/>
                <w:color w:val="FFFFFF" w:themeColor="background1"/>
                <w:lang w:val="en-US"/>
              </w:rPr>
            </w:pPr>
            <w:r w:rsidRPr="08395937" w:rsidR="00BB7DAA">
              <w:rPr>
                <w:b w:val="1"/>
                <w:bCs w:val="1"/>
                <w:color w:val="FFFFFF" w:themeColor="background1" w:themeTint="FF" w:themeShade="FF"/>
                <w:lang w:val="en-US"/>
              </w:rPr>
              <w:t xml:space="preserve">Covid Catch Up  </w:t>
            </w:r>
          </w:p>
        </w:tc>
      </w:tr>
      <w:tr w:rsidRPr="00EE1A0B" w:rsidR="006603E0" w:rsidTr="08395937" w14:paraId="5DE7038E" w14:textId="77777777">
        <w:tc>
          <w:tcPr>
            <w:tcW w:w="5665" w:type="dxa"/>
            <w:shd w:val="clear" w:color="auto" w:fill="112B43"/>
            <w:tcMar/>
          </w:tcPr>
          <w:p w:rsidRPr="006603E0" w:rsidR="006603E0" w:rsidP="08395937" w:rsidRDefault="006603E0" w14:paraId="4BA9FF19" w14:textId="50B6FBE1">
            <w:pPr>
              <w:jc w:val="center"/>
              <w:rPr>
                <w:rFonts w:eastAsia="" w:eastAsiaTheme="minorEastAsia"/>
                <w:b w:val="1"/>
                <w:bCs w:val="1"/>
                <w:color w:val="FFFFFF" w:themeColor="background1"/>
                <w:sz w:val="20"/>
                <w:szCs w:val="20"/>
                <w:lang w:val="en-US"/>
              </w:rPr>
            </w:pPr>
            <w:r w:rsidRPr="08395937" w:rsidR="602FE584">
              <w:rPr>
                <w:rFonts w:eastAsia="" w:eastAsiaTheme="minorEastAsia"/>
                <w:b w:val="1"/>
                <w:bCs w:val="1"/>
                <w:color w:val="FFFFFF" w:themeColor="background1" w:themeTint="FF" w:themeShade="FF"/>
                <w:sz w:val="20"/>
                <w:szCs w:val="20"/>
                <w:lang w:val="en-US"/>
              </w:rPr>
              <w:t>Skills Gaps</w:t>
            </w:r>
          </w:p>
        </w:tc>
        <w:tc>
          <w:tcPr>
            <w:tcW w:w="5245" w:type="dxa"/>
            <w:shd w:val="clear" w:color="auto" w:fill="112B43"/>
            <w:tcMar/>
          </w:tcPr>
          <w:p w:rsidRPr="006603E0" w:rsidR="006603E0" w:rsidP="08395937" w:rsidRDefault="006603E0" w14:paraId="68C4B880" w14:textId="36285E2F">
            <w:pPr>
              <w:jc w:val="center"/>
              <w:rPr>
                <w:rFonts w:eastAsia="" w:eastAsiaTheme="minorEastAsia"/>
                <w:b w:val="1"/>
                <w:bCs w:val="1"/>
                <w:color w:val="FFFFFF" w:themeColor="background1"/>
                <w:sz w:val="20"/>
                <w:szCs w:val="20"/>
                <w:lang w:val="en-US"/>
              </w:rPr>
            </w:pPr>
            <w:r w:rsidRPr="08395937" w:rsidR="602FE584">
              <w:rPr>
                <w:rFonts w:eastAsia="" w:eastAsiaTheme="minorEastAsia"/>
                <w:b w:val="1"/>
                <w:bCs w:val="1"/>
                <w:color w:val="FFFFFF" w:themeColor="background1" w:themeTint="FF" w:themeShade="FF"/>
                <w:sz w:val="20"/>
                <w:szCs w:val="20"/>
                <w:lang w:val="en-US"/>
              </w:rPr>
              <w:t xml:space="preserve">Knowledge Gaps </w:t>
            </w:r>
          </w:p>
        </w:tc>
      </w:tr>
      <w:tr w:rsidRPr="00EE1A0B" w:rsidR="006603E0" w:rsidTr="08395937" w14:paraId="01A24E89" w14:textId="77777777">
        <w:tc>
          <w:tcPr>
            <w:tcW w:w="5665" w:type="dxa"/>
            <w:shd w:val="clear" w:color="auto" w:fill="auto"/>
            <w:tcMar/>
          </w:tcPr>
          <w:p w:rsidRPr="00EE1A0B" w:rsidR="006603E0" w:rsidP="30467098" w:rsidRDefault="00A32050" w14:paraId="2AE604E7" w14:textId="24F26E0A">
            <w:pPr>
              <w:rPr>
                <w:rFonts w:eastAsia="" w:eastAsiaTheme="minorEastAsia"/>
                <w:color w:val="000000" w:themeColor="text1"/>
                <w:sz w:val="20"/>
                <w:szCs w:val="20"/>
                <w:lang w:val="en-US"/>
              </w:rPr>
            </w:pPr>
            <w:r w:rsidRPr="08395937" w:rsidR="7402622D">
              <w:rPr>
                <w:rFonts w:eastAsia="" w:eastAsiaTheme="minorEastAsia"/>
                <w:color w:val="000000" w:themeColor="text1" w:themeTint="FF" w:themeShade="FF"/>
                <w:sz w:val="18"/>
                <w:szCs w:val="18"/>
                <w:lang w:val="en-US"/>
              </w:rPr>
              <w:t xml:space="preserve">Careers is a new subject at Pine Green so skills gaps are not </w:t>
            </w:r>
            <w:r w:rsidRPr="08395937" w:rsidR="4F5989B8">
              <w:rPr>
                <w:rFonts w:eastAsia="" w:eastAsiaTheme="minorEastAsia"/>
                <w:color w:val="000000" w:themeColor="text1" w:themeTint="FF" w:themeShade="FF"/>
                <w:sz w:val="18"/>
                <w:szCs w:val="18"/>
                <w:lang w:val="en-US"/>
              </w:rPr>
              <w:t>clear</w:t>
            </w:r>
            <w:r w:rsidRPr="08395937" w:rsidR="7402622D">
              <w:rPr>
                <w:rFonts w:eastAsia="" w:eastAsiaTheme="minorEastAsia"/>
                <w:color w:val="000000" w:themeColor="text1" w:themeTint="FF" w:themeShade="FF"/>
                <w:sz w:val="18"/>
                <w:szCs w:val="18"/>
                <w:lang w:val="en-US"/>
              </w:rPr>
              <w:t xml:space="preserve"> as each year group is starting age related topics </w:t>
            </w:r>
            <w:r w:rsidRPr="08395937" w:rsidR="4C113D39">
              <w:rPr>
                <w:rFonts w:eastAsia="" w:eastAsiaTheme="minorEastAsia"/>
                <w:color w:val="000000" w:themeColor="text1" w:themeTint="FF" w:themeShade="FF"/>
                <w:sz w:val="18"/>
                <w:szCs w:val="18"/>
                <w:lang w:val="en-US"/>
              </w:rPr>
              <w:t>horizontally in KS4</w:t>
            </w:r>
          </w:p>
        </w:tc>
        <w:tc>
          <w:tcPr>
            <w:tcW w:w="5245" w:type="dxa"/>
            <w:shd w:val="clear" w:color="auto" w:fill="auto"/>
            <w:tcMar/>
          </w:tcPr>
          <w:p w:rsidRPr="00A32050" w:rsidR="005267A0" w:rsidP="08395937" w:rsidRDefault="00A32050" w14:paraId="5556E52A" w14:textId="617F452D">
            <w:pPr>
              <w:rPr>
                <w:rFonts w:eastAsia="" w:eastAsiaTheme="minorEastAsia"/>
                <w:color w:val="000000" w:themeColor="text1"/>
                <w:sz w:val="18"/>
                <w:szCs w:val="18"/>
                <w:lang w:val="en-US"/>
              </w:rPr>
            </w:pPr>
            <w:r w:rsidRPr="08395937" w:rsidR="57DAE542">
              <w:rPr>
                <w:rFonts w:eastAsia="" w:eastAsiaTheme="minorEastAsia"/>
                <w:color w:val="000000" w:themeColor="text1" w:themeTint="FF" w:themeShade="FF"/>
                <w:sz w:val="18"/>
                <w:szCs w:val="18"/>
                <w:lang w:val="en-US"/>
              </w:rPr>
              <w:t xml:space="preserve">Careers </w:t>
            </w:r>
            <w:r w:rsidRPr="08395937" w:rsidR="230DD70D">
              <w:rPr>
                <w:rFonts w:eastAsia="" w:eastAsiaTheme="minorEastAsia"/>
                <w:color w:val="000000" w:themeColor="text1" w:themeTint="FF" w:themeShade="FF"/>
                <w:sz w:val="18"/>
                <w:szCs w:val="18"/>
                <w:lang w:val="en-US"/>
              </w:rPr>
              <w:t xml:space="preserve">Education </w:t>
            </w:r>
            <w:r w:rsidRPr="08395937" w:rsidR="230DD70D">
              <w:rPr>
                <w:rFonts w:eastAsia="" w:eastAsiaTheme="minorEastAsia"/>
                <w:color w:val="000000" w:themeColor="text1" w:themeTint="FF" w:themeShade="FF"/>
                <w:sz w:val="18"/>
                <w:szCs w:val="18"/>
                <w:lang w:val="en-US"/>
              </w:rPr>
              <w:t>was</w:t>
            </w:r>
            <w:r w:rsidRPr="08395937" w:rsidR="57DAE542">
              <w:rPr>
                <w:rFonts w:eastAsia="" w:eastAsiaTheme="minorEastAsia"/>
                <w:color w:val="000000" w:themeColor="text1" w:themeTint="FF" w:themeShade="FF"/>
                <w:sz w:val="18"/>
                <w:szCs w:val="18"/>
                <w:lang w:val="en-US"/>
              </w:rPr>
              <w:t xml:space="preserve"> not taught at Pine Green before </w:t>
            </w:r>
            <w:r w:rsidRPr="08395937" w:rsidR="1B89B640">
              <w:rPr>
                <w:rFonts w:eastAsia="" w:eastAsiaTheme="minorEastAsia"/>
                <w:color w:val="000000" w:themeColor="text1" w:themeTint="FF" w:themeShade="FF"/>
                <w:sz w:val="18"/>
                <w:szCs w:val="18"/>
                <w:lang w:val="en-US"/>
              </w:rPr>
              <w:t>COVID,</w:t>
            </w:r>
            <w:r w:rsidRPr="08395937" w:rsidR="57DAE542">
              <w:rPr>
                <w:rFonts w:eastAsia="" w:eastAsiaTheme="minorEastAsia"/>
                <w:color w:val="000000" w:themeColor="text1" w:themeTint="FF" w:themeShade="FF"/>
                <w:sz w:val="18"/>
                <w:szCs w:val="18"/>
                <w:lang w:val="en-US"/>
              </w:rPr>
              <w:t xml:space="preserve"> so all students are undertaking the learning from the same point.</w:t>
            </w:r>
          </w:p>
        </w:tc>
      </w:tr>
    </w:tbl>
    <w:p w:rsidR="00D17D21" w:rsidRDefault="00D17D21" w14:paraId="0E1046E7" w14:textId="77777777">
      <w:pPr>
        <w:rPr>
          <w:b w:val="1"/>
          <w:bCs w:val="1"/>
          <w:u w:val="single"/>
          <w:vertAlign w:val="superscript"/>
          <w:lang w:val="en-US"/>
        </w:rPr>
      </w:pPr>
    </w:p>
    <w:p w:rsidR="08395937" w:rsidP="08395937" w:rsidRDefault="08395937" w14:paraId="6AADFE98" w14:textId="72F0B62D">
      <w:pPr>
        <w:pStyle w:val="Normal"/>
        <w:rPr>
          <w:b w:val="1"/>
          <w:bCs w:val="1"/>
          <w:u w:val="single"/>
          <w:vertAlign w:val="superscript"/>
          <w:lang w:val="en-US"/>
        </w:rPr>
      </w:pPr>
    </w:p>
    <w:p w:rsidR="08395937" w:rsidP="08395937" w:rsidRDefault="08395937" w14:paraId="427A0E7F" w14:textId="596AC567">
      <w:pPr>
        <w:pStyle w:val="Normal"/>
        <w:rPr>
          <w:b w:val="1"/>
          <w:bCs w:val="1"/>
          <w:u w:val="single"/>
          <w:vertAlign w:val="superscript"/>
          <w:lang w:val="en-US"/>
        </w:rPr>
      </w:pPr>
    </w:p>
    <w:p w:rsidR="000A2587" w:rsidRDefault="000A2587" w14:paraId="187C58E9" w14:textId="33EDC161">
      <w:pPr>
        <w:rPr>
          <w:b/>
          <w:bCs/>
          <w:sz w:val="24"/>
          <w:szCs w:val="24"/>
          <w:u w:val="single"/>
          <w:lang w:val="en-US"/>
        </w:rPr>
      </w:pPr>
      <w:r>
        <w:rPr>
          <w:b/>
          <w:bCs/>
          <w:sz w:val="24"/>
          <w:szCs w:val="24"/>
          <w:u w:val="single"/>
          <w:lang w:val="en-US"/>
        </w:rPr>
        <w:t xml:space="preserve">Pine Green Curriculum </w:t>
      </w:r>
    </w:p>
    <w:p w:rsidR="00BB7DAA" w:rsidRDefault="00BB7DAA" w14:paraId="432077D6" w14:textId="77777777">
      <w:pPr>
        <w:rPr>
          <w:b/>
          <w:bCs/>
          <w:sz w:val="24"/>
          <w:szCs w:val="24"/>
          <w:u w:val="single"/>
          <w:lang w:val="en-US"/>
        </w:rPr>
      </w:pPr>
    </w:p>
    <w:p w:rsidR="000A2587" w:rsidP="000A2587" w:rsidRDefault="000A2587" w14:paraId="796C8B00" w14:textId="77777777">
      <w:r>
        <w:t xml:space="preserve">The key principles behind the design of our curriculum are for our pupils to: </w:t>
      </w:r>
    </w:p>
    <w:p w:rsidR="000A2587" w:rsidP="000A2587" w:rsidRDefault="000A2587" w14:paraId="541D6979" w14:textId="77777777">
      <w:r>
        <w:rPr>
          <w:rFonts w:ascii="Symbol" w:hAnsi="Symbol" w:eastAsia="Symbol" w:cs="Symbol"/>
        </w:rPr>
        <w:t>·</w:t>
      </w:r>
      <w:r>
        <w:t xml:space="preserve"> Become confident, independent and resilient</w:t>
      </w:r>
    </w:p>
    <w:p w:rsidR="000A2587" w:rsidP="000A2587" w:rsidRDefault="000A2587" w14:paraId="07642525" w14:textId="77777777">
      <w:r>
        <w:rPr>
          <w:rFonts w:ascii="Symbol" w:hAnsi="Symbol" w:eastAsia="Symbol" w:cs="Symbol"/>
        </w:rPr>
        <w:t>·</w:t>
      </w:r>
      <w:r>
        <w:t xml:space="preserve"> Be kind; showing empathy and compassion whilst valuing diversity </w:t>
      </w:r>
    </w:p>
    <w:p w:rsidR="000A2587" w:rsidP="000A2587" w:rsidRDefault="000A2587" w14:paraId="27F1BC48" w14:textId="77777777">
      <w:r>
        <w:rPr>
          <w:rFonts w:ascii="Symbol" w:hAnsi="Symbol" w:eastAsia="Symbol" w:cs="Symbol"/>
        </w:rPr>
        <w:t>·</w:t>
      </w:r>
      <w:r>
        <w:t xml:space="preserve"> Make good progress in all areas of the curriculum from their starting points when they initially join us</w:t>
      </w:r>
    </w:p>
    <w:p w:rsidR="000A2587" w:rsidP="000A2587" w:rsidRDefault="000A2587" w14:paraId="7FD0E6B3" w14:textId="77777777">
      <w:r>
        <w:rPr>
          <w:rFonts w:ascii="Symbol" w:hAnsi="Symbol" w:eastAsia="Symbol" w:cs="Symbol"/>
        </w:rPr>
        <w:t>·</w:t>
      </w:r>
      <w:r>
        <w:t xml:space="preserve"> Become more culturally aware about their local area as well as nationally and internationally.</w:t>
      </w:r>
    </w:p>
    <w:p w:rsidR="000A2587" w:rsidP="000A2587" w:rsidRDefault="000A2587" w14:paraId="0C2F6B59" w14:textId="77777777">
      <w:r>
        <w:rPr>
          <w:rFonts w:ascii="Symbol" w:hAnsi="Symbol" w:eastAsia="Symbol" w:cs="Symbol"/>
        </w:rPr>
        <w:t>·</w:t>
      </w:r>
      <w:r>
        <w:t xml:space="preserve"> Develop and enhance their aspirations for the future and know that these can be reached through hard work and determination </w:t>
      </w:r>
    </w:p>
    <w:p w:rsidR="000A2587" w:rsidP="000A2587" w:rsidRDefault="000A2587" w14:paraId="1235F4CD" w14:textId="77777777">
      <w:r>
        <w:rPr>
          <w:rFonts w:ascii="Symbol" w:hAnsi="Symbol" w:eastAsia="Symbol" w:cs="Symbol"/>
        </w:rPr>
        <w:t>·</w:t>
      </w:r>
      <w:r>
        <w:t xml:space="preserve"> Be well prepared for the challenges that awaits them in the world. Ultimately, we want all of our pupils, to be the best they can be, making a positive contribution to the world they live in</w:t>
      </w:r>
    </w:p>
    <w:sectPr w:rsidR="000A2587" w:rsidSect="0072041A">
      <w:pgSz w:w="11906" w:h="16838" w:orient="portrait"/>
      <w:pgMar w:top="426" w:right="707"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3">
    <w:nsid w:val="23f22a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f1a42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724B0B"/>
    <w:multiLevelType w:val="multilevel"/>
    <w:tmpl w:val="62444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344A80"/>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A17202"/>
    <w:multiLevelType w:val="hybridMultilevel"/>
    <w:tmpl w:val="218C5894"/>
    <w:lvl w:ilvl="0" w:tplc="08090003">
      <w:start w:val="1"/>
      <w:numFmt w:val="bullet"/>
      <w:lvlText w:val="o"/>
      <w:lvlJc w:val="left"/>
      <w:pPr>
        <w:ind w:left="3240" w:hanging="360"/>
      </w:pPr>
      <w:rPr>
        <w:rFonts w:hint="default" w:ascii="Courier New" w:hAnsi="Courier New" w:cs="Courier New"/>
      </w:rPr>
    </w:lvl>
    <w:lvl w:ilvl="1" w:tplc="08090003" w:tentative="1">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3" w15:restartNumberingAfterBreak="0">
    <w:nsid w:val="0F6C5836"/>
    <w:multiLevelType w:val="hybridMultilevel"/>
    <w:tmpl w:val="CFDCD98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04405EA"/>
    <w:multiLevelType w:val="hybridMultilevel"/>
    <w:tmpl w:val="04B84734"/>
    <w:lvl w:ilvl="0" w:tplc="CF2A388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8D71DF"/>
    <w:multiLevelType w:val="multilevel"/>
    <w:tmpl w:val="A22AB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E46ACA"/>
    <w:multiLevelType w:val="hybridMultilevel"/>
    <w:tmpl w:val="4EA68CC8"/>
    <w:lvl w:ilvl="0" w:tplc="CF2A388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4BE2B15"/>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1411DF1"/>
    <w:multiLevelType w:val="hybridMultilevel"/>
    <w:tmpl w:val="BF3022D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2902667"/>
    <w:multiLevelType w:val="hybridMultilevel"/>
    <w:tmpl w:val="F4E6A6A6"/>
    <w:lvl w:ilvl="0" w:tplc="0809000D">
      <w:start w:val="1"/>
      <w:numFmt w:val="bullet"/>
      <w:lvlText w:val=""/>
      <w:lvlJc w:val="left"/>
      <w:pPr>
        <w:ind w:left="142" w:hanging="360"/>
      </w:pPr>
      <w:rPr>
        <w:rFonts w:hint="default" w:ascii="Wingdings" w:hAnsi="Wingdings"/>
      </w:rPr>
    </w:lvl>
    <w:lvl w:ilvl="1" w:tplc="08090003" w:tentative="1">
      <w:start w:val="1"/>
      <w:numFmt w:val="bullet"/>
      <w:lvlText w:val="o"/>
      <w:lvlJc w:val="left"/>
      <w:pPr>
        <w:ind w:left="862" w:hanging="360"/>
      </w:pPr>
      <w:rPr>
        <w:rFonts w:hint="default" w:ascii="Courier New" w:hAnsi="Courier New" w:cs="Courier New"/>
      </w:rPr>
    </w:lvl>
    <w:lvl w:ilvl="2" w:tplc="08090005" w:tentative="1">
      <w:start w:val="1"/>
      <w:numFmt w:val="bullet"/>
      <w:lvlText w:val=""/>
      <w:lvlJc w:val="left"/>
      <w:pPr>
        <w:ind w:left="1582" w:hanging="360"/>
      </w:pPr>
      <w:rPr>
        <w:rFonts w:hint="default" w:ascii="Wingdings" w:hAnsi="Wingdings"/>
      </w:rPr>
    </w:lvl>
    <w:lvl w:ilvl="3" w:tplc="08090001" w:tentative="1">
      <w:start w:val="1"/>
      <w:numFmt w:val="bullet"/>
      <w:lvlText w:val=""/>
      <w:lvlJc w:val="left"/>
      <w:pPr>
        <w:ind w:left="2302" w:hanging="360"/>
      </w:pPr>
      <w:rPr>
        <w:rFonts w:hint="default" w:ascii="Symbol" w:hAnsi="Symbol"/>
      </w:rPr>
    </w:lvl>
    <w:lvl w:ilvl="4" w:tplc="08090003" w:tentative="1">
      <w:start w:val="1"/>
      <w:numFmt w:val="bullet"/>
      <w:lvlText w:val="o"/>
      <w:lvlJc w:val="left"/>
      <w:pPr>
        <w:ind w:left="3022" w:hanging="360"/>
      </w:pPr>
      <w:rPr>
        <w:rFonts w:hint="default" w:ascii="Courier New" w:hAnsi="Courier New" w:cs="Courier New"/>
      </w:rPr>
    </w:lvl>
    <w:lvl w:ilvl="5" w:tplc="08090005" w:tentative="1">
      <w:start w:val="1"/>
      <w:numFmt w:val="bullet"/>
      <w:lvlText w:val=""/>
      <w:lvlJc w:val="left"/>
      <w:pPr>
        <w:ind w:left="3742" w:hanging="360"/>
      </w:pPr>
      <w:rPr>
        <w:rFonts w:hint="default" w:ascii="Wingdings" w:hAnsi="Wingdings"/>
      </w:rPr>
    </w:lvl>
    <w:lvl w:ilvl="6" w:tplc="08090001" w:tentative="1">
      <w:start w:val="1"/>
      <w:numFmt w:val="bullet"/>
      <w:lvlText w:val=""/>
      <w:lvlJc w:val="left"/>
      <w:pPr>
        <w:ind w:left="4462" w:hanging="360"/>
      </w:pPr>
      <w:rPr>
        <w:rFonts w:hint="default" w:ascii="Symbol" w:hAnsi="Symbol"/>
      </w:rPr>
    </w:lvl>
    <w:lvl w:ilvl="7" w:tplc="08090003" w:tentative="1">
      <w:start w:val="1"/>
      <w:numFmt w:val="bullet"/>
      <w:lvlText w:val="o"/>
      <w:lvlJc w:val="left"/>
      <w:pPr>
        <w:ind w:left="5182" w:hanging="360"/>
      </w:pPr>
      <w:rPr>
        <w:rFonts w:hint="default" w:ascii="Courier New" w:hAnsi="Courier New" w:cs="Courier New"/>
      </w:rPr>
    </w:lvl>
    <w:lvl w:ilvl="8" w:tplc="08090005" w:tentative="1">
      <w:start w:val="1"/>
      <w:numFmt w:val="bullet"/>
      <w:lvlText w:val=""/>
      <w:lvlJc w:val="left"/>
      <w:pPr>
        <w:ind w:left="5902" w:hanging="360"/>
      </w:pPr>
      <w:rPr>
        <w:rFonts w:hint="default" w:ascii="Wingdings" w:hAnsi="Wingdings"/>
      </w:rPr>
    </w:lvl>
  </w:abstractNum>
  <w:abstractNum w:abstractNumId="10" w15:restartNumberingAfterBreak="0">
    <w:nsid w:val="563B607C"/>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FA94726"/>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4">
    <w:abstractNumId w:val="13"/>
  </w:num>
  <w:num w:numId="13">
    <w:abstractNumId w:val="12"/>
  </w:num>
  <w:num w:numId="1">
    <w:abstractNumId w:val="2"/>
  </w:num>
  <w:num w:numId="2">
    <w:abstractNumId w:val="3"/>
  </w:num>
  <w:num w:numId="3">
    <w:abstractNumId w:val="11"/>
  </w:num>
  <w:num w:numId="4">
    <w:abstractNumId w:val="7"/>
  </w:num>
  <w:num w:numId="5">
    <w:abstractNumId w:val="1"/>
  </w:num>
  <w:num w:numId="6">
    <w:abstractNumId w:val="10"/>
  </w:num>
  <w:num w:numId="7">
    <w:abstractNumId w:val="9"/>
  </w:num>
  <w:num w:numId="8">
    <w:abstractNumId w:val="8"/>
  </w:num>
  <w:num w:numId="9">
    <w:abstractNumId w:val="0"/>
  </w:num>
  <w:num w:numId="10">
    <w:abstractNumId w:val="5"/>
  </w:num>
  <w:num w:numId="11">
    <w:abstractNumId w:val="4"/>
  </w:num>
  <w:num w:numId="1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DB"/>
    <w:rsid w:val="0006181D"/>
    <w:rsid w:val="000710E5"/>
    <w:rsid w:val="00071829"/>
    <w:rsid w:val="00071AFC"/>
    <w:rsid w:val="0009072B"/>
    <w:rsid w:val="000A2587"/>
    <w:rsid w:val="000C7779"/>
    <w:rsid w:val="000F3B9D"/>
    <w:rsid w:val="000F6DB4"/>
    <w:rsid w:val="00112CB8"/>
    <w:rsid w:val="0014119E"/>
    <w:rsid w:val="00144AA8"/>
    <w:rsid w:val="0017686B"/>
    <w:rsid w:val="001B6668"/>
    <w:rsid w:val="00206978"/>
    <w:rsid w:val="00241B10"/>
    <w:rsid w:val="00255B15"/>
    <w:rsid w:val="002940E6"/>
    <w:rsid w:val="002E14A2"/>
    <w:rsid w:val="002E50E5"/>
    <w:rsid w:val="00316E7C"/>
    <w:rsid w:val="00330E15"/>
    <w:rsid w:val="0035378F"/>
    <w:rsid w:val="003850B6"/>
    <w:rsid w:val="003A5129"/>
    <w:rsid w:val="003F62EF"/>
    <w:rsid w:val="00420DC4"/>
    <w:rsid w:val="00425679"/>
    <w:rsid w:val="00436C6D"/>
    <w:rsid w:val="00477CC2"/>
    <w:rsid w:val="0048160D"/>
    <w:rsid w:val="004864EE"/>
    <w:rsid w:val="004B4B9D"/>
    <w:rsid w:val="004B4F3A"/>
    <w:rsid w:val="004C18DD"/>
    <w:rsid w:val="004D0F39"/>
    <w:rsid w:val="0050153B"/>
    <w:rsid w:val="005267A0"/>
    <w:rsid w:val="00567AE8"/>
    <w:rsid w:val="005A593A"/>
    <w:rsid w:val="005D01FC"/>
    <w:rsid w:val="005E5305"/>
    <w:rsid w:val="005F45EC"/>
    <w:rsid w:val="005F62AA"/>
    <w:rsid w:val="006339E5"/>
    <w:rsid w:val="00645C51"/>
    <w:rsid w:val="006603E0"/>
    <w:rsid w:val="006A5BDE"/>
    <w:rsid w:val="006D2C95"/>
    <w:rsid w:val="006E59F0"/>
    <w:rsid w:val="0071412A"/>
    <w:rsid w:val="0072041A"/>
    <w:rsid w:val="00740987"/>
    <w:rsid w:val="0078652D"/>
    <w:rsid w:val="007D0A82"/>
    <w:rsid w:val="007D1A76"/>
    <w:rsid w:val="007F6E8F"/>
    <w:rsid w:val="00800A7F"/>
    <w:rsid w:val="008255A0"/>
    <w:rsid w:val="008723FA"/>
    <w:rsid w:val="00882B8C"/>
    <w:rsid w:val="008A6A4B"/>
    <w:rsid w:val="008B3F28"/>
    <w:rsid w:val="008D3A73"/>
    <w:rsid w:val="00945196"/>
    <w:rsid w:val="009858B3"/>
    <w:rsid w:val="00991F99"/>
    <w:rsid w:val="009C135E"/>
    <w:rsid w:val="009D41B8"/>
    <w:rsid w:val="00A07098"/>
    <w:rsid w:val="00A32050"/>
    <w:rsid w:val="00A33975"/>
    <w:rsid w:val="00A42981"/>
    <w:rsid w:val="00A74C20"/>
    <w:rsid w:val="00A84DDD"/>
    <w:rsid w:val="00A8760C"/>
    <w:rsid w:val="00AC4045"/>
    <w:rsid w:val="00B06FEA"/>
    <w:rsid w:val="00B13FCF"/>
    <w:rsid w:val="00B14E8E"/>
    <w:rsid w:val="00B22DAE"/>
    <w:rsid w:val="00B348A0"/>
    <w:rsid w:val="00B66493"/>
    <w:rsid w:val="00B74BEE"/>
    <w:rsid w:val="00BB57DB"/>
    <w:rsid w:val="00BB7DAA"/>
    <w:rsid w:val="00C000A2"/>
    <w:rsid w:val="00C4263F"/>
    <w:rsid w:val="00C429BC"/>
    <w:rsid w:val="00C51CAC"/>
    <w:rsid w:val="00CB197B"/>
    <w:rsid w:val="00CB4539"/>
    <w:rsid w:val="00CD69BA"/>
    <w:rsid w:val="00CF6E9B"/>
    <w:rsid w:val="00D01AD9"/>
    <w:rsid w:val="00D17D21"/>
    <w:rsid w:val="00D32457"/>
    <w:rsid w:val="00D8165D"/>
    <w:rsid w:val="00D901CA"/>
    <w:rsid w:val="00DD4901"/>
    <w:rsid w:val="00DD65C7"/>
    <w:rsid w:val="00E22C86"/>
    <w:rsid w:val="00E51F81"/>
    <w:rsid w:val="00E54BE3"/>
    <w:rsid w:val="00E81AFA"/>
    <w:rsid w:val="00E921FB"/>
    <w:rsid w:val="00EA7057"/>
    <w:rsid w:val="00EE1A0B"/>
    <w:rsid w:val="00EE7B74"/>
    <w:rsid w:val="00EF1542"/>
    <w:rsid w:val="00F01150"/>
    <w:rsid w:val="00F12389"/>
    <w:rsid w:val="00F219BD"/>
    <w:rsid w:val="00F3399F"/>
    <w:rsid w:val="00F643EF"/>
    <w:rsid w:val="00F86068"/>
    <w:rsid w:val="00F90902"/>
    <w:rsid w:val="00FB7460"/>
    <w:rsid w:val="00FE3992"/>
    <w:rsid w:val="00FE6227"/>
    <w:rsid w:val="00FF3D2A"/>
    <w:rsid w:val="01597970"/>
    <w:rsid w:val="01652917"/>
    <w:rsid w:val="01C6260F"/>
    <w:rsid w:val="02669BEB"/>
    <w:rsid w:val="050B41A1"/>
    <w:rsid w:val="05DDD62E"/>
    <w:rsid w:val="0814C7E8"/>
    <w:rsid w:val="0820511F"/>
    <w:rsid w:val="08395937"/>
    <w:rsid w:val="0912F3E8"/>
    <w:rsid w:val="09427095"/>
    <w:rsid w:val="0BCE1D26"/>
    <w:rsid w:val="0C326DB0"/>
    <w:rsid w:val="0C691DA2"/>
    <w:rsid w:val="0E6EF66C"/>
    <w:rsid w:val="0F93D9AB"/>
    <w:rsid w:val="0FBF54C0"/>
    <w:rsid w:val="10F0746C"/>
    <w:rsid w:val="125799F6"/>
    <w:rsid w:val="128C44CD"/>
    <w:rsid w:val="12D6D343"/>
    <w:rsid w:val="12DE7FDB"/>
    <w:rsid w:val="151469EE"/>
    <w:rsid w:val="15C282D0"/>
    <w:rsid w:val="15F70F6A"/>
    <w:rsid w:val="163D0964"/>
    <w:rsid w:val="198626AA"/>
    <w:rsid w:val="19DFD327"/>
    <w:rsid w:val="1AC6B214"/>
    <w:rsid w:val="1B89B640"/>
    <w:rsid w:val="1DA01A0C"/>
    <w:rsid w:val="1ED1FD2D"/>
    <w:rsid w:val="1F347E0B"/>
    <w:rsid w:val="1F894D34"/>
    <w:rsid w:val="1FDDEB36"/>
    <w:rsid w:val="228D2124"/>
    <w:rsid w:val="230DD70D"/>
    <w:rsid w:val="23D4B1C3"/>
    <w:rsid w:val="247191EF"/>
    <w:rsid w:val="25CCE142"/>
    <w:rsid w:val="26B4A3EF"/>
    <w:rsid w:val="27FB0A82"/>
    <w:rsid w:val="28507450"/>
    <w:rsid w:val="29048204"/>
    <w:rsid w:val="2A3F1BC5"/>
    <w:rsid w:val="2BDD03C4"/>
    <w:rsid w:val="2C911135"/>
    <w:rsid w:val="2D5340D5"/>
    <w:rsid w:val="2D9867A3"/>
    <w:rsid w:val="2DDA803D"/>
    <w:rsid w:val="2E5644B3"/>
    <w:rsid w:val="2ED87E28"/>
    <w:rsid w:val="2EEF1136"/>
    <w:rsid w:val="2F4E7730"/>
    <w:rsid w:val="30467098"/>
    <w:rsid w:val="317F8136"/>
    <w:rsid w:val="3204ACCD"/>
    <w:rsid w:val="33972EDA"/>
    <w:rsid w:val="341FBE16"/>
    <w:rsid w:val="34B4B38C"/>
    <w:rsid w:val="355E52BA"/>
    <w:rsid w:val="3813196E"/>
    <w:rsid w:val="38E8CA90"/>
    <w:rsid w:val="38E90CA1"/>
    <w:rsid w:val="3C672344"/>
    <w:rsid w:val="3FE20B72"/>
    <w:rsid w:val="413CC62C"/>
    <w:rsid w:val="43844680"/>
    <w:rsid w:val="43B309F1"/>
    <w:rsid w:val="43CE8CAF"/>
    <w:rsid w:val="445CD912"/>
    <w:rsid w:val="44DA0690"/>
    <w:rsid w:val="4675D6F1"/>
    <w:rsid w:val="46C55191"/>
    <w:rsid w:val="4986B1DC"/>
    <w:rsid w:val="4A19898C"/>
    <w:rsid w:val="4A46DEA8"/>
    <w:rsid w:val="4A6CFB8B"/>
    <w:rsid w:val="4AAC7F3F"/>
    <w:rsid w:val="4C113D39"/>
    <w:rsid w:val="4F5989B8"/>
    <w:rsid w:val="4F602254"/>
    <w:rsid w:val="5079B8DC"/>
    <w:rsid w:val="51A46895"/>
    <w:rsid w:val="522EF047"/>
    <w:rsid w:val="52B23A34"/>
    <w:rsid w:val="52F110A9"/>
    <w:rsid w:val="53062646"/>
    <w:rsid w:val="53802296"/>
    <w:rsid w:val="53A9F9CC"/>
    <w:rsid w:val="542FB688"/>
    <w:rsid w:val="54EE1100"/>
    <w:rsid w:val="5684A417"/>
    <w:rsid w:val="57DAE542"/>
    <w:rsid w:val="583BDE2F"/>
    <w:rsid w:val="58949E76"/>
    <w:rsid w:val="5992103E"/>
    <w:rsid w:val="59CCFB7E"/>
    <w:rsid w:val="5A400E5B"/>
    <w:rsid w:val="5A988475"/>
    <w:rsid w:val="5C97F2EF"/>
    <w:rsid w:val="5CC74838"/>
    <w:rsid w:val="5CD315CF"/>
    <w:rsid w:val="5CFCAAA0"/>
    <w:rsid w:val="5E4A7DF8"/>
    <w:rsid w:val="5EB30451"/>
    <w:rsid w:val="5F3C9BE0"/>
    <w:rsid w:val="600AB691"/>
    <w:rsid w:val="602FE584"/>
    <w:rsid w:val="604C42F4"/>
    <w:rsid w:val="62857439"/>
    <w:rsid w:val="6315B876"/>
    <w:rsid w:val="63327D15"/>
    <w:rsid w:val="64D94892"/>
    <w:rsid w:val="64EAA6E6"/>
    <w:rsid w:val="65EFF2D0"/>
    <w:rsid w:val="67E67E63"/>
    <w:rsid w:val="6A41310C"/>
    <w:rsid w:val="6A6665C2"/>
    <w:rsid w:val="6AE1C167"/>
    <w:rsid w:val="6D803BF8"/>
    <w:rsid w:val="6DAD09B2"/>
    <w:rsid w:val="6EFCA03E"/>
    <w:rsid w:val="6F48DA13"/>
    <w:rsid w:val="6F85B1A6"/>
    <w:rsid w:val="71218207"/>
    <w:rsid w:val="71B333B3"/>
    <w:rsid w:val="72A09371"/>
    <w:rsid w:val="72BD5268"/>
    <w:rsid w:val="736068A3"/>
    <w:rsid w:val="738B8F9E"/>
    <w:rsid w:val="73EDF1BD"/>
    <w:rsid w:val="7402622D"/>
    <w:rsid w:val="74A7EDC7"/>
    <w:rsid w:val="75FEFA0A"/>
    <w:rsid w:val="7643BE28"/>
    <w:rsid w:val="767D5037"/>
    <w:rsid w:val="767FFF47"/>
    <w:rsid w:val="7755C433"/>
    <w:rsid w:val="797B5EEA"/>
    <w:rsid w:val="7A11DD4B"/>
    <w:rsid w:val="7A6B1D1C"/>
    <w:rsid w:val="7B4611DC"/>
    <w:rsid w:val="7BF8CC02"/>
    <w:rsid w:val="7CB2C4C1"/>
    <w:rsid w:val="7DAA3807"/>
    <w:rsid w:val="7E4F0109"/>
    <w:rsid w:val="7E86F0A3"/>
    <w:rsid w:val="7F773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2C34"/>
  <w15:docId w15:val="{81D1022D-2A53-4FB8-B76E-A522311843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B57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E1A0B"/>
    <w:pPr>
      <w:ind w:left="720"/>
      <w:contextualSpacing/>
    </w:pPr>
  </w:style>
  <w:style w:type="paragraph" w:styleId="xmsonormal" w:customStyle="1">
    <w:name w:val="x_msonormal"/>
    <w:basedOn w:val="Normal"/>
    <w:rsid w:val="008D3A73"/>
    <w:pPr>
      <w:spacing w:after="0" w:line="240" w:lineRule="auto"/>
    </w:pPr>
    <w:rPr>
      <w:rFonts w:ascii="Calibri" w:hAnsi="Calibri" w:cs="Calibri" w:eastAsiaTheme="minorEastAsia"/>
      <w:lang w:eastAsia="en-GB"/>
    </w:rPr>
  </w:style>
  <w:style w:type="paragraph" w:styleId="xmsolistparagraph" w:customStyle="1">
    <w:name w:val="x_msolistparagraph"/>
    <w:basedOn w:val="Normal"/>
    <w:rsid w:val="008D3A73"/>
    <w:pPr>
      <w:spacing w:after="0" w:line="240" w:lineRule="auto"/>
      <w:ind w:left="720"/>
    </w:pPr>
    <w:rPr>
      <w:rFonts w:ascii="Calibri" w:hAnsi="Calibri" w:cs="Calibri" w:eastAsiaTheme="minorEastAsia"/>
      <w:sz w:val="24"/>
      <w:szCs w:val="24"/>
      <w:lang w:eastAsia="en-GB"/>
    </w:rPr>
  </w:style>
  <w:style w:type="paragraph" w:styleId="NoSpacing">
    <w:name w:val="No Spacing"/>
    <w:uiPriority w:val="1"/>
    <w:qFormat/>
    <w:rsid w:val="00BB7D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6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7b7ee3-9532-4d47-85c2-45ea6befba71">
      <Terms xmlns="http://schemas.microsoft.com/office/infopath/2007/PartnerControls"/>
    </lcf76f155ced4ddcb4097134ff3c332f>
    <TaxCatchAll xmlns="5a32cb5b-f885-4374-af00-19c10683c860" xsi:nil="true"/>
    <SharedWithUsers xmlns="5a32cb5b-f885-4374-af00-19c10683c860">
      <UserInfo>
        <DisplayName>Stuart Williams (Pine Green Staff)</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E51F870B3110429A7EF44F215A8A8A" ma:contentTypeVersion="19" ma:contentTypeDescription="Create a new document." ma:contentTypeScope="" ma:versionID="fcbc9069e49271a5389ef12f0174be7c">
  <xsd:schema xmlns:xsd="http://www.w3.org/2001/XMLSchema" xmlns:xs="http://www.w3.org/2001/XMLSchema" xmlns:p="http://schemas.microsoft.com/office/2006/metadata/properties" xmlns:ns2="5a32cb5b-f885-4374-af00-19c10683c860" xmlns:ns3="997b7ee3-9532-4d47-85c2-45ea6befba71" targetNamespace="http://schemas.microsoft.com/office/2006/metadata/properties" ma:root="true" ma:fieldsID="26d2fc185a5cc3ac8aee6356909cb38e" ns2:_="" ns3:_="">
    <xsd:import namespace="5a32cb5b-f885-4374-af00-19c10683c860"/>
    <xsd:import namespace="997b7ee3-9532-4d47-85c2-45ea6befba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2:TaxCatchAll" minOccurs="0"/>
                <xsd:element ref="ns3:MediaServiceSearchPropertie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2cb5b-f885-4374-af00-19c10683c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10b135d-f02d-4a0f-a8a0-1e361331d942}" ma:internalName="TaxCatchAll" ma:showField="CatchAllData" ma:web="5a32cb5b-f885-4374-af00-19c10683c8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7ee3-9532-4d47-85c2-45ea6befba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43394-E591-4A14-974D-F3D6E99D5489}">
  <ds:schemaRefs>
    <ds:schemaRef ds:uri="a7c54e6b-9b35-4ebd-99e8-f38fd404df88"/>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87fa379e-d886-45a5-8ec2-884e772d3edf"/>
    <ds:schemaRef ds:uri="http://purl.org/dc/terms/"/>
    <ds:schemaRef ds:uri="http://purl.org/dc/elements/1.1/"/>
  </ds:schemaRefs>
</ds:datastoreItem>
</file>

<file path=customXml/itemProps2.xml><?xml version="1.0" encoding="utf-8"?>
<ds:datastoreItem xmlns:ds="http://schemas.openxmlformats.org/officeDocument/2006/customXml" ds:itemID="{13804EE9-B840-449E-9F42-6A055E27AF8A}"/>
</file>

<file path=customXml/itemProps3.xml><?xml version="1.0" encoding="utf-8"?>
<ds:datastoreItem xmlns:ds="http://schemas.openxmlformats.org/officeDocument/2006/customXml" ds:itemID="{D547598D-765B-4D37-9079-04585C8C6D65}">
  <ds:schemaRefs>
    <ds:schemaRef ds:uri="http://schemas.microsoft.com/sharepoint/v3/contenttype/forms"/>
  </ds:schemaRefs>
</ds:datastoreItem>
</file>

<file path=customXml/itemProps4.xml><?xml version="1.0" encoding="utf-8"?>
<ds:datastoreItem xmlns:ds="http://schemas.openxmlformats.org/officeDocument/2006/customXml" ds:itemID="{3FB3270A-0A20-49C2-ADEB-2B100A1FDCE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 Williams</dc:creator>
  <cp:keywords/>
  <dc:description/>
  <cp:lastModifiedBy>Butta Singh</cp:lastModifiedBy>
  <cp:revision>12</cp:revision>
  <cp:lastPrinted>2022-01-31T13:03:00Z</cp:lastPrinted>
  <dcterms:created xsi:type="dcterms:W3CDTF">2022-02-03T07:32:00Z</dcterms:created>
  <dcterms:modified xsi:type="dcterms:W3CDTF">2023-10-03T19:00:07Z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0x010100C5E51F870B3110429A7EF44F215A8A8A</vt:lpwstr>
  </property>
  <property fmtid="{D5CDD505-2E9C-101B-9397-08002B2CF9AE}" pid="3" name="MediaServiceImageTags">
    <vt:lpwstr/>
  </property>
</Properties>
</file>