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F3399F" w:rsidP="0072041A" w:rsidRDefault="000A2587" w14:paraId="11BFECCB" wp14:textId="77777777">
      <w:pPr>
        <w:ind w:left="142"/>
        <w:rPr>
          <w:b/>
          <w:bCs/>
          <w:sz w:val="24"/>
          <w:szCs w:val="24"/>
          <w:u w:val="single"/>
          <w:lang w:val="en-US"/>
        </w:rPr>
      </w:pPr>
      <w:bookmarkStart w:name="_GoBack" w:id="0"/>
      <w:bookmarkEnd w:id="0"/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F4372C6" wp14:editId="1F23113C">
            <wp:simplePos x="0" y="0"/>
            <wp:positionH relativeFrom="margin">
              <wp:align>right</wp:align>
            </wp:positionH>
            <wp:positionV relativeFrom="paragraph">
              <wp:posOffset>-196850</wp:posOffset>
            </wp:positionV>
            <wp:extent cx="976630" cy="523875"/>
            <wp:effectExtent l="0" t="0" r="0" b="9525"/>
            <wp:wrapNone/>
            <wp:docPr id="2" name="Picture 2" descr="cid:095d2553-b725-44b4-b66a-2051c8a18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095d2553-b725-44b4-b66a-2051c8a18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068" w:rsidR="00BB57DB">
        <w:rPr>
          <w:b/>
          <w:bCs/>
          <w:sz w:val="24"/>
          <w:szCs w:val="24"/>
          <w:u w:val="single"/>
          <w:lang w:val="en-US"/>
        </w:rPr>
        <w:t xml:space="preserve">Curriculum Intent </w:t>
      </w:r>
      <w:r w:rsidRPr="00F86068" w:rsidR="00A42981">
        <w:rPr>
          <w:b/>
          <w:bCs/>
          <w:sz w:val="24"/>
          <w:szCs w:val="24"/>
          <w:u w:val="single"/>
          <w:lang w:val="en-US"/>
        </w:rPr>
        <w:t>o</w:t>
      </w:r>
      <w:r w:rsidRPr="00F86068" w:rsidR="00BB57DB">
        <w:rPr>
          <w:b/>
          <w:bCs/>
          <w:sz w:val="24"/>
          <w:szCs w:val="24"/>
          <w:u w:val="single"/>
          <w:lang w:val="en-US"/>
        </w:rPr>
        <w:t xml:space="preserve">n </w:t>
      </w:r>
      <w:r w:rsidRPr="00F86068" w:rsidR="00A42981">
        <w:rPr>
          <w:b/>
          <w:bCs/>
          <w:sz w:val="24"/>
          <w:szCs w:val="24"/>
          <w:u w:val="single"/>
          <w:lang w:val="en-US"/>
        </w:rPr>
        <w:t>a</w:t>
      </w:r>
      <w:r w:rsidRPr="00F86068" w:rsidR="00BB57DB">
        <w:rPr>
          <w:b/>
          <w:bCs/>
          <w:sz w:val="24"/>
          <w:szCs w:val="24"/>
          <w:u w:val="single"/>
          <w:lang w:val="en-US"/>
        </w:rPr>
        <w:t xml:space="preserve"> Page</w:t>
      </w:r>
      <w:r w:rsidRPr="000A2587">
        <w:rPr>
          <w:noProof/>
        </w:rPr>
        <w:t xml:space="preserve"> </w:t>
      </w:r>
    </w:p>
    <w:p xmlns:wp14="http://schemas.microsoft.com/office/word/2010/wordml" w:rsidRPr="005D01FC" w:rsidR="005D01FC" w:rsidP="00BB57DB" w:rsidRDefault="005D01FC" w14:paraId="672A6659" wp14:textId="77777777">
      <w:pPr>
        <w:rPr>
          <w:b/>
          <w:bCs/>
          <w:sz w:val="2"/>
          <w:szCs w:val="2"/>
          <w:u w:val="single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696"/>
        <w:gridCol w:w="9214"/>
      </w:tblGrid>
      <w:tr xmlns:wp14="http://schemas.microsoft.com/office/word/2010/wordml" w:rsidR="00BB57DB" w:rsidTr="0072041A" w14:paraId="271A4432" wp14:textId="77777777">
        <w:tc>
          <w:tcPr>
            <w:tcW w:w="1696" w:type="dxa"/>
            <w:shd w:val="clear" w:color="auto" w:fill="112B43"/>
          </w:tcPr>
          <w:p w:rsidRPr="00BB57DB" w:rsidR="00BB57DB" w:rsidRDefault="00BB57DB" w14:paraId="27B6226E" wp14:textId="77777777">
            <w:pPr>
              <w:rPr>
                <w:b/>
                <w:bCs/>
                <w:lang w:val="en-US"/>
              </w:rPr>
            </w:pPr>
            <w:r w:rsidRPr="00BB57DB">
              <w:rPr>
                <w:b/>
                <w:bCs/>
                <w:lang w:val="en-US"/>
              </w:rPr>
              <w:t>Subject</w:t>
            </w:r>
          </w:p>
        </w:tc>
        <w:tc>
          <w:tcPr>
            <w:tcW w:w="9214" w:type="dxa"/>
          </w:tcPr>
          <w:p w:rsidRPr="00EE1A0B" w:rsidR="00BB57DB" w:rsidRDefault="00D50CCD" w14:paraId="1ACC5F01" wp14:textId="777777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Physical Education </w:t>
            </w:r>
          </w:p>
        </w:tc>
      </w:tr>
      <w:tr xmlns:wp14="http://schemas.microsoft.com/office/word/2010/wordml" w:rsidR="00BB57DB" w:rsidTr="0072041A" w14:paraId="6FDBE60A" wp14:textId="77777777">
        <w:tc>
          <w:tcPr>
            <w:tcW w:w="1696" w:type="dxa"/>
            <w:shd w:val="clear" w:color="auto" w:fill="112B43"/>
          </w:tcPr>
          <w:p w:rsidRPr="00BB57DB" w:rsidR="00BB57DB" w:rsidRDefault="00D17D21" w14:paraId="336262CF" wp14:textId="77777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Subject Teacher </w:t>
            </w:r>
          </w:p>
        </w:tc>
        <w:tc>
          <w:tcPr>
            <w:tcW w:w="9214" w:type="dxa"/>
          </w:tcPr>
          <w:p w:rsidRPr="00EE1A0B" w:rsidR="00BB57DB" w:rsidP="2BDD03C4" w:rsidRDefault="00D50CCD" w14:paraId="46F89851" wp14:textId="77777777">
            <w:pPr>
              <w:spacing w:line="259" w:lineRule="auto"/>
            </w:pPr>
            <w:r>
              <w:t xml:space="preserve">Mrs Lavelle </w:t>
            </w:r>
          </w:p>
        </w:tc>
      </w:tr>
    </w:tbl>
    <w:p xmlns:wp14="http://schemas.microsoft.com/office/word/2010/wordml" w:rsidRPr="00C429BC" w:rsidR="00BB57DB" w:rsidRDefault="00BB57DB" w14:paraId="0A37501D" wp14:textId="77777777">
      <w:pPr>
        <w:rPr>
          <w:sz w:val="6"/>
          <w:szCs w:val="6"/>
          <w:lang w:val="en-US"/>
        </w:rPr>
      </w:pP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11164"/>
      </w:tblGrid>
      <w:tr xmlns:wp14="http://schemas.microsoft.com/office/word/2010/wordml" w:rsidR="00BB57DB" w:rsidTr="669E4432" w14:paraId="637DE3F0" wp14:textId="77777777">
        <w:tc>
          <w:tcPr>
            <w:tcW w:w="11164" w:type="dxa"/>
            <w:shd w:val="clear" w:color="auto" w:fill="112B43"/>
            <w:tcMar/>
          </w:tcPr>
          <w:p w:rsidRPr="00BB57DB" w:rsidR="00BB57DB" w:rsidP="00991F99" w:rsidRDefault="00B74BEE" w14:paraId="1D9A0E59" wp14:textId="7777777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Pr="00BB57DB" w:rsidR="00BB57DB">
              <w:rPr>
                <w:b/>
                <w:bCs/>
                <w:lang w:val="en-US"/>
              </w:rPr>
              <w:t xml:space="preserve">ntent </w:t>
            </w:r>
            <w:r>
              <w:rPr>
                <w:b/>
                <w:bCs/>
                <w:lang w:val="en-US"/>
              </w:rPr>
              <w:t>s</w:t>
            </w:r>
            <w:r w:rsidRPr="00BB57DB" w:rsidR="00BB57DB">
              <w:rPr>
                <w:b/>
                <w:bCs/>
                <w:lang w:val="en-US"/>
              </w:rPr>
              <w:t xml:space="preserve">tatement </w:t>
            </w:r>
            <w:r w:rsidR="00BB7DAA">
              <w:rPr>
                <w:b/>
                <w:bCs/>
                <w:lang w:val="en-US"/>
              </w:rPr>
              <w:t xml:space="preserve">– Our Curriculum Objectives </w:t>
            </w:r>
          </w:p>
        </w:tc>
      </w:tr>
      <w:tr xmlns:wp14="http://schemas.microsoft.com/office/word/2010/wordml" w:rsidR="00BB57DB" w:rsidTr="669E4432" w14:paraId="2AC0E61E" wp14:textId="77777777">
        <w:tc>
          <w:tcPr>
            <w:tcW w:w="11164" w:type="dxa"/>
            <w:tcMar/>
          </w:tcPr>
          <w:p w:rsidRPr="00532E88" w:rsidR="00532E88" w:rsidP="00532E88" w:rsidRDefault="00D53DD6" w14:paraId="7F236074" wp14:textId="77777777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Our vision </w:t>
            </w:r>
            <w:r w:rsidRPr="00532E88" w:rsidR="00532E88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of K</w:t>
            </w:r>
            <w:r w:rsidR="003824C4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S1 and 2 PE is</w:t>
            </w:r>
            <w:r w:rsidRPr="00532E88" w:rsidR="00532E88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 to develop fundamental movement skills, become increasingly competent and confident and access a broad range of opportunities to extend agility, balance and coordination, individually and with others. Engage in competitive (both against self and against others) and co-operative physical activities, in a range of increasingly challenging situations.</w:t>
            </w:r>
          </w:p>
          <w:p w:rsidRPr="00532E88" w:rsidR="00532E88" w:rsidP="00532E88" w:rsidRDefault="00532E88" w14:paraId="261EE463" wp14:textId="503FE132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4CFA51D3" w:rsidR="00532E8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Within KS2 students should continue to apply and develop a broader range of skills, learning how to use them in </w:t>
            </w:r>
            <w:r w:rsidRPr="4CFA51D3" w:rsidR="00532E8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different ways</w:t>
            </w:r>
            <w:r w:rsidRPr="4CFA51D3" w:rsidR="00532E8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and to link them to make actions and sequences of movement. Communicating, </w:t>
            </w:r>
            <w:r w:rsidRPr="4CFA51D3" w:rsidR="00532E8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collaborating</w:t>
            </w:r>
            <w:r w:rsidRPr="4CFA51D3" w:rsidR="00532E8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and </w:t>
            </w:r>
            <w:r w:rsidRPr="4CFA51D3" w:rsidR="3590BC5A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competing</w:t>
            </w:r>
            <w:r w:rsidRPr="4CFA51D3" w:rsidR="00532E8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. Develop an understanding of how to improve in different physical activities and sports, learning how to evaluate and recognise their own success.</w:t>
            </w:r>
          </w:p>
          <w:p w:rsidR="00255B15" w:rsidP="0014119E" w:rsidRDefault="003824C4" w14:paraId="3A3607CA" wp14:textId="77777777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Within </w:t>
            </w:r>
            <w:r w:rsidRPr="003824C4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KS3 PE </w:t>
            </w:r>
            <w: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the focus is </w:t>
            </w:r>
            <w:r w:rsidRPr="003824C4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to learn and develop skills, techniques and performance; to develop an understanding of a healthy lifestyle; to develop the ability to select and apply skills, tactics and compositional ideas; to develop and improve performance; and to develop an improved understanding of health and </w:t>
            </w:r>
            <w:r w:rsidR="00F33465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safety in a range of activities</w:t>
            </w:r>
            <w:r w:rsidRPr="003824C4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.</w:t>
            </w:r>
          </w:p>
          <w:p w:rsidR="00F33465" w:rsidP="0014119E" w:rsidRDefault="003824C4" w14:paraId="6E4D148A" wp14:textId="4FE26F37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The main aims of KS4 PE are to analyse, evaluate and improve performance applying a good understanding of the benefits of a healthy lifestyle. Students will have the opportunity to 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participate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within a range of sports and activities and ways in which to develop these skills further within the community. Sports leadership is promoted with sports champions leading on a sport or activity of interest. Th</w:t>
            </w:r>
            <w:r w:rsidRPr="4CFA51D3" w:rsidR="00F33465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rough the gym lessons and </w:t>
            </w:r>
            <w:r w:rsidRPr="4CFA51D3" w:rsidR="00F33465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Btec</w:t>
            </w:r>
            <w:r w:rsidRPr="4CFA51D3" w:rsidR="00F33465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S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port opportunities</w:t>
            </w:r>
            <w:r w:rsidRPr="4CFA51D3" w:rsidR="2F5690DF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,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students gain the knowledge of lifelong learning and career pathways </w:t>
            </w:r>
            <w:r w:rsidRPr="4CFA51D3" w:rsidR="106657EF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of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sports coach, gym instructor, personal trainer, PE teacher, physiotherapist and many more. </w:t>
            </w:r>
          </w:p>
          <w:p w:rsidRPr="007D0A82" w:rsidR="00255B15" w:rsidP="0014119E" w:rsidRDefault="003824C4" w14:paraId="5049485D" wp14:textId="23B04C3E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Throughout each of the activities covered </w:t>
            </w:r>
            <w:r w:rsidRPr="4CFA51D3" w:rsidR="00F33465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across the phases, the 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individualised EHCP desired outcomes will be targeted. Communication and interaction will be 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demonstrated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through </w:t>
            </w:r>
            <w:r w:rsidRPr="4CFA51D3" w:rsidR="45E33D1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teamwork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and co-operation; mental 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capacity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will be developed through learning rules, thinking skills and ability to evaluate; SEMH will be targeted through boosting self-confidence and self-esteem and physical and sensory development will be through working on improving physical fitness, agility, 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co-ordination</w:t>
            </w:r>
            <w:r w:rsidRPr="4CFA51D3" w:rsidR="003824C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and control.</w:t>
            </w:r>
          </w:p>
        </w:tc>
      </w:tr>
      <w:tr xmlns:wp14="http://schemas.microsoft.com/office/word/2010/wordml" w:rsidR="00BB57DB" w:rsidTr="669E4432" w14:paraId="7639B76D" wp14:textId="77777777">
        <w:tc>
          <w:tcPr>
            <w:tcW w:w="11164" w:type="dxa"/>
            <w:shd w:val="clear" w:color="auto" w:fill="112B43"/>
            <w:tcMar/>
          </w:tcPr>
          <w:p w:rsidRPr="00BB57DB" w:rsidR="00BB57DB" w:rsidP="00991F99" w:rsidRDefault="00BB7DAA" w14:paraId="126BD043" wp14:textId="7777777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Curriculum Sequencing</w:t>
            </w:r>
          </w:p>
        </w:tc>
      </w:tr>
      <w:tr xmlns:wp14="http://schemas.microsoft.com/office/word/2010/wordml" w:rsidR="00BB57DB" w:rsidTr="669E4432" w14:paraId="2BFF7C55" wp14:textId="77777777">
        <w:tc>
          <w:tcPr>
            <w:tcW w:w="11164" w:type="dxa"/>
            <w:tcMar/>
          </w:tcPr>
          <w:p w:rsidR="00D53DD6" w:rsidP="0014119E" w:rsidRDefault="00D53DD6" w14:paraId="2EAC5195" wp14:textId="4C7D0286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</w:pPr>
            <w:r w:rsidRPr="4CFA51D3" w:rsidR="28D927C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In Year 7 students are introduced to the basic rules and skills needed to patriciate within a wide range of sports and physical activities, set to the class's interests.</w:t>
            </w:r>
            <w:r w:rsidRPr="4CFA51D3" w:rsidR="00D53DD6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Along with t</w:t>
            </w:r>
            <w:r w:rsidRPr="4CFA51D3" w:rsidR="00D53DD6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he basic prin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ciple to w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hy we warm-up and cool-down, 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presented in a physical and discussed based method. </w:t>
            </w:r>
          </w:p>
          <w:p w:rsidR="006D7FF1" w:rsidP="0014119E" w:rsidRDefault="00D53DD6" w14:paraId="58279A83" wp14:textId="77777777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</w:pPr>
            <w:r w:rsidRPr="00D53DD6"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  <w:t>In Year 8, students are introduced</w:t>
            </w:r>
            <w: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  <w:t xml:space="preserve"> to the more complex skills needed to progress further within set sports and activities.</w:t>
            </w:r>
            <w:r w:rsidR="006D7FF1"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  <w:t xml:space="preserve"> Applying tactical strategies to outwit opponents, developing emotional resilience and leadership skills needed when participating within sport activities. </w:t>
            </w:r>
          </w:p>
          <w:p w:rsidR="00D53DD6" w:rsidP="0014119E" w:rsidRDefault="00960492" w14:paraId="0AECF6FD" wp14:textId="7EE63032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</w:pP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Introducing the basic functions of the skeleton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and muscular systems, </w:t>
            </w:r>
            <w:r w:rsidRPr="4CFA51D3" w:rsidR="13CEB395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identifying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the basic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bones and muscles. </w:t>
            </w:r>
          </w:p>
          <w:p w:rsidR="006D7FF1" w:rsidP="0014119E" w:rsidRDefault="00D53DD6" w14:paraId="42D22DB6" wp14:textId="56C6EE8F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</w:pPr>
            <w:r w:rsidRPr="4CFA51D3" w:rsidR="00D53DD6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In Year 9, 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the 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main focus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is </w:t>
            </w:r>
            <w:r w:rsidRPr="4CFA51D3" w:rsidR="49005F2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refining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the skills needed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to take part in specific 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sports and physically demanding activities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, again set to the student’s interests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. 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Students 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have the opportunity to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gain 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the knowledge to understan</w:t>
            </w:r>
            <w:r w:rsidRPr="4CFA51D3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d the benefits of being active</w:t>
            </w:r>
            <w:r w:rsidRPr="4CFA51D3" w:rsidR="0096049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and what affects exercise has on the body. Students 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will leave KS3 with the basic skills needed to then progress into 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Btec</w:t>
            </w:r>
            <w:r w:rsidRPr="4CFA51D3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sport within KS4, scaffolding the knowledge gained within KS3 PE student will have a good understanding of how the body responds to exercise, name and label the major bones and muscles, the importance of warming up, participating in physical activity and maintaining a healthy diet.</w:t>
            </w:r>
          </w:p>
          <w:p w:rsidR="00BB7DAA" w:rsidP="669E4432" w:rsidRDefault="006D7FF1" w14:paraId="1E8DC9E0" wp14:textId="4AFB1177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GB"/>
              </w:rPr>
            </w:pPr>
            <w:r w:rsidRPr="669E4432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 xml:space="preserve">In Year 10/11, students </w:t>
            </w:r>
            <w:r w:rsidRPr="669E4432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>have the opportunity to</w:t>
            </w:r>
            <w:r w:rsidRPr="669E4432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 xml:space="preserve"> select </w:t>
            </w:r>
            <w:r w:rsidRPr="669E4432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>Btec</w:t>
            </w:r>
            <w:r w:rsidRPr="669E4432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 xml:space="preserve"> Sport</w:t>
            </w:r>
            <w:r w:rsidRPr="669E4432" w:rsidR="4E7BBB2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 xml:space="preserve">. </w:t>
            </w:r>
            <w:r w:rsidRPr="669E4432" w:rsidR="006D7FF1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 xml:space="preserve"> </w:t>
            </w:r>
            <w:r w:rsidRPr="669E4432" w:rsidR="008425E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GB"/>
              </w:rPr>
              <w:t xml:space="preserve"> </w:t>
            </w:r>
          </w:p>
          <w:p w:rsidRPr="007D0A82" w:rsidR="00255B15" w:rsidP="0014119E" w:rsidRDefault="00255B15" w14:paraId="5DAB6C7B" wp14:textId="77777777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</w:pPr>
          </w:p>
        </w:tc>
      </w:tr>
      <w:tr xmlns:wp14="http://schemas.microsoft.com/office/word/2010/wordml" w:rsidR="00BB57DB" w:rsidTr="669E4432" w14:paraId="4C609CA5" wp14:textId="77777777">
        <w:tc>
          <w:tcPr>
            <w:tcW w:w="11164" w:type="dxa"/>
            <w:shd w:val="clear" w:color="auto" w:fill="112B43"/>
            <w:tcMar/>
          </w:tcPr>
          <w:p w:rsidRPr="00BB57DB" w:rsidR="00BB57DB" w:rsidP="00991F99" w:rsidRDefault="00D17D21" w14:paraId="12B53575" wp14:textId="7777777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Our Long-Term Plan </w:t>
            </w:r>
          </w:p>
        </w:tc>
      </w:tr>
      <w:tr xmlns:wp14="http://schemas.microsoft.com/office/word/2010/wordml" w:rsidR="00BB57DB" w:rsidTr="669E4432" w14:paraId="12D689FB" wp14:textId="77777777">
        <w:tc>
          <w:tcPr>
            <w:tcW w:w="11164" w:type="dxa"/>
            <w:tcMar/>
          </w:tcPr>
          <w:tbl>
            <w:tblPr>
              <w:tblStyle w:val="TableGrid"/>
              <w:tblW w:w="9493" w:type="dxa"/>
              <w:jc w:val="center"/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1559"/>
              <w:gridCol w:w="1701"/>
              <w:gridCol w:w="1701"/>
              <w:gridCol w:w="1414"/>
            </w:tblGrid>
            <w:tr w:rsidR="003824C4" w:rsidTr="4CFA51D3" w14:paraId="74B00375" wp14:textId="77777777">
              <w:trPr>
                <w:jc w:val="center"/>
              </w:trPr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p w:rsidR="003824C4" w:rsidP="003824C4" w:rsidRDefault="003824C4" w14:paraId="25348F9F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Autumn 1</w:t>
                  </w:r>
                </w:p>
                <w:p w:rsidRPr="003824C4" w:rsidR="003824C4" w:rsidP="003824C4" w:rsidRDefault="003824C4" w14:paraId="282AA1E7" wp14:textId="1D58119E">
                  <w:pPr>
                    <w:rPr>
                      <w:sz w:val="18"/>
                      <w:szCs w:val="18"/>
                    </w:rPr>
                  </w:pPr>
                  <w:r w:rsidRPr="4CFA51D3" w:rsidR="5CB9317E">
                    <w:rPr>
                      <w:sz w:val="18"/>
                      <w:szCs w:val="18"/>
                    </w:rPr>
                    <w:t>Multi-sports</w:t>
                  </w:r>
                </w:p>
                <w:p w:rsidR="003824C4" w:rsidP="003824C4" w:rsidRDefault="003824C4" w14:paraId="02EB378F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xmlns:wp14="http://schemas.microsoft.com/office/word/2010/wordprocessingDrawing" distT="0" distB="0" distL="0" distR="0" wp14:anchorId="69DCAFE9" wp14:editId="52556FFC">
                        <wp:extent cx="725170" cy="72517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p w:rsidR="003824C4" w:rsidP="003824C4" w:rsidRDefault="003824C4" w14:paraId="36FBB015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Autumn 2</w:t>
                  </w:r>
                </w:p>
                <w:p w:rsidRPr="003824C4" w:rsidR="003824C4" w:rsidP="003824C4" w:rsidRDefault="003824C4" w14:paraId="1C677C50" wp14:textId="77777777">
                  <w:pPr>
                    <w:rPr>
                      <w:sz w:val="18"/>
                      <w:szCs w:val="18"/>
                    </w:rPr>
                  </w:pPr>
                  <w:r w:rsidRPr="003824C4">
                    <w:rPr>
                      <w:sz w:val="18"/>
                      <w:szCs w:val="18"/>
                    </w:rPr>
                    <w:t xml:space="preserve">Invasions </w:t>
                  </w:r>
                </w:p>
                <w:p w:rsidR="003824C4" w:rsidP="003824C4" w:rsidRDefault="003824C4" w14:paraId="6A05A809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xmlns:wp14="http://schemas.microsoft.com/office/word/2010/wordprocessingDrawing" distT="0" distB="0" distL="0" distR="0" wp14:anchorId="32B5F76E" wp14:editId="09E20B7C">
                        <wp:extent cx="725170" cy="72517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p w:rsidR="003824C4" w:rsidP="003824C4" w:rsidRDefault="003824C4" w14:paraId="5D42A144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Spring 1</w:t>
                  </w:r>
                </w:p>
                <w:p w:rsidRPr="003824C4" w:rsidR="003824C4" w:rsidP="003824C4" w:rsidRDefault="003824C4" w14:paraId="5D77E1B7" wp14:textId="77777777">
                  <w:pPr>
                    <w:rPr>
                      <w:sz w:val="18"/>
                      <w:szCs w:val="18"/>
                    </w:rPr>
                  </w:pPr>
                  <w:r w:rsidRPr="003824C4">
                    <w:rPr>
                      <w:sz w:val="18"/>
                      <w:szCs w:val="18"/>
                    </w:rPr>
                    <w:t>Net and Wall</w:t>
                  </w:r>
                </w:p>
                <w:p w:rsidR="003824C4" w:rsidP="003824C4" w:rsidRDefault="003824C4" w14:paraId="5A39BBE3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xmlns:wp14="http://schemas.microsoft.com/office/word/2010/wordprocessingDrawing" distT="0" distB="0" distL="0" distR="0" wp14:anchorId="3FDF4354" wp14:editId="7326B897">
                        <wp:extent cx="725170" cy="72517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p w:rsidR="003824C4" w:rsidP="003824C4" w:rsidRDefault="003824C4" w14:paraId="17CC00DC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Spring 2</w:t>
                  </w:r>
                </w:p>
                <w:p w:rsidRPr="003824C4" w:rsidR="003824C4" w:rsidP="003824C4" w:rsidRDefault="003824C4" w14:paraId="69B62A6F" wp14:textId="66B6D601">
                  <w:pPr>
                    <w:rPr>
                      <w:sz w:val="18"/>
                      <w:szCs w:val="18"/>
                    </w:rPr>
                  </w:pPr>
                  <w:r w:rsidRPr="4CFA51D3" w:rsidR="32A502AF">
                    <w:rPr>
                      <w:sz w:val="18"/>
                      <w:szCs w:val="18"/>
                    </w:rPr>
                    <w:t>Net and Wall</w:t>
                  </w:r>
                  <w:r w:rsidRPr="4CFA51D3" w:rsidR="003824C4">
                    <w:rPr>
                      <w:sz w:val="18"/>
                      <w:szCs w:val="18"/>
                    </w:rPr>
                    <w:t xml:space="preserve"> </w:t>
                  </w:r>
                </w:p>
                <w:p w:rsidR="003824C4" w:rsidP="003824C4" w:rsidRDefault="003824C4" w14:paraId="41C8F396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xmlns:wp14="http://schemas.microsoft.com/office/word/2010/wordprocessingDrawing" distT="0" distB="0" distL="0" distR="0" wp14:anchorId="2F847935" wp14:editId="082AC5F1">
                        <wp:extent cx="725170" cy="72517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p w:rsidR="003824C4" w:rsidP="003824C4" w:rsidRDefault="003824C4" w14:paraId="0DCEF34A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Summer 1</w:t>
                  </w:r>
                </w:p>
                <w:p w:rsidRPr="003824C4" w:rsidR="003824C4" w:rsidP="4CFA51D3" w:rsidRDefault="003824C4" w14:paraId="0A43A834" wp14:textId="749461EA">
                  <w:pPr>
                    <w:rPr>
                      <w:sz w:val="16"/>
                      <w:szCs w:val="16"/>
                    </w:rPr>
                  </w:pPr>
                  <w:r w:rsidRPr="4CFA51D3" w:rsidR="003824C4">
                    <w:rPr>
                      <w:sz w:val="16"/>
                      <w:szCs w:val="16"/>
                    </w:rPr>
                    <w:t>Striking and</w:t>
                  </w:r>
                  <w:r w:rsidRPr="4CFA51D3" w:rsidR="3C02D390">
                    <w:rPr>
                      <w:sz w:val="16"/>
                      <w:szCs w:val="16"/>
                    </w:rPr>
                    <w:t xml:space="preserve"> </w:t>
                  </w:r>
                  <w:r w:rsidRPr="4CFA51D3" w:rsidR="003824C4">
                    <w:rPr>
                      <w:sz w:val="16"/>
                      <w:szCs w:val="16"/>
                    </w:rPr>
                    <w:t xml:space="preserve">Fielding </w:t>
                  </w:r>
                </w:p>
                <w:p w:rsidR="003824C4" w:rsidP="003824C4" w:rsidRDefault="003824C4" w14:paraId="72A3D3EC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xmlns:wp14="http://schemas.microsoft.com/office/word/2010/wordprocessingDrawing" distT="0" distB="0" distL="0" distR="0" wp14:anchorId="6BF8604D" wp14:editId="32935B31">
                        <wp:extent cx="725170" cy="72517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="003824C4" w:rsidP="003824C4" w:rsidRDefault="003824C4" w14:paraId="2D702784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Summer 2</w:t>
                  </w:r>
                </w:p>
                <w:p w:rsidRPr="003824C4" w:rsidR="003824C4" w:rsidP="003824C4" w:rsidRDefault="003824C4" w14:paraId="6527A954" wp14:textId="77777777">
                  <w:pPr>
                    <w:rPr>
                      <w:sz w:val="18"/>
                      <w:szCs w:val="18"/>
                    </w:rPr>
                  </w:pPr>
                  <w:r w:rsidRPr="003824C4">
                    <w:rPr>
                      <w:sz w:val="18"/>
                      <w:szCs w:val="18"/>
                    </w:rPr>
                    <w:t xml:space="preserve">Athletics </w:t>
                  </w:r>
                </w:p>
                <w:p w:rsidR="003824C4" w:rsidP="003824C4" w:rsidRDefault="003824C4" w14:paraId="0D0B940D" wp14:textId="77777777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xmlns:wp14="http://schemas.microsoft.com/office/word/2010/wordprocessingDrawing" distT="0" distB="0" distL="0" distR="0" wp14:anchorId="5A1E2BF5" wp14:editId="528948F1">
                        <wp:extent cx="725170" cy="72517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EE1A0B" w:rsidR="00BB57DB" w:rsidP="2BDD03C4" w:rsidRDefault="00BB57DB" w14:paraId="0E27B00A" wp14:textId="77777777">
            <w:pPr>
              <w:rPr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="00BB7DAA" w:rsidTr="669E4432" w14:paraId="73A90C90" wp14:textId="77777777">
        <w:tc>
          <w:tcPr>
            <w:tcW w:w="11164" w:type="dxa"/>
            <w:shd w:val="clear" w:color="auto" w:fill="112B43"/>
            <w:tcMar/>
          </w:tcPr>
          <w:p w:rsidRPr="005267A0" w:rsidR="00BB7DAA" w:rsidP="2BDD03C4" w:rsidRDefault="00BB7DAA" w14:paraId="450B0347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267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Assessment Opportunities </w:t>
            </w:r>
          </w:p>
        </w:tc>
      </w:tr>
      <w:tr xmlns:wp14="http://schemas.microsoft.com/office/word/2010/wordml" w:rsidR="00BB7DAA" w:rsidTr="669E4432" w14:paraId="5D4EC876" wp14:textId="77777777">
        <w:tc>
          <w:tcPr>
            <w:tcW w:w="11164" w:type="dxa"/>
            <w:tcMar/>
          </w:tcPr>
          <w:p w:rsidRPr="005267A0" w:rsidR="00BB7DAA" w:rsidP="00CB5B57" w:rsidRDefault="00CB5B57" w14:paraId="262B39E9" wp14:textId="53FEB33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Bench line assessment</w:t>
            </w:r>
            <w:r w:rsidRPr="4CFA51D3" w:rsidR="1AC42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at the start of each year group provides an understanding of skills and knowledge missed through repeated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Covid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lockdowns. The department provides both summative and formative </w:t>
            </w:r>
            <w:r w:rsidRPr="4CFA51D3" w:rsidR="45A17CA6">
              <w:rPr>
                <w:rFonts w:ascii="Calibri" w:hAnsi="Calibri" w:cs="Calibri"/>
                <w:sz w:val="20"/>
                <w:szCs w:val="20"/>
                <w:lang w:val="en-US"/>
              </w:rPr>
              <w:t>assessments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Formatively, assessment I can statements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questions are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discussed at the start of the unit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Pr="4CFA51D3" w:rsidR="076B46D2">
              <w:rPr>
                <w:rFonts w:ascii="Calibri" w:hAnsi="Calibri" w:cs="Calibri"/>
                <w:sz w:val="20"/>
                <w:szCs w:val="20"/>
                <w:lang w:val="en-US"/>
              </w:rPr>
              <w:t>Summative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end of unit tests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are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built into </w:t>
            </w:r>
            <w:r w:rsidRPr="4CFA51D3" w:rsidR="038D5291">
              <w:rPr>
                <w:rFonts w:ascii="Calibri" w:hAnsi="Calibri" w:cs="Calibri"/>
                <w:sz w:val="20"/>
                <w:szCs w:val="20"/>
                <w:lang w:val="en-US"/>
              </w:rPr>
              <w:t>the whole school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assessment model at mid and end of unit assessments to provide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an indication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of progress</w:t>
            </w:r>
            <w:r w:rsidRPr="4CFA51D3" w:rsidR="4FA9DE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against the assessment matrix document.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These statements are used to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identify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key skills that learners </w:t>
            </w:r>
            <w:r w:rsidRPr="4CFA51D3" w:rsidR="00CB5B57">
              <w:rPr>
                <w:rFonts w:ascii="Calibri" w:hAnsi="Calibri" w:cs="Calibri"/>
                <w:sz w:val="20"/>
                <w:szCs w:val="20"/>
                <w:lang w:val="en-US"/>
              </w:rPr>
              <w:t>need to be effective learners.</w:t>
            </w:r>
          </w:p>
        </w:tc>
      </w:tr>
    </w:tbl>
    <w:p xmlns:wp14="http://schemas.microsoft.com/office/word/2010/wordml" w:rsidRPr="00C429BC" w:rsidR="00BB57DB" w:rsidRDefault="00BB57DB" w14:paraId="60061E4C" wp14:textId="77777777">
      <w:pPr>
        <w:rPr>
          <w:sz w:val="6"/>
          <w:szCs w:val="6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8788"/>
      </w:tblGrid>
      <w:tr xmlns:wp14="http://schemas.microsoft.com/office/word/2010/wordml" w:rsidR="00F643EF" w:rsidTr="669E4432" w14:paraId="2F52474D" wp14:textId="77777777">
        <w:tc>
          <w:tcPr>
            <w:tcW w:w="10910" w:type="dxa"/>
            <w:gridSpan w:val="2"/>
            <w:shd w:val="clear" w:color="auto" w:fill="112B43"/>
            <w:tcMar/>
          </w:tcPr>
          <w:p w:rsidRPr="00BB57DB" w:rsidR="00F643EF" w:rsidP="00991F99" w:rsidRDefault="00991F99" w14:paraId="4E682419" wp14:textId="7777777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Pine Green Curriculum </w:t>
            </w:r>
          </w:p>
        </w:tc>
      </w:tr>
      <w:tr xmlns:wp14="http://schemas.microsoft.com/office/word/2010/wordml" w:rsidR="00D17D21" w:rsidTr="669E4432" w14:paraId="4D037C38" wp14:textId="77777777">
        <w:tc>
          <w:tcPr>
            <w:tcW w:w="2122" w:type="dxa"/>
            <w:shd w:val="clear" w:color="auto" w:fill="112B43"/>
            <w:tcMar/>
          </w:tcPr>
          <w:p w:rsidRPr="00BB57DB" w:rsidR="00D17D21" w:rsidP="00991F99" w:rsidRDefault="00991F99" w14:paraId="2B81FED3" wp14:textId="7777777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Our Curriculum </w:t>
            </w:r>
          </w:p>
        </w:tc>
        <w:tc>
          <w:tcPr>
            <w:tcW w:w="8788" w:type="dxa"/>
            <w:shd w:val="clear" w:color="auto" w:fill="112B43"/>
            <w:tcMar/>
          </w:tcPr>
          <w:p w:rsidRPr="000A2587" w:rsidR="00D17D21" w:rsidP="00991F99" w:rsidRDefault="00991F99" w14:paraId="3114BE77" wp14:textId="77777777">
            <w:pPr>
              <w:jc w:val="right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 xml:space="preserve">Department Opportunities </w:t>
            </w:r>
          </w:p>
        </w:tc>
      </w:tr>
      <w:tr xmlns:wp14="http://schemas.microsoft.com/office/word/2010/wordml" w:rsidR="007109B3" w:rsidTr="669E4432" w14:paraId="7F48B19B" wp14:textId="77777777">
        <w:tc>
          <w:tcPr>
            <w:tcW w:w="2122" w:type="dxa"/>
            <w:shd w:val="clear" w:color="auto" w:fill="auto"/>
            <w:tcMar/>
          </w:tcPr>
          <w:p w:rsidRPr="007D0A82" w:rsidR="007109B3" w:rsidP="007109B3" w:rsidRDefault="007109B3" w14:paraId="6A1BD751" wp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D0A82">
              <w:rPr>
                <w:b/>
                <w:bCs/>
                <w:sz w:val="19"/>
                <w:szCs w:val="19"/>
                <w:lang w:val="en-US"/>
              </w:rPr>
              <w:t>Confidence, Independence &amp; Resilience</w:t>
            </w:r>
          </w:p>
        </w:tc>
        <w:tc>
          <w:tcPr>
            <w:tcW w:w="8788" w:type="dxa"/>
            <w:shd w:val="clear" w:color="auto" w:fill="auto"/>
            <w:tcMar/>
          </w:tcPr>
          <w:p w:rsidRPr="007D0A82" w:rsidR="007109B3" w:rsidP="4CFA51D3" w:rsidRDefault="007109B3" w14:paraId="47075687" wp14:textId="67039668">
            <w:pPr>
              <w:rPr>
                <w:rFonts w:eastAsia="" w:eastAsiaTheme="minorEastAsia"/>
                <w:color w:val="000000" w:themeColor="text1"/>
                <w:sz w:val="19"/>
                <w:szCs w:val="19"/>
                <w:lang w:val="en-US"/>
              </w:rPr>
            </w:pP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Students have the opportunity to build the k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nowledge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needed to participate 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within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a wide range of sports. By having this </w:t>
            </w:r>
            <w:r w:rsidRPr="4CFA51D3" w:rsidR="1B53AA26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knowledge,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4CFA51D3" w:rsidR="6F188F7D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students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feel </w:t>
            </w:r>
            <w:r w:rsidRPr="4CFA51D3" w:rsidR="50DA1F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competent,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4CFA51D3" w:rsidR="1FC9A86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safe</w:t>
            </w:r>
            <w:r w:rsidRPr="4CFA51D3" w:rsidR="1FC9A862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and secure, 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which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leads to 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a 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greater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feeling of confidence. Within all lessons tasks are set to challenge encouraging students to apply resilience when success if not easily achieved. </w:t>
            </w:r>
            <w:r w:rsidRPr="4CFA51D3" w:rsidR="06D281D6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Through sports leadership tasks, students can develop the skills needed to be independent learners.</w:t>
            </w:r>
            <w:r w:rsidRPr="4CFA51D3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</w:p>
        </w:tc>
      </w:tr>
      <w:tr xmlns:wp14="http://schemas.microsoft.com/office/word/2010/wordml" w:rsidR="007109B3" w:rsidTr="669E4432" w14:paraId="5D199496" wp14:textId="77777777">
        <w:tc>
          <w:tcPr>
            <w:tcW w:w="2122" w:type="dxa"/>
            <w:shd w:val="clear" w:color="auto" w:fill="auto"/>
            <w:tcMar/>
          </w:tcPr>
          <w:p w:rsidRPr="007D0A82" w:rsidR="007109B3" w:rsidP="007109B3" w:rsidRDefault="007109B3" w14:paraId="2AD4B341" wp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D0A82">
              <w:rPr>
                <w:b/>
                <w:bCs/>
                <w:sz w:val="19"/>
                <w:szCs w:val="19"/>
                <w:lang w:val="en-US"/>
              </w:rPr>
              <w:t xml:space="preserve">Be Kind: Empathy &amp; Compassion whilst valuing diversity </w:t>
            </w:r>
          </w:p>
        </w:tc>
        <w:tc>
          <w:tcPr>
            <w:tcW w:w="8788" w:type="dxa"/>
            <w:shd w:val="clear" w:color="auto" w:fill="auto"/>
            <w:tcMar/>
          </w:tcPr>
          <w:p w:rsidRPr="007D0A82" w:rsidR="007109B3" w:rsidP="00E32261" w:rsidRDefault="007109B3" w14:paraId="67FFA801" wp14:textId="68D366CA">
            <w:pPr>
              <w:rPr>
                <w:rFonts w:ascii="Calibri" w:hAnsi="Calibri" w:eastAsia="Calibri" w:cs="Calibri"/>
                <w:color w:val="000000" w:themeColor="text1"/>
                <w:sz w:val="19"/>
                <w:szCs w:val="19"/>
                <w:lang w:val="en-US"/>
              </w:rPr>
            </w:pPr>
            <w:r w:rsidRPr="669E4432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Within sport </w:t>
            </w:r>
            <w:r w:rsidRPr="669E4432" w:rsidR="4B28D20A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participants</w:t>
            </w:r>
            <w:r w:rsidRPr="669E4432" w:rsidR="547351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need the skills to be compassionate and 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empathetic to play a game successfully. Peer assessment and 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assistance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is used throughout the lessons, especially when individuals need 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assistance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within a particular task or skill, the sports leadership model is 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utilised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.  </w:t>
            </w:r>
            <w:r w:rsidRPr="669E4432" w:rsidR="51A20825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G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roup</w:t>
            </w:r>
            <w:r w:rsidRPr="669E4432" w:rsidR="420355B4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s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will select who will be the equipment manager, coach, fitness instructor  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>etc</w:t>
            </w:r>
            <w:r w:rsidRPr="669E4432" w:rsidR="254E9CB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</w:p>
        </w:tc>
      </w:tr>
      <w:tr xmlns:wp14="http://schemas.microsoft.com/office/word/2010/wordml" w:rsidR="007109B3" w:rsidTr="669E4432" w14:paraId="463C2384" wp14:textId="77777777">
        <w:trPr>
          <w:trHeight w:val="724"/>
        </w:trPr>
        <w:tc>
          <w:tcPr>
            <w:tcW w:w="2122" w:type="dxa"/>
            <w:shd w:val="clear" w:color="auto" w:fill="auto"/>
            <w:tcMar/>
          </w:tcPr>
          <w:p w:rsidRPr="007D0A82" w:rsidR="007109B3" w:rsidP="007109B3" w:rsidRDefault="007109B3" w14:paraId="0045DAAE" wp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D0A82">
              <w:rPr>
                <w:b/>
                <w:bCs/>
                <w:sz w:val="19"/>
                <w:szCs w:val="19"/>
                <w:lang w:val="en-US"/>
              </w:rPr>
              <w:t>Cultural Awareness</w:t>
            </w:r>
          </w:p>
        </w:tc>
        <w:tc>
          <w:tcPr>
            <w:tcW w:w="8788" w:type="dxa"/>
            <w:shd w:val="clear" w:color="auto" w:fill="auto"/>
            <w:tcMar/>
          </w:tcPr>
          <w:p w:rsidRPr="005267A0" w:rsidR="007109B3" w:rsidP="007109B3" w:rsidRDefault="00E32261" w14:paraId="43E45496" wp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 xml:space="preserve">The use of sporting events displayed on the TV and the Olympic games links. </w:t>
            </w:r>
          </w:p>
        </w:tc>
      </w:tr>
      <w:tr xmlns:wp14="http://schemas.microsoft.com/office/word/2010/wordml" w:rsidR="007109B3" w:rsidTr="669E4432" w14:paraId="0B67F642" wp14:textId="77777777">
        <w:trPr>
          <w:trHeight w:val="706"/>
        </w:trPr>
        <w:tc>
          <w:tcPr>
            <w:tcW w:w="2122" w:type="dxa"/>
            <w:shd w:val="clear" w:color="auto" w:fill="auto"/>
            <w:tcMar/>
          </w:tcPr>
          <w:p w:rsidRPr="007D0A82" w:rsidR="007109B3" w:rsidP="007109B3" w:rsidRDefault="007109B3" w14:paraId="4FFA17DA" wp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D0A82">
              <w:rPr>
                <w:b/>
                <w:bCs/>
                <w:sz w:val="19"/>
                <w:szCs w:val="19"/>
                <w:lang w:val="en-US"/>
              </w:rPr>
              <w:t xml:space="preserve">Aspirations </w:t>
            </w:r>
          </w:p>
        </w:tc>
        <w:tc>
          <w:tcPr>
            <w:tcW w:w="8788" w:type="dxa"/>
            <w:shd w:val="clear" w:color="auto" w:fill="auto"/>
            <w:tcMar/>
          </w:tcPr>
          <w:p w:rsidRPr="0072041A" w:rsidR="007109B3" w:rsidP="007109B3" w:rsidRDefault="00E32261" w14:paraId="38F11882" wp14:textId="77777777">
            <w:pPr>
              <w:rPr>
                <w:b/>
                <w:bCs/>
                <w:color w:val="00B050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We encourage participation within a wide range of sporting activities to inspiring students to understand their full potential and have high expectations</w:t>
            </w:r>
            <w:r w:rsidR="008B447E">
              <w:rPr>
                <w:rFonts w:eastAsia="Calibri"/>
                <w:color w:val="000000" w:themeColor="text1"/>
                <w:sz w:val="18"/>
                <w:szCs w:val="18"/>
              </w:rPr>
              <w:t xml:space="preserve"> to achieve when leaving education.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xmlns:wp14="http://schemas.microsoft.com/office/word/2010/wordml" w:rsidR="007109B3" w:rsidTr="669E4432" w14:paraId="204AFABE" wp14:textId="77777777">
        <w:trPr>
          <w:trHeight w:val="688"/>
        </w:trPr>
        <w:tc>
          <w:tcPr>
            <w:tcW w:w="2122" w:type="dxa"/>
            <w:shd w:val="clear" w:color="auto" w:fill="auto"/>
            <w:tcMar/>
          </w:tcPr>
          <w:p w:rsidRPr="007D0A82" w:rsidR="007109B3" w:rsidP="007109B3" w:rsidRDefault="007109B3" w14:paraId="66685EBE" wp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D0A82">
              <w:rPr>
                <w:b/>
                <w:bCs/>
                <w:sz w:val="19"/>
                <w:szCs w:val="19"/>
                <w:lang w:val="en-US"/>
              </w:rPr>
              <w:t xml:space="preserve">Preparedness for the future </w:t>
            </w:r>
          </w:p>
        </w:tc>
        <w:tc>
          <w:tcPr>
            <w:tcW w:w="8788" w:type="dxa"/>
            <w:shd w:val="clear" w:color="auto" w:fill="auto"/>
            <w:tcMar/>
          </w:tcPr>
          <w:p w:rsidRPr="008B447E" w:rsidR="007109B3" w:rsidP="4CFA51D3" w:rsidRDefault="008B447E" w14:paraId="5034F90C" wp14:textId="754E1198">
            <w:pPr>
              <w:rPr>
                <w:color w:val="00B050"/>
                <w:sz w:val="19"/>
                <w:szCs w:val="19"/>
                <w:lang w:val="en-US"/>
              </w:rPr>
            </w:pPr>
            <w:r w:rsidRPr="4CFA51D3" w:rsidR="5599FF20">
              <w:rPr>
                <w:sz w:val="19"/>
                <w:szCs w:val="19"/>
                <w:lang w:val="en-US"/>
              </w:rPr>
              <w:t xml:space="preserve">Within KS3 students </w:t>
            </w:r>
            <w:r w:rsidRPr="4CFA51D3" w:rsidR="19152E09">
              <w:rPr>
                <w:sz w:val="19"/>
                <w:szCs w:val="19"/>
                <w:lang w:val="en-US"/>
              </w:rPr>
              <w:t xml:space="preserve">are introduced to the </w:t>
            </w:r>
            <w:r w:rsidRPr="4CFA51D3" w:rsidR="5599FF20">
              <w:rPr>
                <w:sz w:val="19"/>
                <w:szCs w:val="19"/>
                <w:lang w:val="en-US"/>
              </w:rPr>
              <w:t xml:space="preserve">rules of a wide range of sports which prepares KS4 students to select </w:t>
            </w:r>
            <w:r w:rsidRPr="4CFA51D3" w:rsidR="5599FF20">
              <w:rPr>
                <w:sz w:val="19"/>
                <w:szCs w:val="19"/>
                <w:lang w:val="en-US"/>
              </w:rPr>
              <w:t>Btec</w:t>
            </w:r>
            <w:r w:rsidRPr="4CFA51D3" w:rsidR="5599FF20">
              <w:rPr>
                <w:sz w:val="19"/>
                <w:szCs w:val="19"/>
                <w:lang w:val="en-US"/>
              </w:rPr>
              <w:t xml:space="preserve"> Sport. The main aim of the PE curriculum is to develop independent, confident learners that can lead a healthy and active lifestyle. In the hope they may go into the sporting world: personal trainer, gym instructor, swimming instructor, sports amylase </w:t>
            </w:r>
            <w:r w:rsidRPr="4CFA51D3" w:rsidR="5599FF20">
              <w:rPr>
                <w:sz w:val="19"/>
                <w:szCs w:val="19"/>
                <w:lang w:val="en-US"/>
              </w:rPr>
              <w:t>etc</w:t>
            </w:r>
            <w:r w:rsidRPr="4CFA51D3" w:rsidR="5599FF20">
              <w:rPr>
                <w:sz w:val="19"/>
                <w:szCs w:val="19"/>
                <w:lang w:val="en-US"/>
              </w:rPr>
              <w:t xml:space="preserve">  </w:t>
            </w:r>
          </w:p>
        </w:tc>
      </w:tr>
    </w:tbl>
    <w:p xmlns:wp14="http://schemas.microsoft.com/office/word/2010/wordml" w:rsidRPr="00C429BC" w:rsidR="00E54BE3" w:rsidRDefault="00E54BE3" w14:paraId="44EAFD9C" wp14:textId="77777777">
      <w:pPr>
        <w:rPr>
          <w:sz w:val="6"/>
          <w:szCs w:val="6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665"/>
        <w:gridCol w:w="5245"/>
      </w:tblGrid>
      <w:tr xmlns:wp14="http://schemas.microsoft.com/office/word/2010/wordml" w:rsidR="00F3399F" w:rsidTr="0072041A" w14:paraId="22E5E929" wp14:textId="77777777">
        <w:tc>
          <w:tcPr>
            <w:tcW w:w="10910" w:type="dxa"/>
            <w:gridSpan w:val="2"/>
            <w:shd w:val="clear" w:color="auto" w:fill="112B43"/>
          </w:tcPr>
          <w:p w:rsidRPr="00F3399F" w:rsidR="00F3399F" w:rsidP="00991F99" w:rsidRDefault="00F3399F" w14:paraId="3EBD9D0B" wp14:textId="77777777">
            <w:pPr>
              <w:jc w:val="right"/>
              <w:rPr>
                <w:b/>
                <w:bCs/>
                <w:lang w:val="en-US"/>
              </w:rPr>
            </w:pPr>
            <w:r w:rsidRPr="00F3399F">
              <w:rPr>
                <w:b/>
                <w:bCs/>
                <w:lang w:val="en-US"/>
              </w:rPr>
              <w:t xml:space="preserve">Vulnerable </w:t>
            </w:r>
            <w:r w:rsidR="00BB7DAA">
              <w:rPr>
                <w:b/>
                <w:bCs/>
                <w:lang w:val="en-US"/>
              </w:rPr>
              <w:t>S</w:t>
            </w:r>
            <w:r w:rsidRPr="00F3399F">
              <w:rPr>
                <w:b/>
                <w:bCs/>
                <w:lang w:val="en-US"/>
              </w:rPr>
              <w:t>tudent</w:t>
            </w:r>
            <w:r w:rsidR="00BB7DAA">
              <w:rPr>
                <w:b/>
                <w:bCs/>
                <w:lang w:val="en-US"/>
              </w:rPr>
              <w:t>s</w:t>
            </w:r>
            <w:r w:rsidRPr="00F3399F">
              <w:rPr>
                <w:b/>
                <w:bCs/>
                <w:lang w:val="en-US"/>
              </w:rPr>
              <w:t xml:space="preserve"> </w:t>
            </w:r>
            <w:r w:rsidR="00EF1542">
              <w:rPr>
                <w:b/>
                <w:bCs/>
                <w:lang w:val="en-US"/>
              </w:rPr>
              <w:t>c</w:t>
            </w:r>
            <w:r w:rsidRPr="00F3399F">
              <w:rPr>
                <w:b/>
                <w:bCs/>
                <w:lang w:val="en-US"/>
              </w:rPr>
              <w:t>hecklist</w:t>
            </w:r>
          </w:p>
        </w:tc>
      </w:tr>
      <w:tr xmlns:wp14="http://schemas.microsoft.com/office/word/2010/wordml" w:rsidR="00991F99" w:rsidTr="00255B15" w14:paraId="05AF1C43" wp14:textId="77777777">
        <w:tc>
          <w:tcPr>
            <w:tcW w:w="5665" w:type="dxa"/>
            <w:shd w:val="clear" w:color="auto" w:fill="112B43"/>
          </w:tcPr>
          <w:p w:rsidRPr="00F3399F" w:rsidR="00991F99" w:rsidP="00991F99" w:rsidRDefault="00991F99" w14:paraId="038F700F" wp14:textId="77777777">
            <w:pPr>
              <w:jc w:val="center"/>
              <w:rPr>
                <w:b/>
                <w:bCs/>
                <w:lang w:val="en-US"/>
              </w:rPr>
            </w:pPr>
            <w:r w:rsidRPr="00F3399F">
              <w:rPr>
                <w:b/>
                <w:bCs/>
                <w:lang w:val="en-US"/>
              </w:rPr>
              <w:t>SEND</w:t>
            </w:r>
          </w:p>
        </w:tc>
        <w:tc>
          <w:tcPr>
            <w:tcW w:w="5245" w:type="dxa"/>
            <w:shd w:val="clear" w:color="auto" w:fill="112B43"/>
          </w:tcPr>
          <w:p w:rsidRPr="00F3399F" w:rsidR="00991F99" w:rsidP="00991F99" w:rsidRDefault="00991F99" w14:paraId="7DA055D7" wp14:textId="7777777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PP</w:t>
            </w:r>
          </w:p>
        </w:tc>
      </w:tr>
      <w:tr xmlns:wp14="http://schemas.microsoft.com/office/word/2010/wordml" w:rsidR="00991F99" w:rsidTr="00255B15" w14:paraId="0DFAE634" wp14:textId="77777777">
        <w:tc>
          <w:tcPr>
            <w:tcW w:w="5665" w:type="dxa"/>
          </w:tcPr>
          <w:p w:rsidR="00991F99" w:rsidP="00255B15" w:rsidRDefault="00255B15" w14:paraId="29D6B04F" wp14:textId="77777777">
            <w:pPr>
              <w:pStyle w:val="xmsolistparagraph"/>
              <w:numPr>
                <w:ilvl w:val="0"/>
                <w:numId w:val="7"/>
              </w:numPr>
              <w:ind w:left="589" w:hanging="267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Pr="007D0A82" w:rsidR="00255B15" w:rsidP="00255B15" w:rsidRDefault="00255B15" w14:paraId="4B94D5A5" wp14:textId="77777777">
            <w:pPr>
              <w:pStyle w:val="xmsolistparagraph"/>
              <w:numPr>
                <w:ilvl w:val="0"/>
                <w:numId w:val="7"/>
              </w:numPr>
              <w:ind w:left="589" w:hanging="267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5245" w:type="dxa"/>
          </w:tcPr>
          <w:p w:rsidR="00991F99" w:rsidP="00E22C86" w:rsidRDefault="00255B15" w14:paraId="0A6959E7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2918"/>
              </w:tabs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  <w:p w:rsidRPr="007D0A82" w:rsidR="00255B15" w:rsidP="00E22C86" w:rsidRDefault="00255B15" w14:paraId="3DEEC669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2918"/>
              </w:tabs>
              <w:rPr>
                <w:sz w:val="19"/>
                <w:szCs w:val="19"/>
                <w:lang w:val="en-US"/>
              </w:rPr>
            </w:pPr>
          </w:p>
        </w:tc>
      </w:tr>
    </w:tbl>
    <w:p xmlns:wp14="http://schemas.microsoft.com/office/word/2010/wordml" w:rsidR="005267A0" w:rsidP="00BB7DAA" w:rsidRDefault="005267A0" w14:paraId="3656B9AB" wp14:textId="77777777">
      <w:pPr>
        <w:pStyle w:val="NoSpacing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665"/>
        <w:gridCol w:w="5245"/>
      </w:tblGrid>
      <w:tr xmlns:wp14="http://schemas.microsoft.com/office/word/2010/wordml" w:rsidRPr="000A2587" w:rsidR="00BB7DAA" w:rsidTr="4CFA51D3" w14:paraId="1C1F7139" wp14:textId="77777777">
        <w:tc>
          <w:tcPr>
            <w:tcW w:w="10910" w:type="dxa"/>
            <w:gridSpan w:val="2"/>
            <w:shd w:val="clear" w:color="auto" w:fill="112B43"/>
            <w:tcMar/>
          </w:tcPr>
          <w:p w:rsidRPr="000A2587" w:rsidR="00BB7DAA" w:rsidP="00645C51" w:rsidRDefault="00BB7DAA" w14:paraId="2B7A3E32" wp14:textId="77777777">
            <w:pPr>
              <w:jc w:val="right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 xml:space="preserve">Covid Catch Up  </w:t>
            </w:r>
          </w:p>
        </w:tc>
      </w:tr>
      <w:tr xmlns:wp14="http://schemas.microsoft.com/office/word/2010/wordml" w:rsidRPr="00EE1A0B" w:rsidR="006603E0" w:rsidTr="4CFA51D3" w14:paraId="5FBD9A3E" wp14:textId="77777777">
        <w:tc>
          <w:tcPr>
            <w:tcW w:w="5665" w:type="dxa"/>
            <w:shd w:val="clear" w:color="auto" w:fill="112B43"/>
            <w:tcMar/>
          </w:tcPr>
          <w:p w:rsidRPr="006603E0" w:rsidR="006603E0" w:rsidP="006603E0" w:rsidRDefault="006603E0" w14:paraId="72DC0553" wp14:textId="77777777">
            <w:pPr>
              <w:jc w:val="center"/>
              <w:rPr>
                <w:rFonts w:eastAsiaTheme="minorEastAsia"/>
                <w:color w:val="FFFFFF" w:themeColor="background1"/>
                <w:sz w:val="20"/>
                <w:szCs w:val="20"/>
                <w:lang w:val="en-US"/>
              </w:rPr>
            </w:pPr>
            <w:r w:rsidRPr="006603E0">
              <w:rPr>
                <w:rFonts w:eastAsiaTheme="minorEastAsia"/>
                <w:color w:val="FFFFFF" w:themeColor="background1"/>
                <w:sz w:val="20"/>
                <w:szCs w:val="20"/>
                <w:lang w:val="en-US"/>
              </w:rPr>
              <w:t>Skills Gaps</w:t>
            </w:r>
          </w:p>
        </w:tc>
        <w:tc>
          <w:tcPr>
            <w:tcW w:w="5245" w:type="dxa"/>
            <w:shd w:val="clear" w:color="auto" w:fill="112B43"/>
            <w:tcMar/>
          </w:tcPr>
          <w:p w:rsidRPr="006603E0" w:rsidR="006603E0" w:rsidP="006603E0" w:rsidRDefault="006603E0" w14:paraId="7FCDB7A0" wp14:textId="77777777">
            <w:pPr>
              <w:jc w:val="center"/>
              <w:rPr>
                <w:rFonts w:eastAsiaTheme="minorEastAsia"/>
                <w:color w:val="FFFFFF" w:themeColor="background1"/>
                <w:sz w:val="20"/>
                <w:szCs w:val="20"/>
                <w:lang w:val="en-US"/>
              </w:rPr>
            </w:pPr>
            <w:r w:rsidRPr="006603E0">
              <w:rPr>
                <w:rFonts w:eastAsiaTheme="minorEastAsia"/>
                <w:color w:val="FFFFFF" w:themeColor="background1"/>
                <w:sz w:val="20"/>
                <w:szCs w:val="20"/>
                <w:lang w:val="en-US"/>
              </w:rPr>
              <w:t xml:space="preserve">Knowledge Gaps </w:t>
            </w:r>
          </w:p>
        </w:tc>
      </w:tr>
      <w:tr xmlns:wp14="http://schemas.microsoft.com/office/word/2010/wordml" w:rsidRPr="00EE1A0B" w:rsidR="006603E0" w:rsidTr="4CFA51D3" w14:paraId="0D62ECAE" wp14:textId="77777777">
        <w:tc>
          <w:tcPr>
            <w:tcW w:w="5665" w:type="dxa"/>
            <w:shd w:val="clear" w:color="auto" w:fill="auto"/>
            <w:tcMar/>
          </w:tcPr>
          <w:p w:rsidR="006603E0" w:rsidP="00645C51" w:rsidRDefault="008B447E" w14:paraId="09B633E1" wp14:textId="77777777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Mainly cardiovascular endurance</w:t>
            </w:r>
          </w:p>
          <w:p w:rsidRPr="00EE1A0B" w:rsidR="006603E0" w:rsidP="00645C51" w:rsidRDefault="006603E0" w14:paraId="45FB0818" wp14:textId="77777777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/>
          </w:tcPr>
          <w:p w:rsidRPr="00EE1A0B" w:rsidR="005267A0" w:rsidP="4CFA51D3" w:rsidRDefault="008B447E" w14:paraId="68CE4AB5" wp14:textId="3AEE65F0">
            <w:pPr>
              <w:rPr>
                <w:rFonts w:eastAsia="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4CFA51D3" w:rsidR="698494BD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>Students have developed their cardiovascular fitness levels by slowly introducing skill-related fitness to improve this area.</w:t>
            </w:r>
            <w:r w:rsidRPr="4CFA51D3" w:rsidR="5599FF20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</w:tbl>
    <w:p xmlns:wp14="http://schemas.microsoft.com/office/word/2010/wordml" w:rsidR="00255B15" w:rsidRDefault="00255B15" w14:paraId="049F31CB" wp14:textId="77777777">
      <w:pPr>
        <w:rPr>
          <w:b/>
          <w:bCs/>
          <w:u w:val="single"/>
          <w:vertAlign w:val="superscript"/>
          <w:lang w:val="en-US"/>
        </w:rPr>
      </w:pPr>
    </w:p>
    <w:p xmlns:wp14="http://schemas.microsoft.com/office/word/2010/wordml" w:rsidR="00255B15" w:rsidRDefault="00255B15" w14:paraId="53128261" wp14:textId="77777777">
      <w:pPr>
        <w:rPr>
          <w:b/>
          <w:bCs/>
          <w:u w:val="single"/>
          <w:vertAlign w:val="superscript"/>
          <w:lang w:val="en-US"/>
        </w:rPr>
      </w:pPr>
      <w:r>
        <w:rPr>
          <w:b/>
          <w:bCs/>
          <w:u w:val="single"/>
          <w:vertAlign w:val="superscript"/>
          <w:lang w:val="en-US"/>
        </w:rPr>
        <w:br w:type="page"/>
      </w:r>
    </w:p>
    <w:p xmlns:wp14="http://schemas.microsoft.com/office/word/2010/wordml" w:rsidR="00D17D21" w:rsidRDefault="00D17D21" w14:paraId="62486C05" wp14:textId="77777777">
      <w:pPr>
        <w:rPr>
          <w:b/>
          <w:bCs/>
          <w:u w:val="single"/>
          <w:vertAlign w:val="superscript"/>
          <w:lang w:val="en-US"/>
        </w:rPr>
      </w:pPr>
    </w:p>
    <w:p xmlns:wp14="http://schemas.microsoft.com/office/word/2010/wordml" w:rsidR="000A2587" w:rsidRDefault="000A2587" w14:paraId="41543EC6" wp14:textId="7777777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Pine Green Curriculum </w:t>
      </w:r>
    </w:p>
    <w:p xmlns:wp14="http://schemas.microsoft.com/office/word/2010/wordml" w:rsidR="00BB7DAA" w:rsidRDefault="00BB7DAA" w14:paraId="4101652C" wp14:textId="77777777">
      <w:pPr>
        <w:rPr>
          <w:b/>
          <w:bCs/>
          <w:sz w:val="24"/>
          <w:szCs w:val="24"/>
          <w:u w:val="single"/>
          <w:lang w:val="en-US"/>
        </w:rPr>
      </w:pPr>
    </w:p>
    <w:p xmlns:wp14="http://schemas.microsoft.com/office/word/2010/wordml" w:rsidR="000A2587" w:rsidP="000A2587" w:rsidRDefault="000A2587" w14:paraId="59AB6E00" wp14:textId="77777777">
      <w:r>
        <w:t xml:space="preserve">The key principles behind the design of our curriculum are for our pupils to: </w:t>
      </w:r>
    </w:p>
    <w:p xmlns:wp14="http://schemas.microsoft.com/office/word/2010/wordml" w:rsidR="000A2587" w:rsidP="000A2587" w:rsidRDefault="000A2587" w14:paraId="44D9F7B4" wp14:textId="77777777">
      <w:r>
        <w:rPr>
          <w:rFonts w:ascii="Symbol" w:hAnsi="Symbol" w:eastAsia="Symbol" w:cs="Symbol"/>
        </w:rPr>
        <w:t>·</w:t>
      </w:r>
      <w:r>
        <w:t xml:space="preserve"> Become confident, independent and resilient</w:t>
      </w:r>
    </w:p>
    <w:p xmlns:wp14="http://schemas.microsoft.com/office/word/2010/wordml" w:rsidR="000A2587" w:rsidP="000A2587" w:rsidRDefault="000A2587" w14:paraId="7F194D06" wp14:textId="77777777">
      <w:r>
        <w:rPr>
          <w:rFonts w:ascii="Symbol" w:hAnsi="Symbol" w:eastAsia="Symbol" w:cs="Symbol"/>
        </w:rPr>
        <w:t>·</w:t>
      </w:r>
      <w:r>
        <w:t xml:space="preserve"> Be kind; showing empathy and compassion whilst valuing diversity </w:t>
      </w:r>
    </w:p>
    <w:p xmlns:wp14="http://schemas.microsoft.com/office/word/2010/wordml" w:rsidR="000A2587" w:rsidP="000A2587" w:rsidRDefault="000A2587" w14:paraId="1C29803C" wp14:textId="77777777">
      <w:r>
        <w:rPr>
          <w:rFonts w:ascii="Symbol" w:hAnsi="Symbol" w:eastAsia="Symbol" w:cs="Symbol"/>
        </w:rPr>
        <w:t>·</w:t>
      </w:r>
      <w:r>
        <w:t xml:space="preserve"> Make good progress in all areas of the curriculum from their starting points when they initially join us</w:t>
      </w:r>
    </w:p>
    <w:p xmlns:wp14="http://schemas.microsoft.com/office/word/2010/wordml" w:rsidR="000A2587" w:rsidP="000A2587" w:rsidRDefault="000A2587" w14:paraId="5E352DB3" wp14:textId="77777777">
      <w:r>
        <w:rPr>
          <w:rFonts w:ascii="Symbol" w:hAnsi="Symbol" w:eastAsia="Symbol" w:cs="Symbol"/>
        </w:rPr>
        <w:t>·</w:t>
      </w:r>
      <w:r>
        <w:t xml:space="preserve"> Become more culturally aware about their local area as well as nationally and internationally.</w:t>
      </w:r>
    </w:p>
    <w:p xmlns:wp14="http://schemas.microsoft.com/office/word/2010/wordml" w:rsidR="000A2587" w:rsidP="000A2587" w:rsidRDefault="000A2587" w14:paraId="23843050" wp14:textId="77777777">
      <w:r>
        <w:rPr>
          <w:rFonts w:ascii="Symbol" w:hAnsi="Symbol" w:eastAsia="Symbol" w:cs="Symbol"/>
        </w:rPr>
        <w:t>·</w:t>
      </w:r>
      <w:r>
        <w:t xml:space="preserve"> Develop and enhance their aspirations for the future and know that these can be reached through hard work and determination </w:t>
      </w:r>
    </w:p>
    <w:p xmlns:wp14="http://schemas.microsoft.com/office/word/2010/wordml" w:rsidR="000A2587" w:rsidP="000A2587" w:rsidRDefault="000A2587" w14:paraId="49C44142" wp14:textId="77777777">
      <w:r>
        <w:rPr>
          <w:rFonts w:ascii="Symbol" w:hAnsi="Symbol" w:eastAsia="Symbol" w:cs="Symbol"/>
        </w:rPr>
        <w:t>·</w:t>
      </w:r>
      <w:r>
        <w:t xml:space="preserve"> Be well prepared for the challenges that awaits them in the world. Ultimately, we want all of our pupils, to be the best they can be, making a positive contribution to the world they live in</w:t>
      </w:r>
    </w:p>
    <w:sectPr w:rsidR="000A2587" w:rsidSect="0072041A">
      <w:pgSz w:w="11906" w:h="16838" w:orient="portrait"/>
      <w:pgMar w:top="426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A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A17202"/>
    <w:multiLevelType w:val="hybridMultilevel"/>
    <w:tmpl w:val="218C5894"/>
    <w:lvl w:ilvl="0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" w15:restartNumberingAfterBreak="0">
    <w:nsid w:val="0F6C5836"/>
    <w:multiLevelType w:val="hybridMultilevel"/>
    <w:tmpl w:val="CFDCD98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BE2B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1411DF1"/>
    <w:multiLevelType w:val="hybridMultilevel"/>
    <w:tmpl w:val="BF3022D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902667"/>
    <w:multiLevelType w:val="hybridMultilevel"/>
    <w:tmpl w:val="F4E6A6A6"/>
    <w:lvl w:ilvl="0" w:tplc="0809000D">
      <w:start w:val="1"/>
      <w:numFmt w:val="bullet"/>
      <w:lvlText w:val=""/>
      <w:lvlJc w:val="left"/>
      <w:pPr>
        <w:ind w:left="14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hint="default" w:ascii="Wingdings" w:hAnsi="Wingdings"/>
      </w:rPr>
    </w:lvl>
  </w:abstractNum>
  <w:abstractNum w:abstractNumId="6" w15:restartNumberingAfterBreak="0">
    <w:nsid w:val="563B60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FA947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D"/>
    <w:rsid w:val="0006181D"/>
    <w:rsid w:val="000710E5"/>
    <w:rsid w:val="00071829"/>
    <w:rsid w:val="00071AFC"/>
    <w:rsid w:val="0009072B"/>
    <w:rsid w:val="000A2587"/>
    <w:rsid w:val="000C7779"/>
    <w:rsid w:val="000F3B9D"/>
    <w:rsid w:val="000F6DB4"/>
    <w:rsid w:val="00112CB8"/>
    <w:rsid w:val="0014119E"/>
    <w:rsid w:val="00144AA8"/>
    <w:rsid w:val="0017686B"/>
    <w:rsid w:val="001B6668"/>
    <w:rsid w:val="00206978"/>
    <w:rsid w:val="00255B15"/>
    <w:rsid w:val="002940E6"/>
    <w:rsid w:val="002E14A2"/>
    <w:rsid w:val="002E50E5"/>
    <w:rsid w:val="00316E7C"/>
    <w:rsid w:val="00330E15"/>
    <w:rsid w:val="0035378F"/>
    <w:rsid w:val="003824C4"/>
    <w:rsid w:val="003850B6"/>
    <w:rsid w:val="003A5129"/>
    <w:rsid w:val="003F62EF"/>
    <w:rsid w:val="00420DC4"/>
    <w:rsid w:val="00425679"/>
    <w:rsid w:val="00436C6D"/>
    <w:rsid w:val="00477CC2"/>
    <w:rsid w:val="0048160D"/>
    <w:rsid w:val="004864EE"/>
    <w:rsid w:val="004B4F3A"/>
    <w:rsid w:val="004C18DD"/>
    <w:rsid w:val="004D0F39"/>
    <w:rsid w:val="0050153B"/>
    <w:rsid w:val="005267A0"/>
    <w:rsid w:val="00532E88"/>
    <w:rsid w:val="00567AE8"/>
    <w:rsid w:val="005A593A"/>
    <w:rsid w:val="005D01FC"/>
    <w:rsid w:val="005E5305"/>
    <w:rsid w:val="005F45EC"/>
    <w:rsid w:val="00617821"/>
    <w:rsid w:val="006339E5"/>
    <w:rsid w:val="00645C51"/>
    <w:rsid w:val="006603E0"/>
    <w:rsid w:val="006D2C95"/>
    <w:rsid w:val="006D7FF1"/>
    <w:rsid w:val="006E59F0"/>
    <w:rsid w:val="007109B3"/>
    <w:rsid w:val="0071412A"/>
    <w:rsid w:val="0072041A"/>
    <w:rsid w:val="00740987"/>
    <w:rsid w:val="0078652D"/>
    <w:rsid w:val="007C4B9F"/>
    <w:rsid w:val="007D0A82"/>
    <w:rsid w:val="007D1A76"/>
    <w:rsid w:val="007F6E8F"/>
    <w:rsid w:val="008255A0"/>
    <w:rsid w:val="008425E2"/>
    <w:rsid w:val="008723FA"/>
    <w:rsid w:val="00882B8C"/>
    <w:rsid w:val="008B3F28"/>
    <w:rsid w:val="008B447E"/>
    <w:rsid w:val="008D3A73"/>
    <w:rsid w:val="00945196"/>
    <w:rsid w:val="00960492"/>
    <w:rsid w:val="009858B3"/>
    <w:rsid w:val="00991F99"/>
    <w:rsid w:val="009C135E"/>
    <w:rsid w:val="009D41B8"/>
    <w:rsid w:val="00A07098"/>
    <w:rsid w:val="00A33975"/>
    <w:rsid w:val="00A42981"/>
    <w:rsid w:val="00A74C20"/>
    <w:rsid w:val="00A84DDD"/>
    <w:rsid w:val="00A8760C"/>
    <w:rsid w:val="00AC4045"/>
    <w:rsid w:val="00B06FEA"/>
    <w:rsid w:val="00B14E8E"/>
    <w:rsid w:val="00B22DAE"/>
    <w:rsid w:val="00B348A0"/>
    <w:rsid w:val="00B66493"/>
    <w:rsid w:val="00B74BEE"/>
    <w:rsid w:val="00BB57DB"/>
    <w:rsid w:val="00BB7DAA"/>
    <w:rsid w:val="00C000A2"/>
    <w:rsid w:val="00C4263F"/>
    <w:rsid w:val="00C429BC"/>
    <w:rsid w:val="00C51CAC"/>
    <w:rsid w:val="00CB197B"/>
    <w:rsid w:val="00CB4539"/>
    <w:rsid w:val="00CB5B57"/>
    <w:rsid w:val="00CB6AA1"/>
    <w:rsid w:val="00CD69BA"/>
    <w:rsid w:val="00CF6E9B"/>
    <w:rsid w:val="00D01AD9"/>
    <w:rsid w:val="00D17D21"/>
    <w:rsid w:val="00D32457"/>
    <w:rsid w:val="00D50CCD"/>
    <w:rsid w:val="00D53DD6"/>
    <w:rsid w:val="00D8165D"/>
    <w:rsid w:val="00D901CA"/>
    <w:rsid w:val="00E22C86"/>
    <w:rsid w:val="00E32261"/>
    <w:rsid w:val="00E51F81"/>
    <w:rsid w:val="00E54BE3"/>
    <w:rsid w:val="00E81AFA"/>
    <w:rsid w:val="00E921FB"/>
    <w:rsid w:val="00EA7057"/>
    <w:rsid w:val="00EE1A0B"/>
    <w:rsid w:val="00EE7B74"/>
    <w:rsid w:val="00EF1542"/>
    <w:rsid w:val="00F12389"/>
    <w:rsid w:val="00F219BD"/>
    <w:rsid w:val="00F33465"/>
    <w:rsid w:val="00F3399F"/>
    <w:rsid w:val="00F643EF"/>
    <w:rsid w:val="00F86068"/>
    <w:rsid w:val="00F90902"/>
    <w:rsid w:val="00FB15A4"/>
    <w:rsid w:val="00FB7460"/>
    <w:rsid w:val="00FE3992"/>
    <w:rsid w:val="00FE6227"/>
    <w:rsid w:val="01597970"/>
    <w:rsid w:val="02B659D7"/>
    <w:rsid w:val="038D5291"/>
    <w:rsid w:val="06D281D6"/>
    <w:rsid w:val="076B46D2"/>
    <w:rsid w:val="0820511F"/>
    <w:rsid w:val="09427095"/>
    <w:rsid w:val="09B56D9C"/>
    <w:rsid w:val="0A51D558"/>
    <w:rsid w:val="0C326DB0"/>
    <w:rsid w:val="0E6EF66C"/>
    <w:rsid w:val="106657EF"/>
    <w:rsid w:val="12DE7FDB"/>
    <w:rsid w:val="13CEB395"/>
    <w:rsid w:val="15C282D0"/>
    <w:rsid w:val="19152E09"/>
    <w:rsid w:val="198626AA"/>
    <w:rsid w:val="19DFD327"/>
    <w:rsid w:val="1AC4255C"/>
    <w:rsid w:val="1B53AA26"/>
    <w:rsid w:val="1C293E20"/>
    <w:rsid w:val="1FC9A862"/>
    <w:rsid w:val="254E9CB0"/>
    <w:rsid w:val="27FB0A82"/>
    <w:rsid w:val="285953B6"/>
    <w:rsid w:val="28D927C1"/>
    <w:rsid w:val="2A3F1BC5"/>
    <w:rsid w:val="2A838318"/>
    <w:rsid w:val="2BDD03C4"/>
    <w:rsid w:val="2DDA803D"/>
    <w:rsid w:val="2E5644B3"/>
    <w:rsid w:val="2F5690DF"/>
    <w:rsid w:val="327126AF"/>
    <w:rsid w:val="32A502AF"/>
    <w:rsid w:val="33972EDA"/>
    <w:rsid w:val="3590BC5A"/>
    <w:rsid w:val="3813196E"/>
    <w:rsid w:val="38E8CA90"/>
    <w:rsid w:val="3C02D390"/>
    <w:rsid w:val="406D2212"/>
    <w:rsid w:val="420355B4"/>
    <w:rsid w:val="427DC898"/>
    <w:rsid w:val="43CE8CAF"/>
    <w:rsid w:val="445CD912"/>
    <w:rsid w:val="45A17CA6"/>
    <w:rsid w:val="45E33D18"/>
    <w:rsid w:val="46C55191"/>
    <w:rsid w:val="49005F23"/>
    <w:rsid w:val="49DD37D8"/>
    <w:rsid w:val="4A46DEA8"/>
    <w:rsid w:val="4B28D20A"/>
    <w:rsid w:val="4CFA51D3"/>
    <w:rsid w:val="4E7BBB28"/>
    <w:rsid w:val="4F602254"/>
    <w:rsid w:val="4FA9DE06"/>
    <w:rsid w:val="5079B8DC"/>
    <w:rsid w:val="50DA1FB4"/>
    <w:rsid w:val="51A20825"/>
    <w:rsid w:val="51A46895"/>
    <w:rsid w:val="53802296"/>
    <w:rsid w:val="53A9F9CC"/>
    <w:rsid w:val="547351B4"/>
    <w:rsid w:val="5599FF20"/>
    <w:rsid w:val="5684A417"/>
    <w:rsid w:val="582F30A8"/>
    <w:rsid w:val="583BDE2F"/>
    <w:rsid w:val="5A400E5B"/>
    <w:rsid w:val="5CB9317E"/>
    <w:rsid w:val="5CC74838"/>
    <w:rsid w:val="5E4A7DF8"/>
    <w:rsid w:val="604C42F4"/>
    <w:rsid w:val="64D94892"/>
    <w:rsid w:val="64EAA6E6"/>
    <w:rsid w:val="65EFF2D0"/>
    <w:rsid w:val="669E4432"/>
    <w:rsid w:val="67DB6B3F"/>
    <w:rsid w:val="698494BD"/>
    <w:rsid w:val="6A6665C2"/>
    <w:rsid w:val="6D803BF8"/>
    <w:rsid w:val="6F188F7D"/>
    <w:rsid w:val="70994BE3"/>
    <w:rsid w:val="70F76DEE"/>
    <w:rsid w:val="71B333B3"/>
    <w:rsid w:val="73477228"/>
    <w:rsid w:val="73EDF1BD"/>
    <w:rsid w:val="767D5037"/>
    <w:rsid w:val="767FFF47"/>
    <w:rsid w:val="7755C433"/>
    <w:rsid w:val="7A668B66"/>
    <w:rsid w:val="7CB2C4C1"/>
    <w:rsid w:val="7CDA2C79"/>
    <w:rsid w:val="7E4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3C24"/>
  <w15:docId w15:val="{AB74A414-B157-49C7-A9DA-5D02B060A3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7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E1A0B"/>
    <w:pPr>
      <w:ind w:left="720"/>
      <w:contextualSpacing/>
    </w:pPr>
  </w:style>
  <w:style w:type="paragraph" w:styleId="xmsonormal" w:customStyle="1">
    <w:name w:val="x_msonormal"/>
    <w:basedOn w:val="Normal"/>
    <w:rsid w:val="008D3A73"/>
    <w:pPr>
      <w:spacing w:after="0" w:line="240" w:lineRule="auto"/>
    </w:pPr>
    <w:rPr>
      <w:rFonts w:ascii="Calibri" w:hAnsi="Calibri" w:cs="Calibri" w:eastAsiaTheme="minorEastAsia"/>
      <w:lang w:eastAsia="en-GB"/>
    </w:rPr>
  </w:style>
  <w:style w:type="paragraph" w:styleId="xmsolistparagraph" w:customStyle="1">
    <w:name w:val="x_msolistparagraph"/>
    <w:basedOn w:val="Normal"/>
    <w:rsid w:val="008D3A73"/>
    <w:pPr>
      <w:spacing w:after="0" w:line="240" w:lineRule="auto"/>
      <w:ind w:left="720"/>
    </w:pPr>
    <w:rPr>
      <w:rFonts w:ascii="Calibri" w:hAnsi="Calibri" w:cs="Calibri" w:eastAsiaTheme="minorEastAsia"/>
      <w:sz w:val="24"/>
      <w:szCs w:val="24"/>
      <w:lang w:eastAsia="en-GB"/>
    </w:rPr>
  </w:style>
  <w:style w:type="paragraph" w:styleId="NoSpacing">
    <w:name w:val="No Spacing"/>
    <w:uiPriority w:val="1"/>
    <w:qFormat/>
    <w:rsid w:val="00BB7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L.Lavelle01\Desktop\BACK%20UP\middle\SUBJECT%20-%20Curriculum%20Intent%20On%20A%20Page%20-%202021-2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9" ma:contentTypeDescription="Create a new document." ma:contentTypeScope="" ma:versionID="fcbc9069e49271a5389ef12f0174be7c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26d2fc185a5cc3ac8aee6356909cb38e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</documentManagement>
</p:properties>
</file>

<file path=customXml/itemProps1.xml><?xml version="1.0" encoding="utf-8"?>
<ds:datastoreItem xmlns:ds="http://schemas.openxmlformats.org/officeDocument/2006/customXml" ds:itemID="{235B3E7E-747F-4DC6-9F72-30CCFF0B0215}"/>
</file>

<file path=customXml/itemProps2.xml><?xml version="1.0" encoding="utf-8"?>
<ds:datastoreItem xmlns:ds="http://schemas.openxmlformats.org/officeDocument/2006/customXml" ds:itemID="{D547598D-765B-4D37-9079-04585C8C6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43394-E591-4A14-974D-F3D6E99D54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SUBJECT - Curriculum Intent On A Page - 2021-2 -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STL.Lavelle01</dc:creator>
  <keywords/>
  <dc:description/>
  <lastModifiedBy>Lisa Lavelle (Pine Green Staff)</lastModifiedBy>
  <revision>4</revision>
  <lastPrinted>2022-01-31T13:03:00.0000000Z</lastPrinted>
  <dcterms:created xsi:type="dcterms:W3CDTF">2022-07-18T15:26:00.0000000Z</dcterms:created>
  <dcterms:modified xsi:type="dcterms:W3CDTF">2024-06-06T14:34:12.3199602Z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</Properties>
</file>