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06B61" w14:textId="77777777" w:rsidR="00F3399F" w:rsidRDefault="000A2587" w:rsidP="0072041A">
      <w:pPr>
        <w:ind w:left="142"/>
        <w:rPr>
          <w:b/>
          <w:bCs/>
          <w:sz w:val="24"/>
          <w:szCs w:val="24"/>
          <w:u w:val="single"/>
          <w:lang w:val="en-US"/>
        </w:rPr>
      </w:pPr>
      <w:r>
        <w:rPr>
          <w:noProof/>
          <w:lang w:eastAsia="en-GB"/>
        </w:rPr>
        <w:drawing>
          <wp:anchor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7DB" w:rsidRPr="00F86068">
        <w:rPr>
          <w:b/>
          <w:bCs/>
          <w:sz w:val="24"/>
          <w:szCs w:val="24"/>
          <w:u w:val="single"/>
          <w:lang w:val="en-US"/>
        </w:rPr>
        <w:t xml:space="preserve">Curriculum Intent </w:t>
      </w:r>
      <w:r w:rsidR="00A42981" w:rsidRPr="00F86068">
        <w:rPr>
          <w:b/>
          <w:bCs/>
          <w:sz w:val="24"/>
          <w:szCs w:val="24"/>
          <w:u w:val="single"/>
          <w:lang w:val="en-US"/>
        </w:rPr>
        <w:t>o</w:t>
      </w:r>
      <w:r w:rsidR="00BB57DB" w:rsidRPr="00F86068">
        <w:rPr>
          <w:b/>
          <w:bCs/>
          <w:sz w:val="24"/>
          <w:szCs w:val="24"/>
          <w:u w:val="single"/>
          <w:lang w:val="en-US"/>
        </w:rPr>
        <w:t xml:space="preserve">n </w:t>
      </w:r>
      <w:r w:rsidR="00A42981" w:rsidRPr="00F86068">
        <w:rPr>
          <w:b/>
          <w:bCs/>
          <w:sz w:val="24"/>
          <w:szCs w:val="24"/>
          <w:u w:val="single"/>
          <w:lang w:val="en-US"/>
        </w:rPr>
        <w:t>a</w:t>
      </w:r>
      <w:r w:rsidR="00BB57DB" w:rsidRPr="00F86068">
        <w:rPr>
          <w:b/>
          <w:bCs/>
          <w:sz w:val="24"/>
          <w:szCs w:val="24"/>
          <w:u w:val="single"/>
          <w:lang w:val="en-US"/>
        </w:rPr>
        <w:t xml:space="preserve"> Page</w:t>
      </w:r>
      <w:r w:rsidRPr="000A2587">
        <w:rPr>
          <w:noProof/>
        </w:rPr>
        <w:t xml:space="preserve"> </w:t>
      </w:r>
    </w:p>
    <w:p w14:paraId="52842F92" w14:textId="77777777" w:rsidR="005D01FC" w:rsidRPr="005D01FC" w:rsidRDefault="005D01FC" w:rsidP="00BB57DB">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w:rsidR="00BB57DB" w14:paraId="7E3CC3E7" w14:textId="77777777" w:rsidTr="0072041A">
        <w:tc>
          <w:tcPr>
            <w:tcW w:w="1696" w:type="dxa"/>
            <w:shd w:val="clear" w:color="auto" w:fill="112B43"/>
          </w:tcPr>
          <w:p w14:paraId="3421CAE2" w14:textId="77777777" w:rsidR="00BB57DB" w:rsidRPr="00BB57DB" w:rsidRDefault="00BB57DB">
            <w:pPr>
              <w:rPr>
                <w:b/>
                <w:bCs/>
                <w:lang w:val="en-US"/>
              </w:rPr>
            </w:pPr>
            <w:r w:rsidRPr="00BB57DB">
              <w:rPr>
                <w:b/>
                <w:bCs/>
                <w:lang w:val="en-US"/>
              </w:rPr>
              <w:t>Subject</w:t>
            </w:r>
          </w:p>
        </w:tc>
        <w:tc>
          <w:tcPr>
            <w:tcW w:w="9214" w:type="dxa"/>
          </w:tcPr>
          <w:p w14:paraId="0F710796" w14:textId="03CD2004" w:rsidR="00BB57DB" w:rsidRPr="00DC027F" w:rsidRDefault="000A0CB1">
            <w:pPr>
              <w:rPr>
                <w:szCs w:val="20"/>
                <w:lang w:val="en-US"/>
              </w:rPr>
            </w:pPr>
            <w:r>
              <w:rPr>
                <w:szCs w:val="20"/>
                <w:lang w:val="en-US"/>
              </w:rPr>
              <w:t xml:space="preserve">Preparation for Adulthood </w:t>
            </w:r>
          </w:p>
        </w:tc>
      </w:tr>
      <w:tr w:rsidR="00BB57DB" w14:paraId="33CC5620" w14:textId="77777777" w:rsidTr="0072041A">
        <w:tc>
          <w:tcPr>
            <w:tcW w:w="1696" w:type="dxa"/>
            <w:shd w:val="clear" w:color="auto" w:fill="112B43"/>
          </w:tcPr>
          <w:p w14:paraId="7C3480E1" w14:textId="77777777" w:rsidR="00BB57DB" w:rsidRPr="00BB57DB" w:rsidRDefault="00D17D21">
            <w:pPr>
              <w:rPr>
                <w:b/>
                <w:bCs/>
                <w:lang w:val="en-US"/>
              </w:rPr>
            </w:pPr>
            <w:r>
              <w:rPr>
                <w:b/>
                <w:bCs/>
                <w:lang w:val="en-US"/>
              </w:rPr>
              <w:t xml:space="preserve">Subject Teacher </w:t>
            </w:r>
          </w:p>
        </w:tc>
        <w:tc>
          <w:tcPr>
            <w:tcW w:w="9214" w:type="dxa"/>
          </w:tcPr>
          <w:p w14:paraId="054143A2" w14:textId="77777777" w:rsidR="00BB57DB" w:rsidRPr="00EE1A0B" w:rsidRDefault="008B330E" w:rsidP="2BDD03C4">
            <w:pPr>
              <w:spacing w:line="259" w:lineRule="auto"/>
            </w:pPr>
            <w:r>
              <w:t>Mr M Grant</w:t>
            </w:r>
          </w:p>
        </w:tc>
      </w:tr>
    </w:tbl>
    <w:p w14:paraId="4110CCE9"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10910"/>
      </w:tblGrid>
      <w:tr w:rsidR="00BB57DB" w14:paraId="44047F38" w14:textId="77777777" w:rsidTr="0072041A">
        <w:tc>
          <w:tcPr>
            <w:tcW w:w="10910" w:type="dxa"/>
            <w:shd w:val="clear" w:color="auto" w:fill="112B43"/>
          </w:tcPr>
          <w:p w14:paraId="3C91E4D4" w14:textId="77777777" w:rsidR="00BB57DB" w:rsidRPr="00BB57DB" w:rsidRDefault="00B74BEE" w:rsidP="00991F99">
            <w:pPr>
              <w:jc w:val="right"/>
              <w:rPr>
                <w:b/>
                <w:bCs/>
                <w:lang w:val="en-US"/>
              </w:rPr>
            </w:pPr>
            <w:r>
              <w:rPr>
                <w:b/>
                <w:bCs/>
                <w:lang w:val="en-US"/>
              </w:rPr>
              <w:t>I</w:t>
            </w:r>
            <w:r w:rsidR="00BB57DB" w:rsidRPr="00BB57DB">
              <w:rPr>
                <w:b/>
                <w:bCs/>
                <w:lang w:val="en-US"/>
              </w:rPr>
              <w:t xml:space="preserve">ntent </w:t>
            </w:r>
            <w:r>
              <w:rPr>
                <w:b/>
                <w:bCs/>
                <w:lang w:val="en-US"/>
              </w:rPr>
              <w:t>s</w:t>
            </w:r>
            <w:r w:rsidR="00BB57DB" w:rsidRPr="00BB57DB">
              <w:rPr>
                <w:b/>
                <w:bCs/>
                <w:lang w:val="en-US"/>
              </w:rPr>
              <w:t xml:space="preserve">tatement </w:t>
            </w:r>
            <w:r w:rsidR="00BB7DAA">
              <w:rPr>
                <w:b/>
                <w:bCs/>
                <w:lang w:val="en-US"/>
              </w:rPr>
              <w:t xml:space="preserve">– Our Curriculum Objectives </w:t>
            </w:r>
          </w:p>
        </w:tc>
      </w:tr>
      <w:tr w:rsidR="00BB57DB" w14:paraId="11E5A9C9" w14:textId="77777777" w:rsidTr="0072041A">
        <w:tc>
          <w:tcPr>
            <w:tcW w:w="10910" w:type="dxa"/>
          </w:tcPr>
          <w:p w14:paraId="7B9157E3" w14:textId="77777777" w:rsidR="00255B15" w:rsidRPr="007D0A82" w:rsidRDefault="00CE2B71" w:rsidP="00DC027F">
            <w:pPr>
              <w:rPr>
                <w:rFonts w:ascii="Calibri" w:eastAsia="Calibri" w:hAnsi="Calibri" w:cs="Calibri"/>
                <w:color w:val="000000" w:themeColor="text1"/>
                <w:sz w:val="19"/>
                <w:szCs w:val="19"/>
              </w:rPr>
            </w:pPr>
            <w:r>
              <w:rPr>
                <w:rFonts w:ascii="Calibri" w:eastAsia="Calibri" w:hAnsi="Calibri" w:cs="Calibri"/>
                <w:color w:val="000000" w:themeColor="text1"/>
                <w:sz w:val="19"/>
                <w:szCs w:val="19"/>
              </w:rPr>
              <w:t xml:space="preserve">The intention for this course is to attempt to realise the student’s own skills potential using what they already have in creatively positive ways. The course opens the students up and exposes them to aspects of spending and money management that helps them think about the consequences of careful thought and taking responsibility. The lessons are very flexible and enable students to build </w:t>
            </w:r>
            <w:r w:rsidR="00DC027F">
              <w:rPr>
                <w:rFonts w:ascii="Calibri" w:eastAsia="Calibri" w:hAnsi="Calibri" w:cs="Calibri"/>
                <w:color w:val="000000" w:themeColor="text1"/>
                <w:sz w:val="19"/>
                <w:szCs w:val="19"/>
              </w:rPr>
              <w:t xml:space="preserve">new </w:t>
            </w:r>
            <w:r>
              <w:rPr>
                <w:rFonts w:ascii="Calibri" w:eastAsia="Calibri" w:hAnsi="Calibri" w:cs="Calibri"/>
                <w:color w:val="000000" w:themeColor="text1"/>
                <w:sz w:val="19"/>
                <w:szCs w:val="19"/>
              </w:rPr>
              <w:t>skills they will find useful in their future</w:t>
            </w:r>
            <w:r w:rsidR="00DC027F">
              <w:rPr>
                <w:rFonts w:ascii="Calibri" w:eastAsia="Calibri" w:hAnsi="Calibri" w:cs="Calibri"/>
                <w:color w:val="000000" w:themeColor="text1"/>
                <w:sz w:val="19"/>
                <w:szCs w:val="19"/>
              </w:rPr>
              <w:t>. It is hoped that the students will express a heightened level of confidence as they progress through the learning content and be able to relate real life situations that their newly acquired skills will help them travers and navigate their ways out of certain issues especially around using money and keeping their information safe. More than anything it is intended that exposure to this curriculum by way of participating in the lesson and the complimentary activities will enhance their self-confidence, adaptability, problem solving and personal strengths.</w:t>
            </w:r>
          </w:p>
        </w:tc>
      </w:tr>
      <w:tr w:rsidR="00BB57DB" w14:paraId="08BCC01F" w14:textId="77777777" w:rsidTr="0072041A">
        <w:tc>
          <w:tcPr>
            <w:tcW w:w="10910" w:type="dxa"/>
            <w:shd w:val="clear" w:color="auto" w:fill="112B43"/>
          </w:tcPr>
          <w:p w14:paraId="32AF437C" w14:textId="77777777" w:rsidR="00BB57DB" w:rsidRPr="00BB57DB" w:rsidRDefault="00BB7DAA" w:rsidP="00991F99">
            <w:pPr>
              <w:jc w:val="right"/>
              <w:rPr>
                <w:b/>
                <w:bCs/>
                <w:lang w:val="en-US"/>
              </w:rPr>
            </w:pPr>
            <w:r>
              <w:rPr>
                <w:b/>
                <w:bCs/>
                <w:lang w:val="en-US"/>
              </w:rPr>
              <w:t>Curriculum Sequencing</w:t>
            </w:r>
          </w:p>
        </w:tc>
      </w:tr>
      <w:tr w:rsidR="00BB57DB" w14:paraId="7853A985" w14:textId="77777777" w:rsidTr="0072041A">
        <w:tc>
          <w:tcPr>
            <w:tcW w:w="10910" w:type="dxa"/>
          </w:tcPr>
          <w:p w14:paraId="4C231118" w14:textId="6D3BDBBB" w:rsidR="00102865" w:rsidRPr="007D0A82" w:rsidRDefault="00DC027F" w:rsidP="00DC027F">
            <w:pPr>
              <w:rPr>
                <w:rFonts w:ascii="Calibri" w:eastAsia="Calibri" w:hAnsi="Calibri" w:cs="Calibri"/>
                <w:color w:val="000000" w:themeColor="text1"/>
                <w:sz w:val="19"/>
                <w:szCs w:val="19"/>
                <w:lang w:val="en-US"/>
              </w:rPr>
            </w:pPr>
            <w:r>
              <w:rPr>
                <w:rFonts w:ascii="Calibri" w:eastAsia="Calibri" w:hAnsi="Calibri" w:cs="Calibri"/>
                <w:color w:val="000000" w:themeColor="text1"/>
                <w:sz w:val="19"/>
                <w:szCs w:val="19"/>
                <w:lang w:val="en-US"/>
              </w:rPr>
              <w:t xml:space="preserve">Offered only to </w:t>
            </w:r>
            <w:r w:rsidR="005E46EF">
              <w:rPr>
                <w:rFonts w:ascii="Calibri" w:eastAsia="Calibri" w:hAnsi="Calibri" w:cs="Calibri"/>
                <w:color w:val="000000" w:themeColor="text1"/>
                <w:sz w:val="19"/>
                <w:szCs w:val="19"/>
                <w:lang w:val="en-US"/>
              </w:rPr>
              <w:t>KS3</w:t>
            </w:r>
            <w:r w:rsidR="007648EF">
              <w:rPr>
                <w:rFonts w:ascii="Calibri" w:eastAsia="Calibri" w:hAnsi="Calibri" w:cs="Calibri"/>
                <w:color w:val="000000" w:themeColor="text1"/>
                <w:sz w:val="19"/>
                <w:szCs w:val="19"/>
                <w:lang w:val="en-US"/>
              </w:rPr>
              <w:t xml:space="preserve"> the course will commence with an exploration into the attitudes of the students towards money, money safety and reconciliation via a series of money skills lessons.</w:t>
            </w:r>
            <w:r w:rsidR="00DD732B">
              <w:rPr>
                <w:rFonts w:ascii="Calibri" w:eastAsia="Calibri" w:hAnsi="Calibri" w:cs="Calibri"/>
                <w:color w:val="000000" w:themeColor="text1"/>
                <w:sz w:val="19"/>
                <w:szCs w:val="19"/>
                <w:lang w:val="en-US"/>
              </w:rPr>
              <w:t xml:space="preserve"> Which will include Safe and Sensible Spending, </w:t>
            </w:r>
            <w:proofErr w:type="spellStart"/>
            <w:r w:rsidR="00DD732B">
              <w:rPr>
                <w:rFonts w:ascii="Calibri" w:eastAsia="Calibri" w:hAnsi="Calibri" w:cs="Calibri"/>
                <w:color w:val="000000" w:themeColor="text1"/>
                <w:sz w:val="19"/>
                <w:szCs w:val="19"/>
                <w:lang w:val="en-US"/>
              </w:rPr>
              <w:t>Recognising</w:t>
            </w:r>
            <w:proofErr w:type="spellEnd"/>
            <w:r w:rsidR="00DD732B">
              <w:rPr>
                <w:rFonts w:ascii="Calibri" w:eastAsia="Calibri" w:hAnsi="Calibri" w:cs="Calibri"/>
                <w:color w:val="000000" w:themeColor="text1"/>
                <w:sz w:val="19"/>
                <w:szCs w:val="19"/>
                <w:lang w:val="en-US"/>
              </w:rPr>
              <w:t xml:space="preserve"> your money </w:t>
            </w:r>
            <w:r w:rsidR="00F3296E">
              <w:rPr>
                <w:rFonts w:ascii="Calibri" w:eastAsia="Calibri" w:hAnsi="Calibri" w:cs="Calibri"/>
                <w:color w:val="000000" w:themeColor="text1"/>
                <w:sz w:val="19"/>
                <w:szCs w:val="19"/>
                <w:lang w:val="en-US"/>
              </w:rPr>
              <w:t>personality and lessons around value for money. This will be followed up by a series of growth mindset orientated lessons which should complement their prior lessons and encourage a more mature attitude around money and taking responsibility.</w:t>
            </w:r>
            <w:r w:rsidR="00D50BE3">
              <w:rPr>
                <w:rFonts w:ascii="Calibri" w:eastAsia="Calibri" w:hAnsi="Calibri" w:cs="Calibri"/>
                <w:color w:val="000000" w:themeColor="text1"/>
                <w:sz w:val="19"/>
                <w:szCs w:val="19"/>
                <w:lang w:val="en-US"/>
              </w:rPr>
              <w:t xml:space="preserve"> The units to follow will seek to build on their personal skills and examine their transferable skills. The units covered in </w:t>
            </w:r>
            <w:r w:rsidR="000A0CB1">
              <w:rPr>
                <w:rFonts w:ascii="Calibri" w:eastAsia="Calibri" w:hAnsi="Calibri" w:cs="Calibri"/>
                <w:color w:val="000000" w:themeColor="text1"/>
                <w:sz w:val="19"/>
                <w:szCs w:val="19"/>
                <w:lang w:val="en-US"/>
              </w:rPr>
              <w:t>Preparation for Adulthood</w:t>
            </w:r>
            <w:r w:rsidR="00D50BE3">
              <w:rPr>
                <w:rFonts w:ascii="Calibri" w:eastAsia="Calibri" w:hAnsi="Calibri" w:cs="Calibri"/>
                <w:color w:val="000000" w:themeColor="text1"/>
                <w:sz w:val="19"/>
                <w:szCs w:val="19"/>
                <w:lang w:val="en-US"/>
              </w:rPr>
              <w:t xml:space="preserve"> strongly correlate with the Enterprise Skills course of study</w:t>
            </w:r>
            <w:r w:rsidR="003603EC">
              <w:rPr>
                <w:rFonts w:ascii="Calibri" w:eastAsia="Calibri" w:hAnsi="Calibri" w:cs="Calibri"/>
                <w:color w:val="000000" w:themeColor="text1"/>
                <w:sz w:val="19"/>
                <w:szCs w:val="19"/>
                <w:lang w:val="en-US"/>
              </w:rPr>
              <w:t xml:space="preserve"> and are great tools to witness the positive transition into preparing the students for early adulthood.</w:t>
            </w:r>
          </w:p>
        </w:tc>
      </w:tr>
      <w:tr w:rsidR="00BB57DB" w14:paraId="2D8F6AB0" w14:textId="77777777" w:rsidTr="0072041A">
        <w:tc>
          <w:tcPr>
            <w:tcW w:w="10910" w:type="dxa"/>
            <w:shd w:val="clear" w:color="auto" w:fill="112B43"/>
          </w:tcPr>
          <w:p w14:paraId="3C9B516C" w14:textId="77777777" w:rsidR="00BB57DB" w:rsidRPr="00BB57DB" w:rsidRDefault="00D17D21" w:rsidP="00991F99">
            <w:pPr>
              <w:jc w:val="right"/>
              <w:rPr>
                <w:b/>
                <w:bCs/>
                <w:lang w:val="en-US"/>
              </w:rPr>
            </w:pPr>
            <w:r>
              <w:rPr>
                <w:b/>
                <w:bCs/>
                <w:lang w:val="en-US"/>
              </w:rPr>
              <w:t xml:space="preserve">Our Long-Term Plan </w:t>
            </w:r>
          </w:p>
        </w:tc>
      </w:tr>
      <w:tr w:rsidR="00BB57DB" w14:paraId="0302696A" w14:textId="77777777" w:rsidTr="003603EC">
        <w:trPr>
          <w:trHeight w:val="1197"/>
        </w:trPr>
        <w:tc>
          <w:tcPr>
            <w:tcW w:w="10910" w:type="dxa"/>
          </w:tcPr>
          <w:p w14:paraId="71FC9C3B" w14:textId="77777777" w:rsidR="00BB57DB" w:rsidRPr="008B330E" w:rsidRDefault="008B330E" w:rsidP="003603EC">
            <w:pPr>
              <w:rPr>
                <w:rFonts w:ascii="Calibri" w:hAnsi="Calibri" w:cs="Calibri"/>
                <w:sz w:val="19"/>
                <w:szCs w:val="19"/>
                <w:lang w:val="en-US"/>
              </w:rPr>
            </w:pPr>
            <w:r w:rsidRPr="008B330E">
              <w:rPr>
                <w:rFonts w:ascii="Calibri" w:hAnsi="Calibri" w:cs="Calibri"/>
                <w:sz w:val="19"/>
                <w:szCs w:val="19"/>
                <w:lang w:val="en-US"/>
              </w:rPr>
              <w:t>By the end of the</w:t>
            </w:r>
            <w:r w:rsidR="002E2265">
              <w:rPr>
                <w:rFonts w:ascii="Calibri" w:hAnsi="Calibri" w:cs="Calibri"/>
                <w:sz w:val="19"/>
                <w:szCs w:val="19"/>
                <w:lang w:val="en-US"/>
              </w:rPr>
              <w:t xml:space="preserve"> course the students will have the confidence and experience to </w:t>
            </w:r>
            <w:r w:rsidR="003603EC">
              <w:rPr>
                <w:rFonts w:ascii="Calibri" w:hAnsi="Calibri" w:cs="Calibri"/>
                <w:sz w:val="19"/>
                <w:szCs w:val="19"/>
                <w:lang w:val="en-US"/>
              </w:rPr>
              <w:t>move on to the next stage of the learning and developmental journey. The students will have a plethora of experience and anecdotal examples that will build the relativity they need to do well outside of their formal education into their early adulthood. It is strongly anticipated that the students possess much of the skills they need to live meaningful lives after formal education and are reliant on the complimentary nature of such courses to elicit the true benefits of applying these skills and feeling confident in doing so.</w:t>
            </w:r>
          </w:p>
        </w:tc>
      </w:tr>
      <w:tr w:rsidR="00BB7DAA" w14:paraId="2F5858FF" w14:textId="77777777" w:rsidTr="0072041A">
        <w:tc>
          <w:tcPr>
            <w:tcW w:w="10910" w:type="dxa"/>
            <w:shd w:val="clear" w:color="auto" w:fill="112B43"/>
          </w:tcPr>
          <w:p w14:paraId="0E92C33B" w14:textId="77777777" w:rsidR="00BB7DAA" w:rsidRPr="005267A0" w:rsidRDefault="00BB7DAA" w:rsidP="2BDD03C4">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w:rsidR="00BB7DAA" w14:paraId="2467E188" w14:textId="77777777" w:rsidTr="0072041A">
        <w:tc>
          <w:tcPr>
            <w:tcW w:w="10910" w:type="dxa"/>
          </w:tcPr>
          <w:p w14:paraId="6B5AFFB5" w14:textId="5EFE3CEB" w:rsidR="007659A1" w:rsidRPr="00A06A19" w:rsidRDefault="002E2265" w:rsidP="007659A1">
            <w:pPr>
              <w:tabs>
                <w:tab w:val="left" w:pos="3299"/>
              </w:tabs>
              <w:rPr>
                <w:rFonts w:ascii="Calibri" w:hAnsi="Calibri" w:cs="Calibri"/>
                <w:sz w:val="19"/>
                <w:szCs w:val="19"/>
                <w:lang w:val="en-US"/>
              </w:rPr>
            </w:pPr>
            <w:r>
              <w:rPr>
                <w:rFonts w:ascii="Calibri" w:hAnsi="Calibri" w:cs="Calibri"/>
                <w:sz w:val="19"/>
                <w:szCs w:val="19"/>
                <w:lang w:val="en-US"/>
              </w:rPr>
              <w:t>These</w:t>
            </w:r>
            <w:r w:rsidR="007659A1" w:rsidRPr="00A06A19">
              <w:rPr>
                <w:rFonts w:ascii="Calibri" w:hAnsi="Calibri" w:cs="Calibri"/>
                <w:sz w:val="19"/>
                <w:szCs w:val="19"/>
                <w:lang w:val="en-US"/>
              </w:rPr>
              <w:t xml:space="preserve"> </w:t>
            </w:r>
            <w:r>
              <w:rPr>
                <w:rFonts w:ascii="Calibri" w:hAnsi="Calibri" w:cs="Calibri"/>
                <w:sz w:val="19"/>
                <w:szCs w:val="19"/>
                <w:lang w:val="en-US"/>
              </w:rPr>
              <w:t xml:space="preserve">the units of study will be assessed on a participatory basis </w:t>
            </w:r>
            <w:r w:rsidR="003603EC">
              <w:rPr>
                <w:rFonts w:ascii="Calibri" w:hAnsi="Calibri" w:cs="Calibri"/>
                <w:sz w:val="19"/>
                <w:szCs w:val="19"/>
                <w:lang w:val="en-US"/>
              </w:rPr>
              <w:t>as there is a host</w:t>
            </w:r>
            <w:r>
              <w:rPr>
                <w:rFonts w:ascii="Calibri" w:hAnsi="Calibri" w:cs="Calibri"/>
                <w:sz w:val="19"/>
                <w:szCs w:val="19"/>
                <w:lang w:val="en-US"/>
              </w:rPr>
              <w:t xml:space="preserve"> of activities, worksheets and discussive topics that can and will help clarify and shortfall in skills and support the students through enhancing these for better quality of communication in a range of settings. The study material correlates strongly with </w:t>
            </w:r>
            <w:r w:rsidR="000A0CB1">
              <w:rPr>
                <w:rFonts w:ascii="Calibri" w:hAnsi="Calibri" w:cs="Calibri"/>
                <w:sz w:val="19"/>
                <w:szCs w:val="19"/>
                <w:lang w:val="en-US"/>
              </w:rPr>
              <w:t xml:space="preserve">Preparation for Adulthood </w:t>
            </w:r>
            <w:r>
              <w:rPr>
                <w:rFonts w:ascii="Calibri" w:hAnsi="Calibri" w:cs="Calibri"/>
                <w:sz w:val="19"/>
                <w:szCs w:val="19"/>
                <w:lang w:val="en-US"/>
              </w:rPr>
              <w:t>units the students will have been studying alongside Enterprise</w:t>
            </w:r>
            <w:r w:rsidR="005820E9">
              <w:rPr>
                <w:rFonts w:ascii="Calibri" w:hAnsi="Calibri" w:cs="Calibri"/>
                <w:sz w:val="19"/>
                <w:szCs w:val="19"/>
                <w:lang w:val="en-US"/>
              </w:rPr>
              <w:t xml:space="preserve"> and thus </w:t>
            </w:r>
            <w:proofErr w:type="gramStart"/>
            <w:r w:rsidR="005820E9">
              <w:rPr>
                <w:rFonts w:ascii="Calibri" w:hAnsi="Calibri" w:cs="Calibri"/>
                <w:sz w:val="19"/>
                <w:szCs w:val="19"/>
                <w:lang w:val="en-US"/>
              </w:rPr>
              <w:t>provide</w:t>
            </w:r>
            <w:proofErr w:type="gramEnd"/>
            <w:r w:rsidR="005820E9">
              <w:rPr>
                <w:rFonts w:ascii="Calibri" w:hAnsi="Calibri" w:cs="Calibri"/>
                <w:sz w:val="19"/>
                <w:szCs w:val="19"/>
                <w:lang w:val="en-US"/>
              </w:rPr>
              <w:t xml:space="preserve"> many opportunities to apply their communicative skills and reflect on the success of such.</w:t>
            </w:r>
          </w:p>
          <w:p w14:paraId="1D10B120" w14:textId="77777777" w:rsidR="007659A1" w:rsidRPr="00A06A19" w:rsidRDefault="007659A1" w:rsidP="007659A1">
            <w:pPr>
              <w:tabs>
                <w:tab w:val="left" w:pos="3299"/>
              </w:tabs>
              <w:rPr>
                <w:rFonts w:ascii="Calibri" w:hAnsi="Calibri" w:cs="Calibri"/>
                <w:sz w:val="19"/>
                <w:szCs w:val="19"/>
                <w:lang w:val="en-US"/>
              </w:rPr>
            </w:pPr>
          </w:p>
        </w:tc>
      </w:tr>
    </w:tbl>
    <w:p w14:paraId="4043EE21" w14:textId="77777777" w:rsidR="00BB57DB" w:rsidRPr="00C429BC" w:rsidRDefault="00BB57DB">
      <w:pPr>
        <w:rPr>
          <w:sz w:val="6"/>
          <w:szCs w:val="6"/>
          <w:lang w:val="en-US"/>
        </w:rPr>
      </w:pPr>
    </w:p>
    <w:tbl>
      <w:tblPr>
        <w:tblStyle w:val="TableGrid"/>
        <w:tblW w:w="10910" w:type="dxa"/>
        <w:tblLook w:val="04A0" w:firstRow="1" w:lastRow="0" w:firstColumn="1" w:lastColumn="0" w:noHBand="0" w:noVBand="1"/>
      </w:tblPr>
      <w:tblGrid>
        <w:gridCol w:w="2122"/>
        <w:gridCol w:w="8788"/>
      </w:tblGrid>
      <w:tr w:rsidR="00F643EF" w14:paraId="44582219" w14:textId="77777777" w:rsidTr="0072041A">
        <w:tc>
          <w:tcPr>
            <w:tcW w:w="10910" w:type="dxa"/>
            <w:gridSpan w:val="2"/>
            <w:shd w:val="clear" w:color="auto" w:fill="112B43"/>
          </w:tcPr>
          <w:p w14:paraId="09134C05" w14:textId="77777777" w:rsidR="00F643EF" w:rsidRPr="00BB57DB" w:rsidRDefault="00991F99" w:rsidP="00991F99">
            <w:pPr>
              <w:jc w:val="right"/>
              <w:rPr>
                <w:b/>
                <w:bCs/>
                <w:lang w:val="en-US"/>
              </w:rPr>
            </w:pPr>
            <w:r>
              <w:rPr>
                <w:b/>
                <w:bCs/>
                <w:lang w:val="en-US"/>
              </w:rPr>
              <w:t xml:space="preserve">Pine Green Curriculum </w:t>
            </w:r>
          </w:p>
        </w:tc>
      </w:tr>
      <w:tr w:rsidR="00D17D21" w14:paraId="527BC2F5" w14:textId="77777777" w:rsidTr="0072041A">
        <w:tc>
          <w:tcPr>
            <w:tcW w:w="2122" w:type="dxa"/>
            <w:shd w:val="clear" w:color="auto" w:fill="112B43"/>
          </w:tcPr>
          <w:p w14:paraId="04210176" w14:textId="77777777" w:rsidR="00D17D21" w:rsidRPr="00BB57DB" w:rsidRDefault="00991F99" w:rsidP="00991F99">
            <w:pPr>
              <w:jc w:val="right"/>
              <w:rPr>
                <w:b/>
                <w:bCs/>
                <w:lang w:val="en-US"/>
              </w:rPr>
            </w:pPr>
            <w:r>
              <w:rPr>
                <w:b/>
                <w:bCs/>
                <w:lang w:val="en-US"/>
              </w:rPr>
              <w:t xml:space="preserve">Our Curriculum </w:t>
            </w:r>
          </w:p>
        </w:tc>
        <w:tc>
          <w:tcPr>
            <w:tcW w:w="8788" w:type="dxa"/>
            <w:shd w:val="clear" w:color="auto" w:fill="112B43"/>
          </w:tcPr>
          <w:p w14:paraId="0141C052" w14:textId="77777777" w:rsidR="00D17D21" w:rsidRPr="000A2587" w:rsidRDefault="00991F99" w:rsidP="00991F99">
            <w:pPr>
              <w:jc w:val="right"/>
              <w:rPr>
                <w:b/>
                <w:bCs/>
                <w:color w:val="FFFFFF" w:themeColor="background1"/>
                <w:lang w:val="en-US"/>
              </w:rPr>
            </w:pPr>
            <w:r>
              <w:rPr>
                <w:b/>
                <w:bCs/>
                <w:color w:val="FFFFFF" w:themeColor="background1"/>
                <w:lang w:val="en-US"/>
              </w:rPr>
              <w:t xml:space="preserve">Department Opportunities </w:t>
            </w:r>
          </w:p>
        </w:tc>
      </w:tr>
      <w:tr w:rsidR="00D17D21" w14:paraId="49E0A9B4" w14:textId="77777777" w:rsidTr="0072041A">
        <w:tc>
          <w:tcPr>
            <w:tcW w:w="2122" w:type="dxa"/>
            <w:shd w:val="clear" w:color="auto" w:fill="auto"/>
          </w:tcPr>
          <w:p w14:paraId="70F3218B" w14:textId="77777777" w:rsidR="00D17D21" w:rsidRPr="007D0A82" w:rsidRDefault="00D17D21" w:rsidP="0014119E">
            <w:pPr>
              <w:rPr>
                <w:b/>
                <w:bCs/>
                <w:sz w:val="19"/>
                <w:szCs w:val="19"/>
                <w:lang w:val="en-US"/>
              </w:rPr>
            </w:pPr>
            <w:r w:rsidRPr="007D0A82">
              <w:rPr>
                <w:b/>
                <w:bCs/>
                <w:sz w:val="19"/>
                <w:szCs w:val="19"/>
                <w:lang w:val="en-US"/>
              </w:rPr>
              <w:t>Confidence, Independence &amp; Resilience</w:t>
            </w:r>
          </w:p>
        </w:tc>
        <w:tc>
          <w:tcPr>
            <w:tcW w:w="8788" w:type="dxa"/>
            <w:shd w:val="clear" w:color="auto" w:fill="auto"/>
          </w:tcPr>
          <w:p w14:paraId="3A5AD66B" w14:textId="21DDEEB3" w:rsidR="0069203E" w:rsidRPr="009E2924" w:rsidRDefault="0054158C" w:rsidP="0014119E">
            <w:pPr>
              <w:rPr>
                <w:rFonts w:eastAsiaTheme="minorEastAsia"/>
                <w:color w:val="000000" w:themeColor="text1"/>
                <w:sz w:val="18"/>
                <w:szCs w:val="18"/>
                <w:lang w:val="en-US"/>
              </w:rPr>
            </w:pPr>
            <w:r w:rsidRPr="009E2924">
              <w:rPr>
                <w:rFonts w:eastAsiaTheme="minorEastAsia"/>
                <w:color w:val="000000" w:themeColor="text1"/>
                <w:sz w:val="18"/>
                <w:szCs w:val="18"/>
                <w:lang w:val="en-US"/>
              </w:rPr>
              <w:t xml:space="preserve">The aim of </w:t>
            </w:r>
            <w:r w:rsidR="00396904" w:rsidRPr="009E2924">
              <w:rPr>
                <w:rFonts w:eastAsiaTheme="minorEastAsia"/>
                <w:color w:val="000000" w:themeColor="text1"/>
                <w:sz w:val="18"/>
                <w:szCs w:val="18"/>
                <w:lang w:val="en-US"/>
              </w:rPr>
              <w:t xml:space="preserve">the </w:t>
            </w:r>
            <w:r w:rsidR="000A0CB1">
              <w:rPr>
                <w:rFonts w:eastAsiaTheme="minorEastAsia"/>
                <w:color w:val="000000" w:themeColor="text1"/>
                <w:sz w:val="18"/>
                <w:szCs w:val="18"/>
                <w:lang w:val="en-US"/>
              </w:rPr>
              <w:t>Preparation for Adulthood</w:t>
            </w:r>
            <w:r w:rsidR="00396904" w:rsidRPr="009E2924">
              <w:rPr>
                <w:rFonts w:eastAsiaTheme="minorEastAsia"/>
                <w:color w:val="000000" w:themeColor="text1"/>
                <w:sz w:val="18"/>
                <w:szCs w:val="18"/>
                <w:lang w:val="en-US"/>
              </w:rPr>
              <w:t xml:space="preserve"> modules is to connect the p</w:t>
            </w:r>
            <w:r w:rsidR="000A3468" w:rsidRPr="009E2924">
              <w:rPr>
                <w:rFonts w:eastAsiaTheme="minorEastAsia"/>
                <w:color w:val="000000" w:themeColor="text1"/>
                <w:sz w:val="18"/>
                <w:szCs w:val="18"/>
                <w:lang w:val="en-US"/>
              </w:rPr>
              <w:t>upil</w:t>
            </w:r>
            <w:r w:rsidR="00396904" w:rsidRPr="009E2924">
              <w:rPr>
                <w:rFonts w:eastAsiaTheme="minorEastAsia"/>
                <w:color w:val="000000" w:themeColor="text1"/>
                <w:sz w:val="18"/>
                <w:szCs w:val="18"/>
                <w:lang w:val="en-US"/>
              </w:rPr>
              <w:t xml:space="preserve">s with their real skills and how </w:t>
            </w:r>
            <w:r w:rsidR="000A3468" w:rsidRPr="009E2924">
              <w:rPr>
                <w:rFonts w:eastAsiaTheme="minorEastAsia"/>
                <w:color w:val="000000" w:themeColor="text1"/>
                <w:sz w:val="18"/>
                <w:szCs w:val="18"/>
                <w:lang w:val="en-US"/>
              </w:rPr>
              <w:t>they</w:t>
            </w:r>
            <w:r w:rsidR="00396904" w:rsidRPr="009E2924">
              <w:rPr>
                <w:rFonts w:eastAsiaTheme="minorEastAsia"/>
                <w:color w:val="000000" w:themeColor="text1"/>
                <w:sz w:val="18"/>
                <w:szCs w:val="18"/>
                <w:lang w:val="en-US"/>
              </w:rPr>
              <w:t xml:space="preserve"> complement their entry into further life. </w:t>
            </w:r>
            <w:r w:rsidR="000A0CB1">
              <w:rPr>
                <w:rFonts w:eastAsiaTheme="minorEastAsia"/>
                <w:color w:val="000000" w:themeColor="text1"/>
                <w:sz w:val="18"/>
                <w:szCs w:val="18"/>
                <w:lang w:val="en-US"/>
              </w:rPr>
              <w:t>Preparation for Adulthood</w:t>
            </w:r>
            <w:r w:rsidR="00396904" w:rsidRPr="009E2924">
              <w:rPr>
                <w:rFonts w:eastAsiaTheme="minorEastAsia"/>
                <w:color w:val="000000" w:themeColor="text1"/>
                <w:sz w:val="18"/>
                <w:szCs w:val="18"/>
                <w:lang w:val="en-US"/>
              </w:rPr>
              <w:t xml:space="preserve"> are a preparation for their adulthood </w:t>
            </w:r>
            <w:r w:rsidR="00A3460A" w:rsidRPr="009E2924">
              <w:rPr>
                <w:rFonts w:eastAsiaTheme="minorEastAsia"/>
                <w:color w:val="000000" w:themeColor="text1"/>
                <w:sz w:val="18"/>
                <w:szCs w:val="18"/>
                <w:lang w:val="en-US"/>
              </w:rPr>
              <w:t xml:space="preserve">and as a direct result it is hoped that </w:t>
            </w:r>
            <w:r w:rsidR="000A3468" w:rsidRPr="009E2924">
              <w:rPr>
                <w:rFonts w:eastAsiaTheme="minorEastAsia"/>
                <w:color w:val="000000" w:themeColor="text1"/>
                <w:sz w:val="18"/>
                <w:szCs w:val="18"/>
                <w:lang w:val="en-US"/>
              </w:rPr>
              <w:t>pupils</w:t>
            </w:r>
            <w:r w:rsidR="00A3460A" w:rsidRPr="009E2924">
              <w:rPr>
                <w:rFonts w:eastAsiaTheme="minorEastAsia"/>
                <w:color w:val="000000" w:themeColor="text1"/>
                <w:sz w:val="18"/>
                <w:szCs w:val="18"/>
                <w:lang w:val="en-US"/>
              </w:rPr>
              <w:t xml:space="preserve"> will be </w:t>
            </w:r>
            <w:r w:rsidR="000A3468" w:rsidRPr="009E2924">
              <w:rPr>
                <w:rFonts w:eastAsiaTheme="minorEastAsia"/>
                <w:color w:val="000000" w:themeColor="text1"/>
                <w:sz w:val="18"/>
                <w:szCs w:val="18"/>
                <w:lang w:val="en-US"/>
              </w:rPr>
              <w:t>able</w:t>
            </w:r>
            <w:r w:rsidR="00A3460A" w:rsidRPr="009E2924">
              <w:rPr>
                <w:rFonts w:eastAsiaTheme="minorEastAsia"/>
                <w:color w:val="000000" w:themeColor="text1"/>
                <w:sz w:val="18"/>
                <w:szCs w:val="18"/>
                <w:lang w:val="en-US"/>
              </w:rPr>
              <w:t xml:space="preserve"> to synthesi</w:t>
            </w:r>
            <w:r w:rsidR="000A3468" w:rsidRPr="009E2924">
              <w:rPr>
                <w:rFonts w:eastAsiaTheme="minorEastAsia"/>
                <w:color w:val="000000" w:themeColor="text1"/>
                <w:sz w:val="18"/>
                <w:szCs w:val="18"/>
                <w:lang w:val="en-US"/>
              </w:rPr>
              <w:t>ze their personal skills and apply them to the</w:t>
            </w:r>
            <w:r w:rsidR="00613C86" w:rsidRPr="009E2924">
              <w:rPr>
                <w:rFonts w:eastAsiaTheme="minorEastAsia"/>
                <w:color w:val="000000" w:themeColor="text1"/>
                <w:sz w:val="18"/>
                <w:szCs w:val="18"/>
                <w:lang w:val="en-US"/>
              </w:rPr>
              <w:t xml:space="preserve"> </w:t>
            </w:r>
            <w:r w:rsidR="00112AA5" w:rsidRPr="009E2924">
              <w:rPr>
                <w:rFonts w:eastAsiaTheme="minorEastAsia"/>
                <w:color w:val="000000" w:themeColor="text1"/>
                <w:sz w:val="18"/>
                <w:szCs w:val="18"/>
                <w:lang w:val="en-US"/>
              </w:rPr>
              <w:t>important</w:t>
            </w:r>
            <w:r w:rsidR="00613C86" w:rsidRPr="009E2924">
              <w:rPr>
                <w:rFonts w:eastAsiaTheme="minorEastAsia"/>
                <w:color w:val="000000" w:themeColor="text1"/>
                <w:sz w:val="18"/>
                <w:szCs w:val="18"/>
                <w:lang w:val="en-US"/>
              </w:rPr>
              <w:t xml:space="preserve"> factors that surround their life</w:t>
            </w:r>
            <w:r w:rsidR="00112AA5" w:rsidRPr="009E2924">
              <w:rPr>
                <w:rFonts w:eastAsiaTheme="minorEastAsia"/>
                <w:color w:val="000000" w:themeColor="text1"/>
                <w:sz w:val="18"/>
                <w:szCs w:val="18"/>
                <w:lang w:val="en-US"/>
              </w:rPr>
              <w:t xml:space="preserve"> for example skills with food choices and preparation, looking after themselve</w:t>
            </w:r>
            <w:r w:rsidR="0069203E" w:rsidRPr="009E2924">
              <w:rPr>
                <w:rFonts w:eastAsiaTheme="minorEastAsia"/>
                <w:color w:val="000000" w:themeColor="text1"/>
                <w:sz w:val="18"/>
                <w:szCs w:val="18"/>
                <w:lang w:val="en-US"/>
              </w:rPr>
              <w:t xml:space="preserve">s and others. </w:t>
            </w:r>
            <w:r w:rsidR="007A7DCE" w:rsidRPr="009E2924">
              <w:rPr>
                <w:rFonts w:eastAsiaTheme="minorEastAsia"/>
                <w:color w:val="000000" w:themeColor="text1"/>
                <w:sz w:val="18"/>
                <w:szCs w:val="18"/>
                <w:lang w:val="en-US"/>
              </w:rPr>
              <w:t xml:space="preserve">Taking part in </w:t>
            </w:r>
            <w:r w:rsidR="000A0CB1">
              <w:rPr>
                <w:rFonts w:eastAsiaTheme="minorEastAsia"/>
                <w:color w:val="000000" w:themeColor="text1"/>
                <w:sz w:val="18"/>
                <w:szCs w:val="18"/>
                <w:lang w:val="en-US"/>
              </w:rPr>
              <w:t>Preparation for Adulthood</w:t>
            </w:r>
            <w:r w:rsidR="0069203E" w:rsidRPr="009E2924">
              <w:rPr>
                <w:rFonts w:eastAsiaTheme="minorEastAsia"/>
                <w:color w:val="000000" w:themeColor="text1"/>
                <w:sz w:val="18"/>
                <w:szCs w:val="18"/>
                <w:lang w:val="en-US"/>
              </w:rPr>
              <w:t xml:space="preserve"> </w:t>
            </w:r>
            <w:r w:rsidR="007A7DCE" w:rsidRPr="009E2924">
              <w:rPr>
                <w:rFonts w:eastAsiaTheme="minorEastAsia"/>
                <w:color w:val="000000" w:themeColor="text1"/>
                <w:sz w:val="18"/>
                <w:szCs w:val="18"/>
                <w:lang w:val="en-US"/>
              </w:rPr>
              <w:t>lessons encourage</w:t>
            </w:r>
            <w:r w:rsidR="0069203E" w:rsidRPr="009E2924">
              <w:rPr>
                <w:rFonts w:eastAsiaTheme="minorEastAsia"/>
                <w:color w:val="000000" w:themeColor="text1"/>
                <w:sz w:val="18"/>
                <w:szCs w:val="18"/>
                <w:lang w:val="en-US"/>
              </w:rPr>
              <w:t xml:space="preserve"> resilience and resourcefulness</w:t>
            </w:r>
            <w:r w:rsidR="0086506D" w:rsidRPr="009E2924">
              <w:rPr>
                <w:rFonts w:eastAsiaTheme="minorEastAsia"/>
                <w:color w:val="000000" w:themeColor="text1"/>
                <w:sz w:val="18"/>
                <w:szCs w:val="18"/>
                <w:lang w:val="en-US"/>
              </w:rPr>
              <w:t xml:space="preserve">, so during lessons pupils learn the </w:t>
            </w:r>
            <w:r w:rsidR="00617001" w:rsidRPr="009E2924">
              <w:rPr>
                <w:rFonts w:eastAsiaTheme="minorEastAsia"/>
                <w:color w:val="000000" w:themeColor="text1"/>
                <w:sz w:val="18"/>
                <w:szCs w:val="18"/>
                <w:lang w:val="en-US"/>
              </w:rPr>
              <w:t>importance</w:t>
            </w:r>
            <w:r w:rsidR="0086506D" w:rsidRPr="009E2924">
              <w:rPr>
                <w:rFonts w:eastAsiaTheme="minorEastAsia"/>
                <w:color w:val="000000" w:themeColor="text1"/>
                <w:sz w:val="18"/>
                <w:szCs w:val="18"/>
                <w:lang w:val="en-US"/>
              </w:rPr>
              <w:t xml:space="preserve"> of clothing care and 1</w:t>
            </w:r>
            <w:r w:rsidR="0086506D" w:rsidRPr="009E2924">
              <w:rPr>
                <w:rFonts w:eastAsiaTheme="minorEastAsia"/>
                <w:color w:val="000000" w:themeColor="text1"/>
                <w:sz w:val="18"/>
                <w:szCs w:val="18"/>
                <w:vertAlign w:val="superscript"/>
                <w:lang w:val="en-US"/>
              </w:rPr>
              <w:t>st</w:t>
            </w:r>
            <w:r w:rsidR="0086506D" w:rsidRPr="009E2924">
              <w:rPr>
                <w:rFonts w:eastAsiaTheme="minorEastAsia"/>
                <w:color w:val="000000" w:themeColor="text1"/>
                <w:sz w:val="18"/>
                <w:szCs w:val="18"/>
                <w:lang w:val="en-US"/>
              </w:rPr>
              <w:t xml:space="preserve"> impressions</w:t>
            </w:r>
            <w:r w:rsidR="00617001" w:rsidRPr="009E2924">
              <w:rPr>
                <w:rFonts w:eastAsiaTheme="minorEastAsia"/>
                <w:color w:val="000000" w:themeColor="text1"/>
                <w:sz w:val="18"/>
                <w:szCs w:val="18"/>
                <w:lang w:val="en-US"/>
              </w:rPr>
              <w:t xml:space="preserve"> like showing respect</w:t>
            </w:r>
            <w:r w:rsidR="00FF3EB2" w:rsidRPr="009E2924">
              <w:rPr>
                <w:rFonts w:eastAsiaTheme="minorEastAsia"/>
                <w:color w:val="000000" w:themeColor="text1"/>
                <w:sz w:val="18"/>
                <w:szCs w:val="18"/>
                <w:lang w:val="en-US"/>
              </w:rPr>
              <w:t xml:space="preserve">, time management and the importance of </w:t>
            </w:r>
            <w:r w:rsidR="00617001" w:rsidRPr="009E2924">
              <w:rPr>
                <w:rFonts w:eastAsiaTheme="minorEastAsia"/>
                <w:color w:val="000000" w:themeColor="text1"/>
                <w:sz w:val="18"/>
                <w:szCs w:val="18"/>
                <w:lang w:val="en-US"/>
              </w:rPr>
              <w:t xml:space="preserve">arriving on time for </w:t>
            </w:r>
            <w:r w:rsidR="00FF3EB2" w:rsidRPr="009E2924">
              <w:rPr>
                <w:rFonts w:eastAsiaTheme="minorEastAsia"/>
                <w:color w:val="000000" w:themeColor="text1"/>
                <w:sz w:val="18"/>
                <w:szCs w:val="18"/>
                <w:lang w:val="en-US"/>
              </w:rPr>
              <w:t>appointments including work. Communication</w:t>
            </w:r>
            <w:r w:rsidR="004F42C0" w:rsidRPr="009E2924">
              <w:rPr>
                <w:rFonts w:eastAsiaTheme="minorEastAsia"/>
                <w:color w:val="000000" w:themeColor="text1"/>
                <w:sz w:val="18"/>
                <w:szCs w:val="18"/>
                <w:lang w:val="en-US"/>
              </w:rPr>
              <w:t xml:space="preserve"> is an important tenant of the modules </w:t>
            </w:r>
            <w:r w:rsidR="00DC07E5" w:rsidRPr="009E2924">
              <w:rPr>
                <w:rFonts w:eastAsiaTheme="minorEastAsia"/>
                <w:color w:val="000000" w:themeColor="text1"/>
                <w:sz w:val="18"/>
                <w:szCs w:val="18"/>
                <w:lang w:val="en-US"/>
              </w:rPr>
              <w:t xml:space="preserve">covered in </w:t>
            </w:r>
            <w:r w:rsidR="000A0CB1">
              <w:rPr>
                <w:rFonts w:eastAsiaTheme="minorEastAsia"/>
                <w:color w:val="000000" w:themeColor="text1"/>
                <w:sz w:val="18"/>
                <w:szCs w:val="18"/>
                <w:lang w:val="en-US"/>
              </w:rPr>
              <w:t>Preparation for Adulthood</w:t>
            </w:r>
            <w:r w:rsidR="00DC07E5" w:rsidRPr="009E2924">
              <w:rPr>
                <w:rFonts w:eastAsiaTheme="minorEastAsia"/>
                <w:color w:val="000000" w:themeColor="text1"/>
                <w:sz w:val="18"/>
                <w:szCs w:val="18"/>
                <w:lang w:val="en-US"/>
              </w:rPr>
              <w:t xml:space="preserve"> as of course </w:t>
            </w:r>
            <w:r w:rsidR="00193BB7" w:rsidRPr="009E2924">
              <w:rPr>
                <w:rFonts w:eastAsiaTheme="minorEastAsia"/>
                <w:color w:val="000000" w:themeColor="text1"/>
                <w:sz w:val="18"/>
                <w:szCs w:val="18"/>
                <w:lang w:val="en-US"/>
              </w:rPr>
              <w:t>confidence in communication is a skill for life.</w:t>
            </w:r>
          </w:p>
        </w:tc>
      </w:tr>
      <w:tr w:rsidR="00D17D21" w14:paraId="4EE6277C" w14:textId="77777777" w:rsidTr="0072041A">
        <w:tc>
          <w:tcPr>
            <w:tcW w:w="2122" w:type="dxa"/>
            <w:shd w:val="clear" w:color="auto" w:fill="auto"/>
          </w:tcPr>
          <w:p w14:paraId="4ADB2845" w14:textId="77777777" w:rsidR="00D17D21" w:rsidRPr="007D0A82" w:rsidRDefault="00D17D21" w:rsidP="0014119E">
            <w:pPr>
              <w:rPr>
                <w:b/>
                <w:bCs/>
                <w:sz w:val="19"/>
                <w:szCs w:val="19"/>
                <w:lang w:val="en-US"/>
              </w:rPr>
            </w:pPr>
            <w:r w:rsidRPr="007D0A82">
              <w:rPr>
                <w:b/>
                <w:bCs/>
                <w:sz w:val="19"/>
                <w:szCs w:val="19"/>
                <w:lang w:val="en-US"/>
              </w:rPr>
              <w:t xml:space="preserve">Be Kind: Empathy &amp; Compassion whilst valuing diversity </w:t>
            </w:r>
          </w:p>
        </w:tc>
        <w:tc>
          <w:tcPr>
            <w:tcW w:w="8788" w:type="dxa"/>
            <w:shd w:val="clear" w:color="auto" w:fill="auto"/>
          </w:tcPr>
          <w:p w14:paraId="54A4BCA7" w14:textId="7C149584" w:rsidR="00D17D21" w:rsidRPr="009E2924" w:rsidRDefault="005948D6" w:rsidP="0014119E">
            <w:pPr>
              <w:rPr>
                <w:rFonts w:ascii="Calibri" w:eastAsia="Calibri" w:hAnsi="Calibri" w:cs="Calibri"/>
                <w:color w:val="000000" w:themeColor="text1"/>
                <w:sz w:val="18"/>
                <w:szCs w:val="18"/>
                <w:lang w:val="en-US"/>
              </w:rPr>
            </w:pPr>
            <w:r w:rsidRPr="009E2924">
              <w:rPr>
                <w:rFonts w:ascii="Calibri" w:eastAsia="Calibri" w:hAnsi="Calibri" w:cs="Calibri"/>
                <w:color w:val="000000" w:themeColor="text1"/>
                <w:sz w:val="18"/>
                <w:szCs w:val="18"/>
                <w:lang w:val="en-US"/>
              </w:rPr>
              <w:t xml:space="preserve">Empathy and compassion are milestones in respect for </w:t>
            </w:r>
            <w:r w:rsidR="000A0CB1">
              <w:rPr>
                <w:rFonts w:ascii="Calibri" w:eastAsia="Calibri" w:hAnsi="Calibri" w:cs="Calibri"/>
                <w:color w:val="000000" w:themeColor="text1"/>
                <w:sz w:val="18"/>
                <w:szCs w:val="18"/>
                <w:lang w:val="en-US"/>
              </w:rPr>
              <w:t>Preparation for Adulthood</w:t>
            </w:r>
            <w:r w:rsidR="00F9736E" w:rsidRPr="009E2924">
              <w:rPr>
                <w:rFonts w:ascii="Calibri" w:eastAsia="Calibri" w:hAnsi="Calibri" w:cs="Calibri"/>
                <w:color w:val="000000" w:themeColor="text1"/>
                <w:sz w:val="18"/>
                <w:szCs w:val="18"/>
                <w:lang w:val="en-US"/>
              </w:rPr>
              <w:t xml:space="preserve"> as a whole</w:t>
            </w:r>
            <w:r w:rsidR="008C79DE" w:rsidRPr="009E2924">
              <w:rPr>
                <w:rFonts w:ascii="Calibri" w:eastAsia="Calibri" w:hAnsi="Calibri" w:cs="Calibri"/>
                <w:color w:val="000000" w:themeColor="text1"/>
                <w:sz w:val="18"/>
                <w:szCs w:val="18"/>
                <w:lang w:val="en-US"/>
              </w:rPr>
              <w:t xml:space="preserve"> and it is these types </w:t>
            </w:r>
            <w:r w:rsidR="003111F6" w:rsidRPr="009E2924">
              <w:rPr>
                <w:rFonts w:ascii="Calibri" w:eastAsia="Calibri" w:hAnsi="Calibri" w:cs="Calibri"/>
                <w:color w:val="000000" w:themeColor="text1"/>
                <w:sz w:val="18"/>
                <w:szCs w:val="18"/>
                <w:lang w:val="en-US"/>
              </w:rPr>
              <w:t>o</w:t>
            </w:r>
            <w:r w:rsidR="008C79DE" w:rsidRPr="009E2924">
              <w:rPr>
                <w:rFonts w:ascii="Calibri" w:eastAsia="Calibri" w:hAnsi="Calibri" w:cs="Calibri"/>
                <w:color w:val="000000" w:themeColor="text1"/>
                <w:sz w:val="18"/>
                <w:szCs w:val="18"/>
                <w:lang w:val="en-US"/>
              </w:rPr>
              <w:t>f skills</w:t>
            </w:r>
            <w:r w:rsidR="003111F6" w:rsidRPr="009E2924">
              <w:rPr>
                <w:rFonts w:ascii="Calibri" w:eastAsia="Calibri" w:hAnsi="Calibri" w:cs="Calibri"/>
                <w:color w:val="000000" w:themeColor="text1"/>
                <w:sz w:val="18"/>
                <w:szCs w:val="18"/>
                <w:lang w:val="en-US"/>
              </w:rPr>
              <w:t xml:space="preserve">, coupled </w:t>
            </w:r>
            <w:r w:rsidR="007142C6" w:rsidRPr="009E2924">
              <w:rPr>
                <w:rFonts w:ascii="Calibri" w:eastAsia="Calibri" w:hAnsi="Calibri" w:cs="Calibri"/>
                <w:color w:val="000000" w:themeColor="text1"/>
                <w:sz w:val="18"/>
                <w:szCs w:val="18"/>
                <w:lang w:val="en-US"/>
              </w:rPr>
              <w:t xml:space="preserve">with </w:t>
            </w:r>
            <w:r w:rsidR="008C79DE" w:rsidRPr="009E2924">
              <w:rPr>
                <w:rFonts w:ascii="Calibri" w:eastAsia="Calibri" w:hAnsi="Calibri" w:cs="Calibri"/>
                <w:color w:val="000000" w:themeColor="text1"/>
                <w:sz w:val="18"/>
                <w:szCs w:val="18"/>
                <w:lang w:val="en-US"/>
              </w:rPr>
              <w:t xml:space="preserve">their application of </w:t>
            </w:r>
            <w:r w:rsidR="007142C6" w:rsidRPr="009E2924">
              <w:rPr>
                <w:rFonts w:ascii="Calibri" w:eastAsia="Calibri" w:hAnsi="Calibri" w:cs="Calibri"/>
                <w:color w:val="000000" w:themeColor="text1"/>
                <w:sz w:val="18"/>
                <w:szCs w:val="18"/>
                <w:lang w:val="en-US"/>
              </w:rPr>
              <w:t xml:space="preserve">such </w:t>
            </w:r>
            <w:r w:rsidR="008C79DE" w:rsidRPr="009E2924">
              <w:rPr>
                <w:rFonts w:ascii="Calibri" w:eastAsia="Calibri" w:hAnsi="Calibri" w:cs="Calibri"/>
                <w:color w:val="000000" w:themeColor="text1"/>
                <w:sz w:val="18"/>
                <w:szCs w:val="18"/>
                <w:lang w:val="en-US"/>
              </w:rPr>
              <w:t>that are homed in</w:t>
            </w:r>
            <w:r w:rsidR="009C690F" w:rsidRPr="009E2924">
              <w:rPr>
                <w:rFonts w:ascii="Calibri" w:eastAsia="Calibri" w:hAnsi="Calibri" w:cs="Calibri"/>
                <w:color w:val="000000" w:themeColor="text1"/>
                <w:sz w:val="18"/>
                <w:szCs w:val="18"/>
                <w:lang w:val="en-US"/>
              </w:rPr>
              <w:t xml:space="preserve"> </w:t>
            </w:r>
            <w:r w:rsidR="008C79DE" w:rsidRPr="009E2924">
              <w:rPr>
                <w:rFonts w:ascii="Calibri" w:eastAsia="Calibri" w:hAnsi="Calibri" w:cs="Calibri"/>
                <w:color w:val="000000" w:themeColor="text1"/>
                <w:sz w:val="18"/>
                <w:szCs w:val="18"/>
                <w:lang w:val="en-US"/>
              </w:rPr>
              <w:t>on esp</w:t>
            </w:r>
            <w:r w:rsidR="00562457" w:rsidRPr="009E2924">
              <w:rPr>
                <w:rFonts w:ascii="Calibri" w:eastAsia="Calibri" w:hAnsi="Calibri" w:cs="Calibri"/>
                <w:color w:val="000000" w:themeColor="text1"/>
                <w:sz w:val="18"/>
                <w:szCs w:val="18"/>
                <w:lang w:val="en-US"/>
              </w:rPr>
              <w:t>ecially in their current school setting</w:t>
            </w:r>
            <w:r w:rsidR="007142C6" w:rsidRPr="009E2924">
              <w:rPr>
                <w:rFonts w:ascii="Calibri" w:eastAsia="Calibri" w:hAnsi="Calibri" w:cs="Calibri"/>
                <w:color w:val="000000" w:themeColor="text1"/>
                <w:sz w:val="18"/>
                <w:szCs w:val="18"/>
                <w:lang w:val="en-US"/>
              </w:rPr>
              <w:t xml:space="preserve">. </w:t>
            </w:r>
            <w:r w:rsidR="009C690F" w:rsidRPr="009E2924">
              <w:rPr>
                <w:rFonts w:ascii="Calibri" w:eastAsia="Calibri" w:hAnsi="Calibri" w:cs="Calibri"/>
                <w:color w:val="000000" w:themeColor="text1"/>
                <w:sz w:val="18"/>
                <w:szCs w:val="18"/>
                <w:lang w:val="en-US"/>
              </w:rPr>
              <w:t>The topics and tasks that form parts of the less</w:t>
            </w:r>
            <w:r w:rsidR="009509C2" w:rsidRPr="009E2924">
              <w:rPr>
                <w:rFonts w:ascii="Calibri" w:eastAsia="Calibri" w:hAnsi="Calibri" w:cs="Calibri"/>
                <w:color w:val="000000" w:themeColor="text1"/>
                <w:sz w:val="18"/>
                <w:szCs w:val="18"/>
                <w:lang w:val="en-US"/>
              </w:rPr>
              <w:t xml:space="preserve">ons encourage </w:t>
            </w:r>
            <w:r w:rsidR="002D57E1" w:rsidRPr="009E2924">
              <w:rPr>
                <w:rFonts w:ascii="Calibri" w:eastAsia="Calibri" w:hAnsi="Calibri" w:cs="Calibri"/>
                <w:color w:val="000000" w:themeColor="text1"/>
                <w:sz w:val="18"/>
                <w:szCs w:val="18"/>
                <w:lang w:val="en-US"/>
              </w:rPr>
              <w:t>consideration</w:t>
            </w:r>
            <w:r w:rsidR="00ED2EC0" w:rsidRPr="009E2924">
              <w:rPr>
                <w:rFonts w:ascii="Calibri" w:eastAsia="Calibri" w:hAnsi="Calibri" w:cs="Calibri"/>
                <w:color w:val="000000" w:themeColor="text1"/>
                <w:sz w:val="18"/>
                <w:szCs w:val="18"/>
                <w:lang w:val="en-US"/>
              </w:rPr>
              <w:t xml:space="preserve">, discussion and expressions </w:t>
            </w:r>
            <w:r w:rsidR="00D66B57" w:rsidRPr="009E2924">
              <w:rPr>
                <w:rFonts w:ascii="Calibri" w:eastAsia="Calibri" w:hAnsi="Calibri" w:cs="Calibri"/>
                <w:color w:val="000000" w:themeColor="text1"/>
                <w:sz w:val="18"/>
                <w:szCs w:val="18"/>
                <w:lang w:val="en-US"/>
              </w:rPr>
              <w:t>of empath</w:t>
            </w:r>
            <w:r w:rsidR="001535F0" w:rsidRPr="009E2924">
              <w:rPr>
                <w:rFonts w:ascii="Calibri" w:eastAsia="Calibri" w:hAnsi="Calibri" w:cs="Calibri"/>
                <w:color w:val="000000" w:themeColor="text1"/>
                <w:sz w:val="18"/>
                <w:szCs w:val="18"/>
                <w:lang w:val="en-US"/>
              </w:rPr>
              <w:t xml:space="preserve">y and compassion in given </w:t>
            </w:r>
            <w:r w:rsidR="00025789" w:rsidRPr="009E2924">
              <w:rPr>
                <w:rFonts w:ascii="Calibri" w:eastAsia="Calibri" w:hAnsi="Calibri" w:cs="Calibri"/>
                <w:color w:val="000000" w:themeColor="text1"/>
                <w:sz w:val="18"/>
                <w:szCs w:val="18"/>
                <w:lang w:val="en-US"/>
              </w:rPr>
              <w:t xml:space="preserve">situations and point firmly towards the importance of </w:t>
            </w:r>
            <w:r w:rsidR="00AA3293" w:rsidRPr="009E2924">
              <w:rPr>
                <w:rFonts w:ascii="Calibri" w:eastAsia="Calibri" w:hAnsi="Calibri" w:cs="Calibri"/>
                <w:color w:val="000000" w:themeColor="text1"/>
                <w:sz w:val="18"/>
                <w:szCs w:val="18"/>
                <w:lang w:val="en-US"/>
              </w:rPr>
              <w:t>valuing the changes in the world that waits for them further along their life journey</w:t>
            </w:r>
          </w:p>
        </w:tc>
      </w:tr>
      <w:tr w:rsidR="00D17D21" w14:paraId="1D9EACB5" w14:textId="77777777" w:rsidTr="0072041A">
        <w:trPr>
          <w:trHeight w:val="724"/>
        </w:trPr>
        <w:tc>
          <w:tcPr>
            <w:tcW w:w="2122" w:type="dxa"/>
            <w:shd w:val="clear" w:color="auto" w:fill="auto"/>
          </w:tcPr>
          <w:p w14:paraId="6E85B190" w14:textId="77777777" w:rsidR="00D17D21" w:rsidRPr="007D0A82" w:rsidRDefault="00D17D21" w:rsidP="0014119E">
            <w:pPr>
              <w:rPr>
                <w:b/>
                <w:bCs/>
                <w:sz w:val="19"/>
                <w:szCs w:val="19"/>
                <w:lang w:val="en-US"/>
              </w:rPr>
            </w:pPr>
            <w:r w:rsidRPr="007D0A82">
              <w:rPr>
                <w:b/>
                <w:bCs/>
                <w:sz w:val="19"/>
                <w:szCs w:val="19"/>
                <w:lang w:val="en-US"/>
              </w:rPr>
              <w:t>Cultural Awareness</w:t>
            </w:r>
          </w:p>
        </w:tc>
        <w:tc>
          <w:tcPr>
            <w:tcW w:w="8788" w:type="dxa"/>
            <w:shd w:val="clear" w:color="auto" w:fill="auto"/>
          </w:tcPr>
          <w:p w14:paraId="19F9C246" w14:textId="1B994382" w:rsidR="00D17D21" w:rsidRPr="009E2924" w:rsidRDefault="00912DB8" w:rsidP="0014119E">
            <w:pPr>
              <w:rPr>
                <w:rFonts w:ascii="Calibri" w:eastAsia="Calibri" w:hAnsi="Calibri" w:cs="Calibri"/>
                <w:color w:val="000000" w:themeColor="text1"/>
                <w:sz w:val="18"/>
                <w:szCs w:val="18"/>
                <w:lang w:val="en-US"/>
              </w:rPr>
            </w:pPr>
            <w:r w:rsidRPr="009E2924">
              <w:rPr>
                <w:rFonts w:ascii="Calibri" w:eastAsia="Calibri" w:hAnsi="Calibri" w:cs="Calibri"/>
                <w:color w:val="000000" w:themeColor="text1"/>
                <w:sz w:val="18"/>
                <w:szCs w:val="18"/>
                <w:lang w:val="en-US"/>
              </w:rPr>
              <w:t>Being actively</w:t>
            </w:r>
            <w:r w:rsidR="001D6B0D" w:rsidRPr="009E2924">
              <w:rPr>
                <w:rFonts w:ascii="Calibri" w:eastAsia="Calibri" w:hAnsi="Calibri" w:cs="Calibri"/>
                <w:color w:val="000000" w:themeColor="text1"/>
                <w:sz w:val="18"/>
                <w:szCs w:val="18"/>
                <w:lang w:val="en-US"/>
              </w:rPr>
              <w:t xml:space="preserve"> involved in </w:t>
            </w:r>
            <w:r w:rsidR="000A0CB1">
              <w:rPr>
                <w:rFonts w:ascii="Calibri" w:eastAsia="Calibri" w:hAnsi="Calibri" w:cs="Calibri"/>
                <w:color w:val="000000" w:themeColor="text1"/>
                <w:sz w:val="18"/>
                <w:szCs w:val="18"/>
                <w:lang w:val="en-US"/>
              </w:rPr>
              <w:t>Preparation for Adulthood</w:t>
            </w:r>
            <w:r w:rsidR="001D6B0D" w:rsidRPr="009E2924">
              <w:rPr>
                <w:rFonts w:ascii="Calibri" w:eastAsia="Calibri" w:hAnsi="Calibri" w:cs="Calibri"/>
                <w:color w:val="000000" w:themeColor="text1"/>
                <w:sz w:val="18"/>
                <w:szCs w:val="18"/>
                <w:lang w:val="en-US"/>
              </w:rPr>
              <w:t xml:space="preserve"> lessons </w:t>
            </w:r>
            <w:r w:rsidR="006D0B01">
              <w:rPr>
                <w:rFonts w:ascii="Calibri" w:eastAsia="Calibri" w:hAnsi="Calibri" w:cs="Calibri"/>
                <w:color w:val="000000" w:themeColor="text1"/>
                <w:sz w:val="18"/>
                <w:szCs w:val="18"/>
                <w:lang w:val="en-US"/>
              </w:rPr>
              <w:t>helps</w:t>
            </w:r>
            <w:r w:rsidR="009B4829">
              <w:rPr>
                <w:rFonts w:ascii="Calibri" w:eastAsia="Calibri" w:hAnsi="Calibri" w:cs="Calibri"/>
                <w:color w:val="000000" w:themeColor="text1"/>
                <w:sz w:val="18"/>
                <w:szCs w:val="18"/>
                <w:lang w:val="en-US"/>
              </w:rPr>
              <w:t xml:space="preserve"> pupils have </w:t>
            </w:r>
            <w:r w:rsidR="006D0B01">
              <w:rPr>
                <w:rFonts w:ascii="Calibri" w:eastAsia="Calibri" w:hAnsi="Calibri" w:cs="Calibri"/>
                <w:color w:val="000000" w:themeColor="text1"/>
                <w:sz w:val="18"/>
                <w:szCs w:val="18"/>
                <w:lang w:val="en-US"/>
              </w:rPr>
              <w:t>an</w:t>
            </w:r>
            <w:r w:rsidR="009B4829">
              <w:rPr>
                <w:rFonts w:ascii="Calibri" w:eastAsia="Calibri" w:hAnsi="Calibri" w:cs="Calibri"/>
                <w:color w:val="000000" w:themeColor="text1"/>
                <w:sz w:val="18"/>
                <w:szCs w:val="18"/>
                <w:lang w:val="en-US"/>
              </w:rPr>
              <w:t xml:space="preserve"> appreciation for </w:t>
            </w:r>
            <w:r w:rsidR="006D0B01">
              <w:rPr>
                <w:rFonts w:ascii="Calibri" w:eastAsia="Calibri" w:hAnsi="Calibri" w:cs="Calibri"/>
                <w:color w:val="000000" w:themeColor="text1"/>
                <w:sz w:val="18"/>
                <w:szCs w:val="18"/>
                <w:lang w:val="en-US"/>
              </w:rPr>
              <w:t>the importance of being culturally aware and of course what this means today.</w:t>
            </w:r>
            <w:r w:rsidR="006867D5">
              <w:rPr>
                <w:rFonts w:ascii="Calibri" w:eastAsia="Calibri" w:hAnsi="Calibri" w:cs="Calibri"/>
                <w:color w:val="000000" w:themeColor="text1"/>
                <w:sz w:val="18"/>
                <w:szCs w:val="18"/>
                <w:lang w:val="en-US"/>
              </w:rPr>
              <w:t xml:space="preserve">  With the many changes in the culture of </w:t>
            </w:r>
            <w:r w:rsidR="00A93F8A">
              <w:rPr>
                <w:rFonts w:ascii="Calibri" w:eastAsia="Calibri" w:hAnsi="Calibri" w:cs="Calibri"/>
                <w:color w:val="000000" w:themeColor="text1"/>
                <w:sz w:val="18"/>
                <w:szCs w:val="18"/>
                <w:lang w:val="en-US"/>
              </w:rPr>
              <w:t>communication, the</w:t>
            </w:r>
            <w:r w:rsidR="00EF0E6E">
              <w:rPr>
                <w:rFonts w:ascii="Calibri" w:eastAsia="Calibri" w:hAnsi="Calibri" w:cs="Calibri"/>
                <w:color w:val="000000" w:themeColor="text1"/>
                <w:sz w:val="18"/>
                <w:szCs w:val="18"/>
                <w:lang w:val="en-US"/>
              </w:rPr>
              <w:t xml:space="preserve"> </w:t>
            </w:r>
            <w:r w:rsidR="000E3DC8">
              <w:rPr>
                <w:rFonts w:ascii="Calibri" w:eastAsia="Calibri" w:hAnsi="Calibri" w:cs="Calibri"/>
                <w:color w:val="000000" w:themeColor="text1"/>
                <w:sz w:val="18"/>
                <w:szCs w:val="18"/>
                <w:lang w:val="en-US"/>
              </w:rPr>
              <w:t>way</w:t>
            </w:r>
            <w:r w:rsidR="00EF0E6E">
              <w:rPr>
                <w:rFonts w:ascii="Calibri" w:eastAsia="Calibri" w:hAnsi="Calibri" w:cs="Calibri"/>
                <w:color w:val="000000" w:themeColor="text1"/>
                <w:sz w:val="18"/>
                <w:szCs w:val="18"/>
                <w:lang w:val="en-US"/>
              </w:rPr>
              <w:t xml:space="preserve"> pupils make</w:t>
            </w:r>
            <w:r w:rsidR="000E3DC8">
              <w:rPr>
                <w:rFonts w:ascii="Calibri" w:eastAsia="Calibri" w:hAnsi="Calibri" w:cs="Calibri"/>
                <w:color w:val="000000" w:themeColor="text1"/>
                <w:sz w:val="18"/>
                <w:szCs w:val="18"/>
                <w:lang w:val="en-US"/>
              </w:rPr>
              <w:t xml:space="preserve"> and maintain relationship</w:t>
            </w:r>
            <w:r w:rsidR="00EF0E6E">
              <w:rPr>
                <w:rFonts w:ascii="Calibri" w:eastAsia="Calibri" w:hAnsi="Calibri" w:cs="Calibri"/>
                <w:color w:val="000000" w:themeColor="text1"/>
                <w:sz w:val="18"/>
                <w:szCs w:val="18"/>
                <w:lang w:val="en-US"/>
              </w:rPr>
              <w:t xml:space="preserve"> </w:t>
            </w:r>
            <w:r w:rsidR="00210DA6">
              <w:rPr>
                <w:rFonts w:ascii="Calibri" w:eastAsia="Calibri" w:hAnsi="Calibri" w:cs="Calibri"/>
                <w:color w:val="000000" w:themeColor="text1"/>
                <w:sz w:val="18"/>
                <w:szCs w:val="18"/>
                <w:lang w:val="en-US"/>
              </w:rPr>
              <w:t>has changed</w:t>
            </w:r>
            <w:r w:rsidR="00B602D1">
              <w:rPr>
                <w:rFonts w:ascii="Calibri" w:eastAsia="Calibri" w:hAnsi="Calibri" w:cs="Calibri"/>
                <w:color w:val="000000" w:themeColor="text1"/>
                <w:sz w:val="18"/>
                <w:szCs w:val="18"/>
                <w:lang w:val="en-US"/>
              </w:rPr>
              <w:t xml:space="preserve"> and the challenges </w:t>
            </w:r>
            <w:r w:rsidR="00B07C5A">
              <w:rPr>
                <w:rFonts w:ascii="Calibri" w:eastAsia="Calibri" w:hAnsi="Calibri" w:cs="Calibri"/>
                <w:color w:val="000000" w:themeColor="text1"/>
                <w:sz w:val="18"/>
                <w:szCs w:val="18"/>
                <w:lang w:val="en-US"/>
              </w:rPr>
              <w:t>these changes present are a</w:t>
            </w:r>
            <w:r w:rsidR="003F6975">
              <w:rPr>
                <w:rFonts w:ascii="Calibri" w:eastAsia="Calibri" w:hAnsi="Calibri" w:cs="Calibri"/>
                <w:color w:val="000000" w:themeColor="text1"/>
                <w:sz w:val="18"/>
                <w:szCs w:val="18"/>
                <w:lang w:val="en-US"/>
              </w:rPr>
              <w:t xml:space="preserve"> </w:t>
            </w:r>
            <w:r w:rsidR="00B07C5A">
              <w:rPr>
                <w:rFonts w:ascii="Calibri" w:eastAsia="Calibri" w:hAnsi="Calibri" w:cs="Calibri"/>
                <w:color w:val="000000" w:themeColor="text1"/>
                <w:sz w:val="18"/>
                <w:szCs w:val="18"/>
                <w:lang w:val="en-US"/>
              </w:rPr>
              <w:t>big part of the</w:t>
            </w:r>
            <w:r w:rsidR="003F6975">
              <w:rPr>
                <w:rFonts w:ascii="Calibri" w:eastAsia="Calibri" w:hAnsi="Calibri" w:cs="Calibri"/>
                <w:color w:val="000000" w:themeColor="text1"/>
                <w:sz w:val="18"/>
                <w:szCs w:val="18"/>
                <w:lang w:val="en-US"/>
              </w:rPr>
              <w:t xml:space="preserve"> topic</w:t>
            </w:r>
            <w:r w:rsidR="005C50A8">
              <w:rPr>
                <w:rFonts w:ascii="Calibri" w:eastAsia="Calibri" w:hAnsi="Calibri" w:cs="Calibri"/>
                <w:color w:val="000000" w:themeColor="text1"/>
                <w:sz w:val="18"/>
                <w:szCs w:val="18"/>
                <w:lang w:val="en-US"/>
              </w:rPr>
              <w:t xml:space="preserve">al themes used to plan and </w:t>
            </w:r>
            <w:r w:rsidR="003F6975">
              <w:rPr>
                <w:rFonts w:ascii="Calibri" w:eastAsia="Calibri" w:hAnsi="Calibri" w:cs="Calibri"/>
                <w:color w:val="000000" w:themeColor="text1"/>
                <w:sz w:val="18"/>
                <w:szCs w:val="18"/>
                <w:lang w:val="en-US"/>
              </w:rPr>
              <w:t>presen</w:t>
            </w:r>
            <w:r w:rsidR="002E3BF0">
              <w:rPr>
                <w:rFonts w:ascii="Calibri" w:eastAsia="Calibri" w:hAnsi="Calibri" w:cs="Calibri"/>
                <w:color w:val="000000" w:themeColor="text1"/>
                <w:sz w:val="18"/>
                <w:szCs w:val="18"/>
                <w:lang w:val="en-US"/>
              </w:rPr>
              <w:t>t the le</w:t>
            </w:r>
            <w:r w:rsidR="00D51A37">
              <w:rPr>
                <w:rFonts w:ascii="Calibri" w:eastAsia="Calibri" w:hAnsi="Calibri" w:cs="Calibri"/>
                <w:color w:val="000000" w:themeColor="text1"/>
                <w:sz w:val="18"/>
                <w:szCs w:val="18"/>
                <w:lang w:val="en-US"/>
              </w:rPr>
              <w:t>sson</w:t>
            </w:r>
            <w:r w:rsidR="00417A62">
              <w:rPr>
                <w:rFonts w:ascii="Calibri" w:eastAsia="Calibri" w:hAnsi="Calibri" w:cs="Calibri"/>
                <w:color w:val="000000" w:themeColor="text1"/>
                <w:sz w:val="18"/>
                <w:szCs w:val="18"/>
                <w:lang w:val="en-US"/>
              </w:rPr>
              <w:t xml:space="preserve">s and </w:t>
            </w:r>
            <w:r w:rsidR="00A93F8A">
              <w:rPr>
                <w:rFonts w:ascii="Calibri" w:eastAsia="Calibri" w:hAnsi="Calibri" w:cs="Calibri"/>
                <w:color w:val="000000" w:themeColor="text1"/>
                <w:sz w:val="18"/>
                <w:szCs w:val="18"/>
                <w:lang w:val="en-US"/>
              </w:rPr>
              <w:t>bolster topical discussions for clarity.</w:t>
            </w:r>
          </w:p>
        </w:tc>
      </w:tr>
      <w:tr w:rsidR="00D17D21" w14:paraId="6C2B5712" w14:textId="77777777" w:rsidTr="0072041A">
        <w:trPr>
          <w:trHeight w:val="706"/>
        </w:trPr>
        <w:tc>
          <w:tcPr>
            <w:tcW w:w="2122" w:type="dxa"/>
            <w:shd w:val="clear" w:color="auto" w:fill="auto"/>
          </w:tcPr>
          <w:p w14:paraId="6B5454D9" w14:textId="77777777" w:rsidR="00D17D21" w:rsidRPr="007D0A82" w:rsidRDefault="00D17D21">
            <w:pPr>
              <w:rPr>
                <w:b/>
                <w:bCs/>
                <w:sz w:val="19"/>
                <w:szCs w:val="19"/>
                <w:lang w:val="en-US"/>
              </w:rPr>
            </w:pPr>
            <w:r w:rsidRPr="007D0A82">
              <w:rPr>
                <w:b/>
                <w:bCs/>
                <w:sz w:val="19"/>
                <w:szCs w:val="19"/>
                <w:lang w:val="en-US"/>
              </w:rPr>
              <w:t xml:space="preserve">Aspirations </w:t>
            </w:r>
          </w:p>
        </w:tc>
        <w:tc>
          <w:tcPr>
            <w:tcW w:w="8788" w:type="dxa"/>
            <w:shd w:val="clear" w:color="auto" w:fill="auto"/>
          </w:tcPr>
          <w:p w14:paraId="1D47F269" w14:textId="6BA546B2" w:rsidR="00D17D21" w:rsidRPr="0088085F" w:rsidRDefault="008A606E">
            <w:pPr>
              <w:rPr>
                <w:sz w:val="18"/>
                <w:szCs w:val="18"/>
                <w:lang w:val="en-US"/>
              </w:rPr>
            </w:pPr>
            <w:r w:rsidRPr="0088085F">
              <w:rPr>
                <w:sz w:val="18"/>
                <w:szCs w:val="18"/>
                <w:lang w:val="en-US"/>
              </w:rPr>
              <w:t xml:space="preserve">The purpose of </w:t>
            </w:r>
            <w:r w:rsidR="000A0CB1">
              <w:rPr>
                <w:sz w:val="18"/>
                <w:szCs w:val="18"/>
                <w:lang w:val="en-US"/>
              </w:rPr>
              <w:t>Preparation for Adulthood</w:t>
            </w:r>
            <w:r w:rsidRPr="0088085F">
              <w:rPr>
                <w:sz w:val="18"/>
                <w:szCs w:val="18"/>
                <w:lang w:val="en-US"/>
              </w:rPr>
              <w:t xml:space="preserve"> is to encourage </w:t>
            </w:r>
            <w:r w:rsidR="00292B15">
              <w:rPr>
                <w:sz w:val="18"/>
                <w:szCs w:val="18"/>
                <w:lang w:val="en-US"/>
              </w:rPr>
              <w:t xml:space="preserve">young people </w:t>
            </w:r>
            <w:r w:rsidR="00162358">
              <w:rPr>
                <w:sz w:val="18"/>
                <w:szCs w:val="18"/>
                <w:lang w:val="en-US"/>
              </w:rPr>
              <w:t xml:space="preserve">to </w:t>
            </w:r>
            <w:r w:rsidR="00E702C4" w:rsidRPr="0088085F">
              <w:rPr>
                <w:sz w:val="18"/>
                <w:szCs w:val="18"/>
                <w:lang w:val="en-US"/>
              </w:rPr>
              <w:t>decipher</w:t>
            </w:r>
            <w:r w:rsidRPr="0088085F">
              <w:rPr>
                <w:sz w:val="18"/>
                <w:szCs w:val="18"/>
                <w:lang w:val="en-US"/>
              </w:rPr>
              <w:t xml:space="preserve"> </w:t>
            </w:r>
            <w:r w:rsidR="00162358">
              <w:rPr>
                <w:sz w:val="18"/>
                <w:szCs w:val="18"/>
                <w:lang w:val="en-US"/>
              </w:rPr>
              <w:t>their own</w:t>
            </w:r>
            <w:r w:rsidRPr="0088085F">
              <w:rPr>
                <w:sz w:val="18"/>
                <w:szCs w:val="18"/>
                <w:lang w:val="en-US"/>
              </w:rPr>
              <w:t xml:space="preserve"> aspirations</w:t>
            </w:r>
            <w:r w:rsidR="001F21D5">
              <w:rPr>
                <w:sz w:val="18"/>
                <w:szCs w:val="18"/>
                <w:lang w:val="en-US"/>
              </w:rPr>
              <w:t>. H</w:t>
            </w:r>
            <w:r w:rsidRPr="0088085F">
              <w:rPr>
                <w:sz w:val="18"/>
                <w:szCs w:val="18"/>
                <w:lang w:val="en-US"/>
              </w:rPr>
              <w:t>aving access to real role model</w:t>
            </w:r>
            <w:r w:rsidR="006114A9">
              <w:rPr>
                <w:sz w:val="18"/>
                <w:szCs w:val="18"/>
                <w:lang w:val="en-US"/>
              </w:rPr>
              <w:t xml:space="preserve"> stories</w:t>
            </w:r>
            <w:r w:rsidR="0088085F">
              <w:rPr>
                <w:sz w:val="18"/>
                <w:szCs w:val="18"/>
                <w:lang w:val="en-US"/>
              </w:rPr>
              <w:t xml:space="preserve"> with real qualities can be </w:t>
            </w:r>
            <w:r w:rsidR="00030EDB">
              <w:rPr>
                <w:sz w:val="18"/>
                <w:szCs w:val="18"/>
                <w:lang w:val="en-US"/>
              </w:rPr>
              <w:t>valuable</w:t>
            </w:r>
            <w:r w:rsidR="003541FE">
              <w:rPr>
                <w:sz w:val="18"/>
                <w:szCs w:val="18"/>
                <w:lang w:val="en-US"/>
              </w:rPr>
              <w:t xml:space="preserve"> </w:t>
            </w:r>
            <w:r w:rsidR="004020B4">
              <w:rPr>
                <w:sz w:val="18"/>
                <w:szCs w:val="18"/>
                <w:lang w:val="en-US"/>
              </w:rPr>
              <w:t xml:space="preserve">to young adolescents looking for </w:t>
            </w:r>
            <w:r w:rsidR="00D90E27">
              <w:rPr>
                <w:sz w:val="18"/>
                <w:szCs w:val="18"/>
                <w:lang w:val="en-US"/>
              </w:rPr>
              <w:t>directional support</w:t>
            </w:r>
            <w:r w:rsidR="00030EDB">
              <w:rPr>
                <w:sz w:val="18"/>
                <w:szCs w:val="18"/>
                <w:lang w:val="en-US"/>
              </w:rPr>
              <w:t xml:space="preserve">. </w:t>
            </w:r>
            <w:r w:rsidR="000A0CB1">
              <w:rPr>
                <w:sz w:val="18"/>
                <w:szCs w:val="18"/>
                <w:lang w:val="en-US"/>
              </w:rPr>
              <w:t>Preparation for Adulthood</w:t>
            </w:r>
            <w:r w:rsidR="00E702C4">
              <w:rPr>
                <w:sz w:val="18"/>
                <w:szCs w:val="18"/>
                <w:lang w:val="en-US"/>
              </w:rPr>
              <w:t xml:space="preserve"> form</w:t>
            </w:r>
            <w:r w:rsidR="00030EDB">
              <w:rPr>
                <w:sz w:val="18"/>
                <w:szCs w:val="18"/>
                <w:lang w:val="en-US"/>
              </w:rPr>
              <w:t xml:space="preserve"> the foundation of </w:t>
            </w:r>
            <w:r w:rsidR="00D90E27">
              <w:rPr>
                <w:sz w:val="18"/>
                <w:szCs w:val="18"/>
                <w:lang w:val="en-US"/>
              </w:rPr>
              <w:t>aspirations</w:t>
            </w:r>
            <w:r w:rsidR="00E702C4">
              <w:rPr>
                <w:sz w:val="18"/>
                <w:szCs w:val="18"/>
                <w:lang w:val="en-US"/>
              </w:rPr>
              <w:t xml:space="preserve"> through the knowledge of ways to apply </w:t>
            </w:r>
            <w:r w:rsidR="003D4123">
              <w:rPr>
                <w:sz w:val="18"/>
                <w:szCs w:val="18"/>
                <w:lang w:val="en-US"/>
              </w:rPr>
              <w:t xml:space="preserve">soft skills and adapt into </w:t>
            </w:r>
            <w:r w:rsidR="00011418">
              <w:rPr>
                <w:sz w:val="18"/>
                <w:szCs w:val="18"/>
                <w:lang w:val="en-US"/>
              </w:rPr>
              <w:t>the formation of meaningful</w:t>
            </w:r>
            <w:r w:rsidR="00686098">
              <w:rPr>
                <w:sz w:val="18"/>
                <w:szCs w:val="18"/>
                <w:lang w:val="en-US"/>
              </w:rPr>
              <w:t xml:space="preserve"> future</w:t>
            </w:r>
            <w:r w:rsidR="00011418">
              <w:rPr>
                <w:sz w:val="18"/>
                <w:szCs w:val="18"/>
                <w:lang w:val="en-US"/>
              </w:rPr>
              <w:t xml:space="preserve"> life steps</w:t>
            </w:r>
            <w:r w:rsidR="00686098">
              <w:rPr>
                <w:sz w:val="18"/>
                <w:szCs w:val="18"/>
                <w:lang w:val="en-US"/>
              </w:rPr>
              <w:t>.</w:t>
            </w:r>
          </w:p>
        </w:tc>
      </w:tr>
      <w:tr w:rsidR="00D17D21" w14:paraId="32F48CD0" w14:textId="77777777" w:rsidTr="0072041A">
        <w:trPr>
          <w:trHeight w:val="688"/>
        </w:trPr>
        <w:tc>
          <w:tcPr>
            <w:tcW w:w="2122" w:type="dxa"/>
            <w:shd w:val="clear" w:color="auto" w:fill="auto"/>
          </w:tcPr>
          <w:p w14:paraId="55B83ED4" w14:textId="77777777" w:rsidR="00D17D21" w:rsidRPr="007D0A82" w:rsidRDefault="00D17D21">
            <w:pPr>
              <w:rPr>
                <w:b/>
                <w:bCs/>
                <w:sz w:val="19"/>
                <w:szCs w:val="19"/>
                <w:lang w:val="en-US"/>
              </w:rPr>
            </w:pPr>
            <w:r w:rsidRPr="007D0A82">
              <w:rPr>
                <w:b/>
                <w:bCs/>
                <w:sz w:val="19"/>
                <w:szCs w:val="19"/>
                <w:lang w:val="en-US"/>
              </w:rPr>
              <w:t xml:space="preserve">Preparedness for the future </w:t>
            </w:r>
          </w:p>
        </w:tc>
        <w:tc>
          <w:tcPr>
            <w:tcW w:w="8788" w:type="dxa"/>
            <w:shd w:val="clear" w:color="auto" w:fill="auto"/>
          </w:tcPr>
          <w:p w14:paraId="184F3D6F" w14:textId="07D1F9A8" w:rsidR="00D17D21" w:rsidRPr="006F579E" w:rsidRDefault="000A0CB1">
            <w:pPr>
              <w:rPr>
                <w:color w:val="00B050"/>
                <w:sz w:val="18"/>
                <w:szCs w:val="18"/>
                <w:lang w:val="en-US"/>
              </w:rPr>
            </w:pPr>
            <w:r>
              <w:rPr>
                <w:sz w:val="18"/>
                <w:szCs w:val="18"/>
                <w:lang w:val="en-US"/>
              </w:rPr>
              <w:t>Preparation for Adulthood</w:t>
            </w:r>
            <w:r w:rsidR="000B370F" w:rsidRPr="006F579E">
              <w:rPr>
                <w:sz w:val="18"/>
                <w:szCs w:val="18"/>
                <w:lang w:val="en-US"/>
              </w:rPr>
              <w:t xml:space="preserve"> lessons are the ideal </w:t>
            </w:r>
            <w:r w:rsidR="006F579E" w:rsidRPr="006F579E">
              <w:rPr>
                <w:sz w:val="18"/>
                <w:szCs w:val="18"/>
                <w:lang w:val="en-US"/>
              </w:rPr>
              <w:t>way to</w:t>
            </w:r>
            <w:r w:rsidR="000B370F" w:rsidRPr="006F579E">
              <w:rPr>
                <w:sz w:val="18"/>
                <w:szCs w:val="18"/>
                <w:lang w:val="en-US"/>
              </w:rPr>
              <w:t xml:space="preserve"> prepare ad</w:t>
            </w:r>
            <w:r w:rsidR="006F579E" w:rsidRPr="006F579E">
              <w:rPr>
                <w:sz w:val="18"/>
                <w:szCs w:val="18"/>
                <w:lang w:val="en-US"/>
              </w:rPr>
              <w:t xml:space="preserve">olescent pupils </w:t>
            </w:r>
            <w:r w:rsidR="00466A13">
              <w:rPr>
                <w:sz w:val="18"/>
                <w:szCs w:val="18"/>
                <w:lang w:val="en-US"/>
              </w:rPr>
              <w:t xml:space="preserve">for their imminent future. School is where </w:t>
            </w:r>
            <w:r>
              <w:rPr>
                <w:sz w:val="18"/>
                <w:szCs w:val="18"/>
                <w:lang w:val="en-US"/>
              </w:rPr>
              <w:t>Preparation for Adulthood</w:t>
            </w:r>
            <w:r w:rsidR="00466A13">
              <w:rPr>
                <w:sz w:val="18"/>
                <w:szCs w:val="18"/>
                <w:lang w:val="en-US"/>
              </w:rPr>
              <w:t xml:space="preserve"> are </w:t>
            </w:r>
            <w:proofErr w:type="gramStart"/>
            <w:r w:rsidR="00466A13">
              <w:rPr>
                <w:sz w:val="18"/>
                <w:szCs w:val="18"/>
                <w:lang w:val="en-US"/>
              </w:rPr>
              <w:t>explain</w:t>
            </w:r>
            <w:proofErr w:type="gramEnd"/>
            <w:r w:rsidR="00466A13">
              <w:rPr>
                <w:sz w:val="18"/>
                <w:szCs w:val="18"/>
                <w:lang w:val="en-US"/>
              </w:rPr>
              <w:t xml:space="preserve"> and demonstrated to the young people here at Pine Green and the pupils are pleased to be involved in the lesson and agree that without such lessons they might not be as prepared for the future and these lessons ensure. </w:t>
            </w:r>
            <w:r>
              <w:rPr>
                <w:sz w:val="18"/>
                <w:szCs w:val="18"/>
                <w:lang w:val="en-US"/>
              </w:rPr>
              <w:t>Preparation for Adulthood</w:t>
            </w:r>
            <w:r w:rsidR="00466A13">
              <w:rPr>
                <w:sz w:val="18"/>
                <w:szCs w:val="18"/>
                <w:lang w:val="en-US"/>
              </w:rPr>
              <w:t xml:space="preserve"> lesson</w:t>
            </w:r>
            <w:r>
              <w:rPr>
                <w:sz w:val="18"/>
                <w:szCs w:val="18"/>
                <w:lang w:val="en-US"/>
              </w:rPr>
              <w:t>s</w:t>
            </w:r>
            <w:r w:rsidR="00466A13">
              <w:rPr>
                <w:sz w:val="18"/>
                <w:szCs w:val="18"/>
                <w:lang w:val="en-US"/>
              </w:rPr>
              <w:t xml:space="preserve"> belong in every school in the hope that they will be better prepared for the inevitable.</w:t>
            </w:r>
          </w:p>
        </w:tc>
      </w:tr>
    </w:tbl>
    <w:p w14:paraId="6ACAD7F5" w14:textId="77777777" w:rsidR="00E54BE3" w:rsidRDefault="00E54BE3">
      <w:pPr>
        <w:rPr>
          <w:sz w:val="6"/>
          <w:szCs w:val="6"/>
          <w:lang w:val="en-US"/>
        </w:rPr>
      </w:pPr>
    </w:p>
    <w:p w14:paraId="05A93B5A" w14:textId="77777777" w:rsidR="000A0CB1" w:rsidRDefault="000A0CB1">
      <w:pPr>
        <w:rPr>
          <w:sz w:val="6"/>
          <w:szCs w:val="6"/>
          <w:lang w:val="en-US"/>
        </w:rPr>
      </w:pPr>
    </w:p>
    <w:p w14:paraId="3F10E20D" w14:textId="77777777" w:rsidR="000A0CB1" w:rsidRDefault="000A0CB1">
      <w:pPr>
        <w:rPr>
          <w:sz w:val="6"/>
          <w:szCs w:val="6"/>
          <w:lang w:val="en-US"/>
        </w:rPr>
      </w:pPr>
    </w:p>
    <w:p w14:paraId="3BEE6816" w14:textId="77777777" w:rsidR="000A0CB1" w:rsidRDefault="000A0CB1">
      <w:pPr>
        <w:rPr>
          <w:sz w:val="6"/>
          <w:szCs w:val="6"/>
          <w:lang w:val="en-US"/>
        </w:rPr>
      </w:pPr>
    </w:p>
    <w:p w14:paraId="7F1B0F10" w14:textId="77777777" w:rsidR="000A0CB1" w:rsidRPr="00C429BC" w:rsidRDefault="000A0CB1">
      <w:pPr>
        <w:rPr>
          <w:sz w:val="6"/>
          <w:szCs w:val="6"/>
          <w:lang w:val="en-US"/>
        </w:rPr>
      </w:pPr>
    </w:p>
    <w:tbl>
      <w:tblPr>
        <w:tblStyle w:val="TableGrid"/>
        <w:tblW w:w="10910" w:type="dxa"/>
        <w:tblLook w:val="04A0" w:firstRow="1" w:lastRow="0" w:firstColumn="1" w:lastColumn="0" w:noHBand="0" w:noVBand="1"/>
      </w:tblPr>
      <w:tblGrid>
        <w:gridCol w:w="5665"/>
        <w:gridCol w:w="5245"/>
      </w:tblGrid>
      <w:tr w:rsidR="00F3399F" w14:paraId="5FB97385" w14:textId="77777777" w:rsidTr="0072041A">
        <w:tc>
          <w:tcPr>
            <w:tcW w:w="10910" w:type="dxa"/>
            <w:gridSpan w:val="2"/>
            <w:shd w:val="clear" w:color="auto" w:fill="112B43"/>
          </w:tcPr>
          <w:p w14:paraId="02CBCE64" w14:textId="03D34926" w:rsidR="00F3399F" w:rsidRPr="00F3399F" w:rsidRDefault="001D6B0D" w:rsidP="00991F99">
            <w:pPr>
              <w:jc w:val="right"/>
              <w:rPr>
                <w:b/>
                <w:bCs/>
                <w:lang w:val="en-US"/>
              </w:rPr>
            </w:pPr>
            <w:r>
              <w:rPr>
                <w:b/>
                <w:bCs/>
                <w:lang w:val="en-US"/>
              </w:rPr>
              <w:lastRenderedPageBreak/>
              <w:t xml:space="preserve"> In </w:t>
            </w:r>
            <w:r w:rsidR="000A0CB1">
              <w:rPr>
                <w:b/>
                <w:bCs/>
                <w:lang w:val="en-US"/>
              </w:rPr>
              <w:t>Preparation for Adulthood</w:t>
            </w:r>
            <w:r>
              <w:rPr>
                <w:b/>
                <w:bCs/>
                <w:lang w:val="en-US"/>
              </w:rPr>
              <w:t xml:space="preserve"> </w:t>
            </w:r>
            <w:r w:rsidR="00F3399F" w:rsidRPr="00F3399F">
              <w:rPr>
                <w:b/>
                <w:bCs/>
                <w:lang w:val="en-US"/>
              </w:rPr>
              <w:t xml:space="preserve">Vulnerable </w:t>
            </w:r>
            <w:r w:rsidR="00BB7DAA">
              <w:rPr>
                <w:b/>
                <w:bCs/>
                <w:lang w:val="en-US"/>
              </w:rPr>
              <w:t>S</w:t>
            </w:r>
            <w:r w:rsidR="00F3399F" w:rsidRPr="00F3399F">
              <w:rPr>
                <w:b/>
                <w:bCs/>
                <w:lang w:val="en-US"/>
              </w:rPr>
              <w:t>tudent</w:t>
            </w:r>
            <w:r w:rsidR="00BB7DAA">
              <w:rPr>
                <w:b/>
                <w:bCs/>
                <w:lang w:val="en-US"/>
              </w:rPr>
              <w:t>s</w:t>
            </w:r>
            <w:r w:rsidR="00F3399F" w:rsidRPr="00F3399F">
              <w:rPr>
                <w:b/>
                <w:bCs/>
                <w:lang w:val="en-US"/>
              </w:rPr>
              <w:t xml:space="preserve"> </w:t>
            </w:r>
            <w:r w:rsidR="00EF1542">
              <w:rPr>
                <w:b/>
                <w:bCs/>
                <w:lang w:val="en-US"/>
              </w:rPr>
              <w:t>c</w:t>
            </w:r>
            <w:r w:rsidR="00F3399F" w:rsidRPr="00F3399F">
              <w:rPr>
                <w:b/>
                <w:bCs/>
                <w:lang w:val="en-US"/>
              </w:rPr>
              <w:t>hecklist</w:t>
            </w:r>
          </w:p>
        </w:tc>
      </w:tr>
      <w:tr w:rsidR="00991F99" w14:paraId="74D5CF71" w14:textId="77777777" w:rsidTr="00255B15">
        <w:tc>
          <w:tcPr>
            <w:tcW w:w="5665" w:type="dxa"/>
            <w:shd w:val="clear" w:color="auto" w:fill="112B43"/>
          </w:tcPr>
          <w:p w14:paraId="6891A110" w14:textId="77777777" w:rsidR="00991F99" w:rsidRPr="00F3399F" w:rsidRDefault="00991F99" w:rsidP="00991F99">
            <w:pPr>
              <w:jc w:val="center"/>
              <w:rPr>
                <w:b/>
                <w:bCs/>
                <w:lang w:val="en-US"/>
              </w:rPr>
            </w:pPr>
            <w:r w:rsidRPr="00F3399F">
              <w:rPr>
                <w:b/>
                <w:bCs/>
                <w:lang w:val="en-US"/>
              </w:rPr>
              <w:t>SEND</w:t>
            </w:r>
          </w:p>
        </w:tc>
        <w:tc>
          <w:tcPr>
            <w:tcW w:w="5245" w:type="dxa"/>
            <w:shd w:val="clear" w:color="auto" w:fill="112B43"/>
          </w:tcPr>
          <w:p w14:paraId="35DCDB4C" w14:textId="77777777" w:rsidR="00991F99" w:rsidRPr="00F3399F" w:rsidRDefault="00991F99" w:rsidP="00991F99">
            <w:pPr>
              <w:jc w:val="center"/>
              <w:rPr>
                <w:b/>
                <w:bCs/>
                <w:lang w:val="en-US"/>
              </w:rPr>
            </w:pPr>
            <w:r>
              <w:rPr>
                <w:b/>
                <w:bCs/>
                <w:lang w:val="en-US"/>
              </w:rPr>
              <w:t>PP</w:t>
            </w:r>
          </w:p>
        </w:tc>
      </w:tr>
      <w:tr w:rsidR="00991F99" w14:paraId="093183E1" w14:textId="77777777" w:rsidTr="00255B15">
        <w:tc>
          <w:tcPr>
            <w:tcW w:w="5665" w:type="dxa"/>
          </w:tcPr>
          <w:p w14:paraId="49842447" w14:textId="77777777" w:rsidR="00991F99" w:rsidRDefault="00255B15" w:rsidP="00255B15">
            <w:pPr>
              <w:pStyle w:val="xmsolistparagraph"/>
              <w:numPr>
                <w:ilvl w:val="0"/>
                <w:numId w:val="7"/>
              </w:numPr>
              <w:ind w:left="589" w:hanging="267"/>
              <w:rPr>
                <w:rFonts w:eastAsia="Times New Roman"/>
                <w:sz w:val="19"/>
                <w:szCs w:val="19"/>
              </w:rPr>
            </w:pPr>
            <w:r>
              <w:rPr>
                <w:rFonts w:eastAsia="Times New Roman"/>
                <w:sz w:val="19"/>
                <w:szCs w:val="19"/>
              </w:rPr>
              <w:t xml:space="preserve"> </w:t>
            </w:r>
          </w:p>
          <w:p w14:paraId="6D7085F1" w14:textId="77777777" w:rsidR="00255B15" w:rsidRPr="007D0A82" w:rsidRDefault="00255B15" w:rsidP="00255B15">
            <w:pPr>
              <w:pStyle w:val="xmsolistparagraph"/>
              <w:numPr>
                <w:ilvl w:val="0"/>
                <w:numId w:val="7"/>
              </w:numPr>
              <w:ind w:left="589" w:hanging="267"/>
              <w:rPr>
                <w:rFonts w:eastAsia="Times New Roman"/>
                <w:sz w:val="19"/>
                <w:szCs w:val="19"/>
              </w:rPr>
            </w:pPr>
          </w:p>
        </w:tc>
        <w:tc>
          <w:tcPr>
            <w:tcW w:w="5245" w:type="dxa"/>
          </w:tcPr>
          <w:p w14:paraId="10CF59B4" w14:textId="77777777" w:rsidR="00991F99" w:rsidRDefault="00255B15" w:rsidP="00E22C86">
            <w:pPr>
              <w:pStyle w:val="ListParagraph"/>
              <w:numPr>
                <w:ilvl w:val="0"/>
                <w:numId w:val="8"/>
              </w:numPr>
              <w:tabs>
                <w:tab w:val="left" w:pos="2918"/>
              </w:tabs>
              <w:rPr>
                <w:sz w:val="19"/>
                <w:szCs w:val="19"/>
                <w:lang w:val="en-US"/>
              </w:rPr>
            </w:pPr>
            <w:r>
              <w:rPr>
                <w:sz w:val="19"/>
                <w:szCs w:val="19"/>
                <w:lang w:val="en-US"/>
              </w:rPr>
              <w:t xml:space="preserve"> </w:t>
            </w:r>
          </w:p>
          <w:p w14:paraId="7DB0F846" w14:textId="77777777" w:rsidR="00255B15" w:rsidRPr="007D0A82" w:rsidRDefault="00255B15" w:rsidP="00E22C86">
            <w:pPr>
              <w:pStyle w:val="ListParagraph"/>
              <w:numPr>
                <w:ilvl w:val="0"/>
                <w:numId w:val="8"/>
              </w:numPr>
              <w:tabs>
                <w:tab w:val="left" w:pos="2918"/>
              </w:tabs>
              <w:rPr>
                <w:sz w:val="19"/>
                <w:szCs w:val="19"/>
                <w:lang w:val="en-US"/>
              </w:rPr>
            </w:pPr>
          </w:p>
        </w:tc>
      </w:tr>
    </w:tbl>
    <w:p w14:paraId="4B9CF853" w14:textId="77777777" w:rsidR="005267A0" w:rsidRDefault="005267A0" w:rsidP="00BB7DAA">
      <w:pPr>
        <w:pStyle w:val="NoSpacing"/>
      </w:pPr>
    </w:p>
    <w:tbl>
      <w:tblPr>
        <w:tblStyle w:val="TableGrid"/>
        <w:tblW w:w="10910" w:type="dxa"/>
        <w:tblLook w:val="04A0" w:firstRow="1" w:lastRow="0" w:firstColumn="1" w:lastColumn="0" w:noHBand="0" w:noVBand="1"/>
      </w:tblPr>
      <w:tblGrid>
        <w:gridCol w:w="5665"/>
        <w:gridCol w:w="5245"/>
      </w:tblGrid>
      <w:tr w:rsidR="00BB7DAA" w:rsidRPr="000A2587" w14:paraId="7C784B7D" w14:textId="77777777" w:rsidTr="0072041A">
        <w:tc>
          <w:tcPr>
            <w:tcW w:w="10910" w:type="dxa"/>
            <w:gridSpan w:val="2"/>
            <w:shd w:val="clear" w:color="auto" w:fill="112B43"/>
          </w:tcPr>
          <w:p w14:paraId="5FEF5AB9" w14:textId="77777777" w:rsidR="00BB7DAA" w:rsidRPr="000A2587" w:rsidRDefault="00BB7DAA" w:rsidP="00645C51">
            <w:pPr>
              <w:jc w:val="right"/>
              <w:rPr>
                <w:b/>
                <w:bCs/>
                <w:color w:val="FFFFFF" w:themeColor="background1"/>
                <w:lang w:val="en-US"/>
              </w:rPr>
            </w:pPr>
            <w:r>
              <w:rPr>
                <w:b/>
                <w:bCs/>
                <w:color w:val="FFFFFF" w:themeColor="background1"/>
                <w:lang w:val="en-US"/>
              </w:rPr>
              <w:t xml:space="preserve">Covid Catch Up  </w:t>
            </w:r>
          </w:p>
        </w:tc>
      </w:tr>
      <w:tr w:rsidR="006603E0" w:rsidRPr="00EE1A0B" w14:paraId="4EFEE646" w14:textId="77777777" w:rsidTr="00255B15">
        <w:tc>
          <w:tcPr>
            <w:tcW w:w="5665" w:type="dxa"/>
            <w:shd w:val="clear" w:color="auto" w:fill="112B43"/>
          </w:tcPr>
          <w:p w14:paraId="2DF4E3E9"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245" w:type="dxa"/>
            <w:shd w:val="clear" w:color="auto" w:fill="112B43"/>
          </w:tcPr>
          <w:p w14:paraId="26D831E5" w14:textId="77777777" w:rsidR="006603E0" w:rsidRPr="006603E0" w:rsidRDefault="006603E0" w:rsidP="006603E0">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w:rsidR="006603E0" w:rsidRPr="00EE1A0B" w14:paraId="6272C35E" w14:textId="77777777" w:rsidTr="00255B15">
        <w:tc>
          <w:tcPr>
            <w:tcW w:w="5665" w:type="dxa"/>
            <w:shd w:val="clear" w:color="auto" w:fill="auto"/>
          </w:tcPr>
          <w:p w14:paraId="23D4DB3B" w14:textId="77777777" w:rsidR="006603E0" w:rsidRDefault="006603E0" w:rsidP="00645C51">
            <w:pPr>
              <w:rPr>
                <w:rFonts w:eastAsiaTheme="minorEastAsia"/>
                <w:color w:val="000000" w:themeColor="text1"/>
                <w:sz w:val="20"/>
                <w:szCs w:val="20"/>
                <w:lang w:val="en-US"/>
              </w:rPr>
            </w:pPr>
          </w:p>
          <w:p w14:paraId="37EB2B12" w14:textId="77777777" w:rsidR="006603E0" w:rsidRDefault="005267A0" w:rsidP="00645C51">
            <w:pPr>
              <w:rPr>
                <w:rFonts w:eastAsiaTheme="minorEastAsia"/>
                <w:color w:val="000000" w:themeColor="text1"/>
                <w:sz w:val="20"/>
                <w:szCs w:val="20"/>
                <w:lang w:val="en-US"/>
              </w:rPr>
            </w:pPr>
            <w:r>
              <w:rPr>
                <w:rFonts w:eastAsiaTheme="minorEastAsia"/>
                <w:color w:val="000000" w:themeColor="text1"/>
                <w:sz w:val="20"/>
                <w:szCs w:val="20"/>
                <w:lang w:val="en-US"/>
              </w:rPr>
              <w:t xml:space="preserve">What </w:t>
            </w:r>
            <w:r w:rsidRPr="005267A0">
              <w:rPr>
                <w:rFonts w:eastAsiaTheme="minorEastAsia"/>
                <w:b/>
                <w:bCs/>
                <w:color w:val="000000" w:themeColor="text1"/>
                <w:sz w:val="20"/>
                <w:szCs w:val="20"/>
                <w:lang w:val="en-US"/>
              </w:rPr>
              <w:t>skills</w:t>
            </w:r>
            <w:r>
              <w:rPr>
                <w:rFonts w:eastAsiaTheme="minorEastAsia"/>
                <w:color w:val="000000" w:themeColor="text1"/>
                <w:sz w:val="20"/>
                <w:szCs w:val="20"/>
                <w:lang w:val="en-US"/>
              </w:rPr>
              <w:t xml:space="preserve"> students have missed out on in your subject and </w:t>
            </w:r>
            <w:r w:rsidRPr="005267A0">
              <w:rPr>
                <w:rFonts w:eastAsiaTheme="minorEastAsia"/>
                <w:b/>
                <w:bCs/>
                <w:color w:val="000000" w:themeColor="text1"/>
                <w:sz w:val="20"/>
                <w:szCs w:val="20"/>
                <w:lang w:val="en-US"/>
              </w:rPr>
              <w:t>what we’re going to do about it.</w:t>
            </w:r>
            <w:r>
              <w:rPr>
                <w:rFonts w:eastAsiaTheme="minorEastAsia"/>
                <w:color w:val="000000" w:themeColor="text1"/>
                <w:sz w:val="20"/>
                <w:szCs w:val="20"/>
                <w:lang w:val="en-US"/>
              </w:rPr>
              <w:t xml:space="preserve"> </w:t>
            </w:r>
          </w:p>
          <w:p w14:paraId="53E013B3" w14:textId="77777777" w:rsidR="006603E0" w:rsidRDefault="006603E0" w:rsidP="00645C51">
            <w:pPr>
              <w:rPr>
                <w:rFonts w:eastAsiaTheme="minorEastAsia"/>
                <w:color w:val="000000" w:themeColor="text1"/>
                <w:sz w:val="20"/>
                <w:szCs w:val="20"/>
                <w:lang w:val="en-US"/>
              </w:rPr>
            </w:pPr>
          </w:p>
          <w:p w14:paraId="5660A2C7" w14:textId="77777777" w:rsidR="006603E0" w:rsidRPr="00EE1A0B" w:rsidRDefault="006603E0" w:rsidP="00645C51">
            <w:pPr>
              <w:rPr>
                <w:rFonts w:eastAsiaTheme="minorEastAsia"/>
                <w:color w:val="000000" w:themeColor="text1"/>
                <w:sz w:val="20"/>
                <w:szCs w:val="20"/>
                <w:lang w:val="en-US"/>
              </w:rPr>
            </w:pPr>
          </w:p>
        </w:tc>
        <w:tc>
          <w:tcPr>
            <w:tcW w:w="5245" w:type="dxa"/>
            <w:shd w:val="clear" w:color="auto" w:fill="auto"/>
          </w:tcPr>
          <w:p w14:paraId="54518395" w14:textId="77777777" w:rsidR="006603E0" w:rsidRDefault="006603E0" w:rsidP="00645C51">
            <w:pPr>
              <w:rPr>
                <w:rFonts w:eastAsiaTheme="minorEastAsia"/>
                <w:color w:val="000000" w:themeColor="text1"/>
                <w:sz w:val="20"/>
                <w:szCs w:val="20"/>
                <w:lang w:val="en-US"/>
              </w:rPr>
            </w:pPr>
          </w:p>
          <w:p w14:paraId="5631DC6B" w14:textId="77777777" w:rsidR="005267A0" w:rsidRDefault="00E0115B" w:rsidP="00E0115B">
            <w:pPr>
              <w:jc w:val="center"/>
              <w:rPr>
                <w:rFonts w:eastAsiaTheme="minorEastAsia"/>
                <w:color w:val="000000" w:themeColor="text1"/>
                <w:sz w:val="20"/>
                <w:szCs w:val="20"/>
                <w:lang w:val="en-US"/>
              </w:rPr>
            </w:pPr>
            <w:r>
              <w:rPr>
                <w:rFonts w:eastAsiaTheme="minorEastAsia"/>
                <w:color w:val="000000" w:themeColor="text1"/>
                <w:sz w:val="20"/>
                <w:szCs w:val="20"/>
                <w:lang w:val="en-US"/>
              </w:rPr>
              <w:t>N/A</w:t>
            </w:r>
          </w:p>
          <w:p w14:paraId="51E1E749" w14:textId="77777777" w:rsidR="005267A0" w:rsidRPr="00EE1A0B" w:rsidRDefault="005267A0" w:rsidP="00645C51">
            <w:pPr>
              <w:rPr>
                <w:rFonts w:eastAsiaTheme="minorEastAsia"/>
                <w:color w:val="000000" w:themeColor="text1"/>
                <w:sz w:val="20"/>
                <w:szCs w:val="20"/>
                <w:lang w:val="en-US"/>
              </w:rPr>
            </w:pPr>
          </w:p>
        </w:tc>
      </w:tr>
    </w:tbl>
    <w:p w14:paraId="67BDE3E8" w14:textId="77777777" w:rsidR="00255B15" w:rsidRDefault="00255B15">
      <w:pPr>
        <w:rPr>
          <w:b/>
          <w:bCs/>
          <w:u w:val="single"/>
          <w:vertAlign w:val="superscript"/>
          <w:lang w:val="en-US"/>
        </w:rPr>
      </w:pPr>
    </w:p>
    <w:p w14:paraId="7ADD37A9" w14:textId="77777777" w:rsidR="00D17D21" w:rsidRDefault="00D17D21">
      <w:pPr>
        <w:rPr>
          <w:b/>
          <w:bCs/>
          <w:u w:val="single"/>
          <w:vertAlign w:val="superscript"/>
          <w:lang w:val="en-US"/>
        </w:rPr>
      </w:pPr>
    </w:p>
    <w:p w14:paraId="13AD3C51" w14:textId="77777777" w:rsidR="000A2587" w:rsidRDefault="000A2587">
      <w:pPr>
        <w:rPr>
          <w:b/>
          <w:bCs/>
          <w:sz w:val="24"/>
          <w:szCs w:val="24"/>
          <w:u w:val="single"/>
          <w:lang w:val="en-US"/>
        </w:rPr>
      </w:pPr>
      <w:r>
        <w:rPr>
          <w:b/>
          <w:bCs/>
          <w:sz w:val="24"/>
          <w:szCs w:val="24"/>
          <w:u w:val="single"/>
          <w:lang w:val="en-US"/>
        </w:rPr>
        <w:t xml:space="preserve">Pine Green Curriculum </w:t>
      </w:r>
    </w:p>
    <w:p w14:paraId="77EFB4E2" w14:textId="77777777" w:rsidR="00BB7DAA" w:rsidRDefault="00BB7DAA">
      <w:pPr>
        <w:rPr>
          <w:b/>
          <w:bCs/>
          <w:sz w:val="24"/>
          <w:szCs w:val="24"/>
          <w:u w:val="single"/>
          <w:lang w:val="en-US"/>
        </w:rPr>
      </w:pPr>
    </w:p>
    <w:p w14:paraId="41FB2A8D" w14:textId="77777777" w:rsidR="000A2587" w:rsidRDefault="000A2587" w:rsidP="000A2587">
      <w:r>
        <w:t xml:space="preserve">The key principles behind the design of our curriculum are for our pupils to: </w:t>
      </w:r>
    </w:p>
    <w:p w14:paraId="5B9C4527" w14:textId="77777777" w:rsidR="000A2587" w:rsidRDefault="000A2587" w:rsidP="000A2587">
      <w:r>
        <w:sym w:font="Symbol" w:char="F0B7"/>
      </w:r>
      <w:r>
        <w:t xml:space="preserve"> Become confident, independent and resilient</w:t>
      </w:r>
    </w:p>
    <w:p w14:paraId="1515D285" w14:textId="77777777" w:rsidR="000A2587" w:rsidRDefault="000A2587" w:rsidP="000A2587">
      <w:r>
        <w:sym w:font="Symbol" w:char="F0B7"/>
      </w:r>
      <w:r>
        <w:t xml:space="preserve"> Be kind; showing empathy and compassion whilst valuing diversity </w:t>
      </w:r>
    </w:p>
    <w:p w14:paraId="0139FAA2" w14:textId="77777777" w:rsidR="000A2587" w:rsidRDefault="000A2587" w:rsidP="000A2587">
      <w:r>
        <w:sym w:font="Symbol" w:char="F0B7"/>
      </w:r>
      <w:r>
        <w:t xml:space="preserve"> Make good progress in all areas of the curriculum from their starting points when they initially join us</w:t>
      </w:r>
    </w:p>
    <w:p w14:paraId="2850C2D0" w14:textId="77777777" w:rsidR="000A2587" w:rsidRDefault="000A2587" w:rsidP="000A2587">
      <w:r>
        <w:sym w:font="Symbol" w:char="F0B7"/>
      </w:r>
      <w:r>
        <w:t xml:space="preserve"> Become more culturally aware about their local area as well as nationally and internationally.</w:t>
      </w:r>
    </w:p>
    <w:p w14:paraId="3D4E749D" w14:textId="77777777" w:rsidR="000A2587" w:rsidRDefault="000A2587" w:rsidP="000A2587">
      <w:r>
        <w:sym w:font="Symbol" w:char="F0B7"/>
      </w:r>
      <w:r>
        <w:t xml:space="preserve"> Develop and enhance their aspirations for the future and know that these can be reached through hard work and determination </w:t>
      </w:r>
    </w:p>
    <w:p w14:paraId="05DC8238" w14:textId="77777777" w:rsidR="000A2587" w:rsidRDefault="000A2587" w:rsidP="000A2587">
      <w:r>
        <w:sym w:font="Symbol" w:char="F0B7"/>
      </w:r>
      <w:r>
        <w:t xml:space="preserve"> Be well prepared for the challenges that awaits them in the world. Ultimately, we want </w:t>
      </w:r>
      <w:proofErr w:type="gramStart"/>
      <w:r>
        <w:t>all of</w:t>
      </w:r>
      <w:proofErr w:type="gramEnd"/>
      <w:r>
        <w:t xml:space="preserve"> our pupils, to be the best they can be, making a positive contribution to the world they live in</w:t>
      </w:r>
    </w:p>
    <w:sectPr w:rsidR="000A2587" w:rsidSect="0072041A">
      <w:pgSz w:w="11906" w:h="16838"/>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E2B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11DF1"/>
    <w:multiLevelType w:val="hybridMultilevel"/>
    <w:tmpl w:val="BF302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02667"/>
    <w:multiLevelType w:val="hybridMultilevel"/>
    <w:tmpl w:val="F4E6A6A6"/>
    <w:lvl w:ilvl="0" w:tplc="0809000D">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6" w15:restartNumberingAfterBreak="0">
    <w:nsid w:val="563B60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A947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2231484">
    <w:abstractNumId w:val="1"/>
  </w:num>
  <w:num w:numId="2" w16cid:durableId="2111003093">
    <w:abstractNumId w:val="2"/>
  </w:num>
  <w:num w:numId="3" w16cid:durableId="566455193">
    <w:abstractNumId w:val="7"/>
  </w:num>
  <w:num w:numId="4" w16cid:durableId="1105005139">
    <w:abstractNumId w:val="3"/>
  </w:num>
  <w:num w:numId="5" w16cid:durableId="1756124303">
    <w:abstractNumId w:val="0"/>
  </w:num>
  <w:num w:numId="6" w16cid:durableId="659233882">
    <w:abstractNumId w:val="6"/>
  </w:num>
  <w:num w:numId="7" w16cid:durableId="639572586">
    <w:abstractNumId w:val="5"/>
  </w:num>
  <w:num w:numId="8" w16cid:durableId="1406029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6D"/>
    <w:rsid w:val="00011418"/>
    <w:rsid w:val="00025789"/>
    <w:rsid w:val="00030EDB"/>
    <w:rsid w:val="0004438E"/>
    <w:rsid w:val="0006181D"/>
    <w:rsid w:val="000710E5"/>
    <w:rsid w:val="00071829"/>
    <w:rsid w:val="00071AFC"/>
    <w:rsid w:val="0009072B"/>
    <w:rsid w:val="000A0CB1"/>
    <w:rsid w:val="000A2587"/>
    <w:rsid w:val="000A3468"/>
    <w:rsid w:val="000B370F"/>
    <w:rsid w:val="000C7779"/>
    <w:rsid w:val="000E3DC8"/>
    <w:rsid w:val="000F3B9D"/>
    <w:rsid w:val="000F6DB4"/>
    <w:rsid w:val="00102865"/>
    <w:rsid w:val="00111017"/>
    <w:rsid w:val="00112AA5"/>
    <w:rsid w:val="00112CB8"/>
    <w:rsid w:val="0014119E"/>
    <w:rsid w:val="00144AA8"/>
    <w:rsid w:val="001535F0"/>
    <w:rsid w:val="00162358"/>
    <w:rsid w:val="0017686B"/>
    <w:rsid w:val="001905F4"/>
    <w:rsid w:val="00193BB7"/>
    <w:rsid w:val="001B6668"/>
    <w:rsid w:val="001D6B0D"/>
    <w:rsid w:val="001E32F2"/>
    <w:rsid w:val="001F21D5"/>
    <w:rsid w:val="001F5562"/>
    <w:rsid w:val="00206978"/>
    <w:rsid w:val="00210DA6"/>
    <w:rsid w:val="0021546A"/>
    <w:rsid w:val="00255B15"/>
    <w:rsid w:val="00287F77"/>
    <w:rsid w:val="00292B15"/>
    <w:rsid w:val="002940E6"/>
    <w:rsid w:val="00297FF5"/>
    <w:rsid w:val="002D57E1"/>
    <w:rsid w:val="002E14A2"/>
    <w:rsid w:val="002E2265"/>
    <w:rsid w:val="002E3BF0"/>
    <w:rsid w:val="002E50E5"/>
    <w:rsid w:val="003111F6"/>
    <w:rsid w:val="00316E7C"/>
    <w:rsid w:val="00330E15"/>
    <w:rsid w:val="00346931"/>
    <w:rsid w:val="0035378F"/>
    <w:rsid w:val="003541FE"/>
    <w:rsid w:val="003603EC"/>
    <w:rsid w:val="00365907"/>
    <w:rsid w:val="003850B6"/>
    <w:rsid w:val="00396904"/>
    <w:rsid w:val="003A5129"/>
    <w:rsid w:val="003D4123"/>
    <w:rsid w:val="003F62EF"/>
    <w:rsid w:val="003F6975"/>
    <w:rsid w:val="004020B4"/>
    <w:rsid w:val="00417A62"/>
    <w:rsid w:val="00420DC4"/>
    <w:rsid w:val="00425679"/>
    <w:rsid w:val="00436C6D"/>
    <w:rsid w:val="00466A13"/>
    <w:rsid w:val="00477CC2"/>
    <w:rsid w:val="0048160D"/>
    <w:rsid w:val="004864EE"/>
    <w:rsid w:val="004B4F3A"/>
    <w:rsid w:val="004C18DD"/>
    <w:rsid w:val="004D0F39"/>
    <w:rsid w:val="004E49ED"/>
    <w:rsid w:val="004F42C0"/>
    <w:rsid w:val="0050153B"/>
    <w:rsid w:val="005267A0"/>
    <w:rsid w:val="00531B1F"/>
    <w:rsid w:val="0054158C"/>
    <w:rsid w:val="00562457"/>
    <w:rsid w:val="00567AE8"/>
    <w:rsid w:val="005820E9"/>
    <w:rsid w:val="005948D6"/>
    <w:rsid w:val="005A593A"/>
    <w:rsid w:val="005C50A8"/>
    <w:rsid w:val="005D01FC"/>
    <w:rsid w:val="005E46EF"/>
    <w:rsid w:val="005E5305"/>
    <w:rsid w:val="005F45EC"/>
    <w:rsid w:val="006114A9"/>
    <w:rsid w:val="00613C86"/>
    <w:rsid w:val="00617001"/>
    <w:rsid w:val="006339E5"/>
    <w:rsid w:val="00645C51"/>
    <w:rsid w:val="006603E0"/>
    <w:rsid w:val="006708B8"/>
    <w:rsid w:val="00686098"/>
    <w:rsid w:val="006867D5"/>
    <w:rsid w:val="0069203E"/>
    <w:rsid w:val="006D0B01"/>
    <w:rsid w:val="006D2C95"/>
    <w:rsid w:val="006E59F0"/>
    <w:rsid w:val="006F579E"/>
    <w:rsid w:val="0071412A"/>
    <w:rsid w:val="007142C6"/>
    <w:rsid w:val="0072041A"/>
    <w:rsid w:val="00740987"/>
    <w:rsid w:val="007648EF"/>
    <w:rsid w:val="007659A1"/>
    <w:rsid w:val="0078652D"/>
    <w:rsid w:val="0079789F"/>
    <w:rsid w:val="007A64C9"/>
    <w:rsid w:val="007A7DCE"/>
    <w:rsid w:val="007D0A82"/>
    <w:rsid w:val="007D1A76"/>
    <w:rsid w:val="007F6E8F"/>
    <w:rsid w:val="008255A0"/>
    <w:rsid w:val="0086506D"/>
    <w:rsid w:val="008723FA"/>
    <w:rsid w:val="0088085F"/>
    <w:rsid w:val="00882B8C"/>
    <w:rsid w:val="008A606E"/>
    <w:rsid w:val="008B330E"/>
    <w:rsid w:val="008B3F28"/>
    <w:rsid w:val="008C79DE"/>
    <w:rsid w:val="008D3A73"/>
    <w:rsid w:val="008F670D"/>
    <w:rsid w:val="00912DB8"/>
    <w:rsid w:val="00914EDF"/>
    <w:rsid w:val="00945196"/>
    <w:rsid w:val="009509C2"/>
    <w:rsid w:val="009858B3"/>
    <w:rsid w:val="00991F99"/>
    <w:rsid w:val="009B4829"/>
    <w:rsid w:val="009C135E"/>
    <w:rsid w:val="009C690F"/>
    <w:rsid w:val="009D41B8"/>
    <w:rsid w:val="009E2924"/>
    <w:rsid w:val="00A06A19"/>
    <w:rsid w:val="00A07098"/>
    <w:rsid w:val="00A33975"/>
    <w:rsid w:val="00A3460A"/>
    <w:rsid w:val="00A42981"/>
    <w:rsid w:val="00A74C20"/>
    <w:rsid w:val="00A84DDD"/>
    <w:rsid w:val="00A8760C"/>
    <w:rsid w:val="00A93F8A"/>
    <w:rsid w:val="00AA3293"/>
    <w:rsid w:val="00AC3F6D"/>
    <w:rsid w:val="00AC4045"/>
    <w:rsid w:val="00B06FEA"/>
    <w:rsid w:val="00B07C5A"/>
    <w:rsid w:val="00B14E8E"/>
    <w:rsid w:val="00B22DAE"/>
    <w:rsid w:val="00B348A0"/>
    <w:rsid w:val="00B602D1"/>
    <w:rsid w:val="00B66493"/>
    <w:rsid w:val="00B74BEE"/>
    <w:rsid w:val="00B9376A"/>
    <w:rsid w:val="00BB57DB"/>
    <w:rsid w:val="00BB7DAA"/>
    <w:rsid w:val="00BC2701"/>
    <w:rsid w:val="00C000A2"/>
    <w:rsid w:val="00C4263F"/>
    <w:rsid w:val="00C429BC"/>
    <w:rsid w:val="00C51CAC"/>
    <w:rsid w:val="00CB197B"/>
    <w:rsid w:val="00CB4539"/>
    <w:rsid w:val="00CD69BA"/>
    <w:rsid w:val="00CE2B71"/>
    <w:rsid w:val="00CF6E9B"/>
    <w:rsid w:val="00D01AD9"/>
    <w:rsid w:val="00D17D21"/>
    <w:rsid w:val="00D32457"/>
    <w:rsid w:val="00D50BE3"/>
    <w:rsid w:val="00D50C43"/>
    <w:rsid w:val="00D51A37"/>
    <w:rsid w:val="00D66B57"/>
    <w:rsid w:val="00D8165D"/>
    <w:rsid w:val="00D901CA"/>
    <w:rsid w:val="00D90AE3"/>
    <w:rsid w:val="00D90E27"/>
    <w:rsid w:val="00DC027F"/>
    <w:rsid w:val="00DC07E5"/>
    <w:rsid w:val="00DD732B"/>
    <w:rsid w:val="00E0115B"/>
    <w:rsid w:val="00E22C86"/>
    <w:rsid w:val="00E27889"/>
    <w:rsid w:val="00E51F81"/>
    <w:rsid w:val="00E54BE3"/>
    <w:rsid w:val="00E646A2"/>
    <w:rsid w:val="00E702C4"/>
    <w:rsid w:val="00E76D96"/>
    <w:rsid w:val="00E81AFA"/>
    <w:rsid w:val="00E921FB"/>
    <w:rsid w:val="00EA7057"/>
    <w:rsid w:val="00EB073A"/>
    <w:rsid w:val="00ED2EC0"/>
    <w:rsid w:val="00EE1A0B"/>
    <w:rsid w:val="00EE7B74"/>
    <w:rsid w:val="00EF0E6E"/>
    <w:rsid w:val="00EF1542"/>
    <w:rsid w:val="00F12389"/>
    <w:rsid w:val="00F219BD"/>
    <w:rsid w:val="00F3296E"/>
    <w:rsid w:val="00F3399F"/>
    <w:rsid w:val="00F53D13"/>
    <w:rsid w:val="00F643EF"/>
    <w:rsid w:val="00F86068"/>
    <w:rsid w:val="00F90902"/>
    <w:rsid w:val="00F9736E"/>
    <w:rsid w:val="00FB7460"/>
    <w:rsid w:val="00FE3992"/>
    <w:rsid w:val="00FE6227"/>
    <w:rsid w:val="00FF3EB2"/>
    <w:rsid w:val="01597970"/>
    <w:rsid w:val="0820511F"/>
    <w:rsid w:val="09427095"/>
    <w:rsid w:val="0C326DB0"/>
    <w:rsid w:val="0E6EF66C"/>
    <w:rsid w:val="12DE7FDB"/>
    <w:rsid w:val="15C282D0"/>
    <w:rsid w:val="198626AA"/>
    <w:rsid w:val="19DFD327"/>
    <w:rsid w:val="27FB0A82"/>
    <w:rsid w:val="2A3F1BC5"/>
    <w:rsid w:val="2BDD03C4"/>
    <w:rsid w:val="2DDA803D"/>
    <w:rsid w:val="2E5644B3"/>
    <w:rsid w:val="33972EDA"/>
    <w:rsid w:val="3813196E"/>
    <w:rsid w:val="38E8CA90"/>
    <w:rsid w:val="43CE8CAF"/>
    <w:rsid w:val="445CD912"/>
    <w:rsid w:val="46C55191"/>
    <w:rsid w:val="4A46DEA8"/>
    <w:rsid w:val="4F602254"/>
    <w:rsid w:val="5079B8DC"/>
    <w:rsid w:val="51A46895"/>
    <w:rsid w:val="53802296"/>
    <w:rsid w:val="53A9F9CC"/>
    <w:rsid w:val="5684A417"/>
    <w:rsid w:val="583BDE2F"/>
    <w:rsid w:val="5A400E5B"/>
    <w:rsid w:val="5CC74838"/>
    <w:rsid w:val="5E4A7DF8"/>
    <w:rsid w:val="604C42F4"/>
    <w:rsid w:val="64D94892"/>
    <w:rsid w:val="64EAA6E6"/>
    <w:rsid w:val="65EFF2D0"/>
    <w:rsid w:val="6A6665C2"/>
    <w:rsid w:val="6D803BF8"/>
    <w:rsid w:val="71B333B3"/>
    <w:rsid w:val="73EDF1BD"/>
    <w:rsid w:val="767D5037"/>
    <w:rsid w:val="767FFF47"/>
    <w:rsid w:val="7755C433"/>
    <w:rsid w:val="7CB2C4C1"/>
    <w:rsid w:val="7E4F0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BC8A"/>
  <w15:docId w15:val="{A51B5CEC-C2EA-4908-AEEF-206A6CAB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A0B"/>
    <w:pPr>
      <w:ind w:left="720"/>
      <w:contextualSpacing/>
    </w:pPr>
  </w:style>
  <w:style w:type="paragraph" w:customStyle="1" w:styleId="xmsonormal">
    <w:name w:val="x_msonormal"/>
    <w:basedOn w:val="Normal"/>
    <w:rsid w:val="008D3A73"/>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8D3A73"/>
    <w:pPr>
      <w:spacing w:after="0" w:line="240" w:lineRule="auto"/>
      <w:ind w:left="720"/>
    </w:pPr>
    <w:rPr>
      <w:rFonts w:ascii="Calibri" w:eastAsiaTheme="minorEastAsia" w:hAnsi="Calibri" w:cs="Calibri"/>
      <w:sz w:val="24"/>
      <w:szCs w:val="24"/>
      <w:lang w:eastAsia="en-GB"/>
    </w:rPr>
  </w:style>
  <w:style w:type="paragraph" w:styleId="NoSpacing">
    <w:name w:val="No Spacing"/>
    <w:uiPriority w:val="1"/>
    <w:qFormat/>
    <w:rsid w:val="00BB7DAA"/>
    <w:pPr>
      <w:spacing w:after="0" w:line="240" w:lineRule="auto"/>
    </w:pPr>
  </w:style>
  <w:style w:type="character" w:styleId="CommentReference">
    <w:name w:val="annotation reference"/>
    <w:basedOn w:val="DefaultParagraphFont"/>
    <w:uiPriority w:val="99"/>
    <w:semiHidden/>
    <w:unhideWhenUsed/>
    <w:rsid w:val="007648EF"/>
    <w:rPr>
      <w:sz w:val="16"/>
      <w:szCs w:val="16"/>
    </w:rPr>
  </w:style>
  <w:style w:type="paragraph" w:styleId="CommentText">
    <w:name w:val="annotation text"/>
    <w:basedOn w:val="Normal"/>
    <w:link w:val="CommentTextChar"/>
    <w:uiPriority w:val="99"/>
    <w:semiHidden/>
    <w:unhideWhenUsed/>
    <w:rsid w:val="007648EF"/>
    <w:pPr>
      <w:spacing w:line="240" w:lineRule="auto"/>
    </w:pPr>
    <w:rPr>
      <w:sz w:val="20"/>
      <w:szCs w:val="20"/>
    </w:rPr>
  </w:style>
  <w:style w:type="character" w:customStyle="1" w:styleId="CommentTextChar">
    <w:name w:val="Comment Text Char"/>
    <w:basedOn w:val="DefaultParagraphFont"/>
    <w:link w:val="CommentText"/>
    <w:uiPriority w:val="99"/>
    <w:semiHidden/>
    <w:rsid w:val="007648EF"/>
    <w:rPr>
      <w:sz w:val="20"/>
      <w:szCs w:val="20"/>
    </w:rPr>
  </w:style>
  <w:style w:type="paragraph" w:styleId="CommentSubject">
    <w:name w:val="annotation subject"/>
    <w:basedOn w:val="CommentText"/>
    <w:next w:val="CommentText"/>
    <w:link w:val="CommentSubjectChar"/>
    <w:uiPriority w:val="99"/>
    <w:semiHidden/>
    <w:unhideWhenUsed/>
    <w:rsid w:val="007648EF"/>
    <w:rPr>
      <w:b/>
      <w:bCs/>
    </w:rPr>
  </w:style>
  <w:style w:type="character" w:customStyle="1" w:styleId="CommentSubjectChar">
    <w:name w:val="Comment Subject Char"/>
    <w:basedOn w:val="CommentTextChar"/>
    <w:link w:val="CommentSubject"/>
    <w:uiPriority w:val="99"/>
    <w:semiHidden/>
    <w:rsid w:val="007648EF"/>
    <w:rPr>
      <w:b/>
      <w:bCs/>
      <w:sz w:val="20"/>
      <w:szCs w:val="20"/>
    </w:rPr>
  </w:style>
  <w:style w:type="paragraph" w:styleId="BalloonText">
    <w:name w:val="Balloon Text"/>
    <w:basedOn w:val="Normal"/>
    <w:link w:val="BalloonTextChar"/>
    <w:uiPriority w:val="99"/>
    <w:semiHidden/>
    <w:unhideWhenUsed/>
    <w:rsid w:val="0076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m.grant01\Downloads\SUBJECT%20-%20Curriculum%20Intent%20On%20A%20Page%20-%202021-2%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3FE4341A58149A04A3C1DA4BFB1BF" ma:contentTypeVersion="13" ma:contentTypeDescription="Create a new document." ma:contentTypeScope="" ma:versionID="5f2ad6b01a8fd5ef1c2bc4fedd8e3806">
  <xsd:schema xmlns:xsd="http://www.w3.org/2001/XMLSchema" xmlns:xs="http://www.w3.org/2001/XMLSchema" xmlns:p="http://schemas.microsoft.com/office/2006/metadata/properties" xmlns:ns2="a7c54e6b-9b35-4ebd-99e8-f38fd404df88" xmlns:ns3="87fa379e-d886-45a5-8ec2-884e772d3edf" targetNamespace="http://schemas.microsoft.com/office/2006/metadata/properties" ma:root="true" ma:fieldsID="f2593ba0721fcec47708ee4bda9289af" ns2:_="" ns3:_="">
    <xsd:import namespace="a7c54e6b-9b35-4ebd-99e8-f38fd404df88"/>
    <xsd:import namespace="87fa379e-d886-45a5-8ec2-884e772d3e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4e6b-9b35-4ebd-99e8-f38fd404d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a379e-d886-45a5-8ec2-884e772d3e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7598D-765B-4D37-9079-04585C8C6D65}">
  <ds:schemaRefs>
    <ds:schemaRef ds:uri="http://schemas.microsoft.com/sharepoint/v3/contenttype/forms"/>
  </ds:schemaRefs>
</ds:datastoreItem>
</file>

<file path=customXml/itemProps2.xml><?xml version="1.0" encoding="utf-8"?>
<ds:datastoreItem xmlns:ds="http://schemas.openxmlformats.org/officeDocument/2006/customXml" ds:itemID="{90B0F674-5CA0-420D-A46A-B5EDDA93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4e6b-9b35-4ebd-99e8-f38fd404df88"/>
    <ds:schemaRef ds:uri="87fa379e-d886-45a5-8ec2-884e772d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SUBJECT - Curriculum Intent On A Page - 2021-2 - TEMPLATE</Template>
  <TotalTime>4</TotalTime>
  <Pages>2</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Grant</dc:creator>
  <cp:keywords/>
  <dc:description/>
  <cp:lastModifiedBy>Stuart Williams (Pine Green Staff)</cp:lastModifiedBy>
  <cp:revision>4</cp:revision>
  <cp:lastPrinted>2022-01-31T13:03:00Z</cp:lastPrinted>
  <dcterms:created xsi:type="dcterms:W3CDTF">2023-12-20T14:07:00Z</dcterms:created>
  <dcterms:modified xsi:type="dcterms:W3CDTF">2024-06-05T12:33:00Z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0x0101000D13FE4341A58149A04A3C1DA4BFB1BF</vt:lpwstr>
  </property>
</Properties>
</file>