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833B"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8D4">
        <w:rPr>
          <w:b/>
          <w:bCs/>
          <w:sz w:val="24"/>
          <w:szCs w:val="24"/>
          <w:u w:val="single"/>
          <w:lang w:val="en-US"/>
        </w:rPr>
        <w:t>Curriculum Intent</w:t>
      </w:r>
    </w:p>
    <w:p w14:paraId="672A6659"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rsidRPr="00B73DFC" w14:paraId="34EE7A85" w14:textId="77777777" w:rsidTr="03A317DB">
        <w:tc>
          <w:tcPr>
            <w:tcW w:w="1696" w:type="dxa"/>
            <w:shd w:val="clear" w:color="auto" w:fill="112B43"/>
          </w:tcPr>
          <w:p w14:paraId="27B6226E" w14:textId="77777777" w:rsidR="00BB57DB" w:rsidRPr="00B73DFC" w:rsidRDefault="00BB57DB">
            <w:pPr>
              <w:rPr>
                <w:b/>
                <w:bCs/>
                <w:sz w:val="20"/>
                <w:szCs w:val="20"/>
                <w:lang w:val="en-US"/>
              </w:rPr>
            </w:pPr>
            <w:r w:rsidRPr="00B73DFC">
              <w:rPr>
                <w:b/>
                <w:bCs/>
                <w:sz w:val="20"/>
                <w:szCs w:val="20"/>
                <w:lang w:val="en-US"/>
              </w:rPr>
              <w:t>Subject</w:t>
            </w:r>
          </w:p>
        </w:tc>
        <w:tc>
          <w:tcPr>
            <w:tcW w:w="9214" w:type="dxa"/>
          </w:tcPr>
          <w:p w14:paraId="1EE948F5" w14:textId="787245F2" w:rsidR="00BB57DB" w:rsidRPr="00B73DFC" w:rsidRDefault="3F1E6B06">
            <w:pPr>
              <w:rPr>
                <w:sz w:val="20"/>
                <w:szCs w:val="20"/>
                <w:lang w:val="en-US"/>
              </w:rPr>
            </w:pPr>
            <w:r w:rsidRPr="03A317DB">
              <w:rPr>
                <w:sz w:val="20"/>
                <w:szCs w:val="20"/>
                <w:lang w:val="en-US"/>
              </w:rPr>
              <w:t>RSHE (Relationships, Sex and Health Education)</w:t>
            </w:r>
          </w:p>
        </w:tc>
      </w:tr>
      <w:tr w:rsidR="00BB57DB" w:rsidRPr="00B73DFC" w14:paraId="78108F90" w14:textId="77777777" w:rsidTr="03A317DB">
        <w:tc>
          <w:tcPr>
            <w:tcW w:w="1696" w:type="dxa"/>
            <w:shd w:val="clear" w:color="auto" w:fill="112B43"/>
          </w:tcPr>
          <w:p w14:paraId="336262CF" w14:textId="77777777" w:rsidR="00BB57DB" w:rsidRPr="00B73DFC" w:rsidRDefault="00D17D21">
            <w:pPr>
              <w:rPr>
                <w:b/>
                <w:bCs/>
                <w:sz w:val="20"/>
                <w:szCs w:val="20"/>
                <w:lang w:val="en-US"/>
              </w:rPr>
            </w:pPr>
            <w:r w:rsidRPr="00B73DFC">
              <w:rPr>
                <w:b/>
                <w:bCs/>
                <w:sz w:val="20"/>
                <w:szCs w:val="20"/>
                <w:lang w:val="en-US"/>
              </w:rPr>
              <w:t xml:space="preserve">Subject Teacher </w:t>
            </w:r>
          </w:p>
        </w:tc>
        <w:tc>
          <w:tcPr>
            <w:tcW w:w="9214" w:type="dxa"/>
          </w:tcPr>
          <w:p w14:paraId="51F15727" w14:textId="586B3B2D" w:rsidR="00BB57DB" w:rsidRPr="00B73DFC" w:rsidRDefault="00FA5388" w:rsidP="2BDD03C4">
            <w:pPr>
              <w:spacing w:line="259" w:lineRule="auto"/>
              <w:rPr>
                <w:sz w:val="20"/>
                <w:szCs w:val="20"/>
              </w:rPr>
            </w:pPr>
            <w:r w:rsidRPr="03A317DB">
              <w:rPr>
                <w:sz w:val="20"/>
                <w:szCs w:val="20"/>
              </w:rPr>
              <w:t>R Williams</w:t>
            </w:r>
            <w:r w:rsidR="1E70DD9F" w:rsidRPr="03A317DB">
              <w:rPr>
                <w:sz w:val="20"/>
                <w:szCs w:val="20"/>
              </w:rPr>
              <w:t xml:space="preserve"> </w:t>
            </w:r>
          </w:p>
        </w:tc>
      </w:tr>
    </w:tbl>
    <w:p w14:paraId="0A37501D"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637DE3F0" w14:textId="77777777" w:rsidTr="0D3E8975">
        <w:tc>
          <w:tcPr>
            <w:tcW w:w="10910" w:type="dxa"/>
            <w:shd w:val="clear" w:color="auto" w:fill="112B43"/>
          </w:tcPr>
          <w:p w14:paraId="1D9A0E59" w14:textId="77777777" w:rsidR="00BB57DB" w:rsidRPr="00BB57DB" w:rsidRDefault="00B74BEE" w:rsidP="00991F99">
            <w:pPr>
              <w:jc w:val="right"/>
              <w:rPr>
                <w:b/>
                <w:bCs/>
                <w:lang w:val="en-US"/>
              </w:rPr>
            </w:pPr>
            <w:r>
              <w:rPr>
                <w:b/>
                <w:bCs/>
                <w:lang w:val="en-US"/>
              </w:rPr>
              <w:t>I</w:t>
            </w:r>
            <w:r w:rsidR="00BB57DB" w:rsidRPr="00BB57DB">
              <w:rPr>
                <w:b/>
                <w:bCs/>
                <w:lang w:val="en-US"/>
              </w:rPr>
              <w:t xml:space="preserve">ntent </w:t>
            </w:r>
            <w:r>
              <w:rPr>
                <w:b/>
                <w:bCs/>
                <w:lang w:val="en-US"/>
              </w:rPr>
              <w:t>s</w:t>
            </w:r>
            <w:r w:rsidR="00BB57DB" w:rsidRPr="00BB57DB">
              <w:rPr>
                <w:b/>
                <w:bCs/>
                <w:lang w:val="en-US"/>
              </w:rPr>
              <w:t xml:space="preserve">tatement </w:t>
            </w:r>
            <w:r w:rsidR="00BB7DAA">
              <w:rPr>
                <w:b/>
                <w:bCs/>
                <w:lang w:val="en-US"/>
              </w:rPr>
              <w:t xml:space="preserve">– Our Curriculum Objectives </w:t>
            </w:r>
          </w:p>
        </w:tc>
      </w:tr>
      <w:tr w:rsidR="00BB57DB" w14:paraId="70207AF3" w14:textId="77777777" w:rsidTr="0D3E8975">
        <w:tc>
          <w:tcPr>
            <w:tcW w:w="10910" w:type="dxa"/>
          </w:tcPr>
          <w:p w14:paraId="57E7A881" w14:textId="47483455" w:rsidR="00B73DFC" w:rsidRDefault="5B517892" w:rsidP="03A317DB">
            <w:pPr>
              <w:rPr>
                <w:rFonts w:ascii="Calibri" w:eastAsia="Calibri" w:hAnsi="Calibri" w:cs="Calibri"/>
                <w:color w:val="000000" w:themeColor="text1"/>
                <w:sz w:val="19"/>
                <w:szCs w:val="19"/>
              </w:rPr>
            </w:pPr>
            <w:r w:rsidRPr="03A317DB">
              <w:rPr>
                <w:rFonts w:ascii="Calibri" w:eastAsia="Calibri" w:hAnsi="Calibri" w:cs="Calibri"/>
                <w:color w:val="000000" w:themeColor="text1"/>
                <w:sz w:val="19"/>
                <w:szCs w:val="19"/>
              </w:rPr>
              <w:t xml:space="preserve">It is our aim to ensure that the RHSE curriculum offers all pupils the chance to develop their knowledge, skills, and attributes </w:t>
            </w:r>
            <w:bookmarkStart w:id="0" w:name="_Int_BMWPNLrS"/>
            <w:r w:rsidRPr="03A317DB">
              <w:rPr>
                <w:rFonts w:ascii="Calibri" w:eastAsia="Calibri" w:hAnsi="Calibri" w:cs="Calibri"/>
                <w:color w:val="000000" w:themeColor="text1"/>
                <w:sz w:val="19"/>
                <w:szCs w:val="19"/>
              </w:rPr>
              <w:t>in order for</w:t>
            </w:r>
            <w:bookmarkEnd w:id="0"/>
            <w:r w:rsidRPr="03A317DB">
              <w:rPr>
                <w:rFonts w:ascii="Calibri" w:eastAsia="Calibri" w:hAnsi="Calibri" w:cs="Calibri"/>
                <w:color w:val="000000" w:themeColor="text1"/>
                <w:sz w:val="19"/>
                <w:szCs w:val="19"/>
              </w:rPr>
              <w:t xml:space="preserve"> them to be healthy and safe, and so that they can succeed in their life and the world of work. As part of the wider PSHE provision (which includes financial education, careers, and other aspects of personal development), </w:t>
            </w:r>
            <w:r w:rsidR="46974BB8" w:rsidRPr="03A317DB">
              <w:rPr>
                <w:rFonts w:ascii="Calibri" w:eastAsia="Calibri" w:hAnsi="Calibri" w:cs="Calibri"/>
                <w:color w:val="000000" w:themeColor="text1"/>
                <w:sz w:val="19"/>
                <w:szCs w:val="19"/>
              </w:rPr>
              <w:t>o</w:t>
            </w:r>
            <w:r w:rsidR="00820609" w:rsidRPr="03A317DB">
              <w:rPr>
                <w:rFonts w:ascii="Calibri" w:eastAsia="Calibri" w:hAnsi="Calibri" w:cs="Calibri"/>
                <w:color w:val="000000" w:themeColor="text1"/>
                <w:sz w:val="19"/>
                <w:szCs w:val="19"/>
              </w:rPr>
              <w:t xml:space="preserve">ur </w:t>
            </w:r>
            <w:r w:rsidR="0BF5A7DF" w:rsidRPr="03A317DB">
              <w:rPr>
                <w:rFonts w:ascii="Calibri" w:eastAsia="Calibri" w:hAnsi="Calibri" w:cs="Calibri"/>
                <w:color w:val="000000" w:themeColor="text1"/>
                <w:sz w:val="19"/>
                <w:szCs w:val="19"/>
              </w:rPr>
              <w:t>R</w:t>
            </w:r>
            <w:r w:rsidR="00820609" w:rsidRPr="03A317DB">
              <w:rPr>
                <w:rFonts w:ascii="Calibri" w:eastAsia="Calibri" w:hAnsi="Calibri" w:cs="Calibri"/>
                <w:color w:val="000000" w:themeColor="text1"/>
                <w:sz w:val="19"/>
                <w:szCs w:val="19"/>
              </w:rPr>
              <w:t xml:space="preserve">HSE curriculum is inclusive of all pupils, </w:t>
            </w:r>
            <w:bookmarkStart w:id="1" w:name="_Int_vjZcJPvS"/>
            <w:r w:rsidR="00820609" w:rsidRPr="03A317DB">
              <w:rPr>
                <w:rFonts w:ascii="Calibri" w:eastAsia="Calibri" w:hAnsi="Calibri" w:cs="Calibri"/>
                <w:color w:val="000000" w:themeColor="text1"/>
                <w:sz w:val="19"/>
                <w:szCs w:val="19"/>
              </w:rPr>
              <w:t>taking into account</w:t>
            </w:r>
            <w:bookmarkEnd w:id="1"/>
            <w:r w:rsidR="00820609" w:rsidRPr="03A317DB">
              <w:rPr>
                <w:rFonts w:ascii="Calibri" w:eastAsia="Calibri" w:hAnsi="Calibri" w:cs="Calibri"/>
                <w:color w:val="000000" w:themeColor="text1"/>
                <w:sz w:val="19"/>
                <w:szCs w:val="19"/>
              </w:rPr>
              <w:t xml:space="preserve"> their social, </w:t>
            </w:r>
            <w:r w:rsidR="73CC6C89" w:rsidRPr="03A317DB">
              <w:rPr>
                <w:rFonts w:ascii="Calibri" w:eastAsia="Calibri" w:hAnsi="Calibri" w:cs="Calibri"/>
                <w:color w:val="000000" w:themeColor="text1"/>
                <w:sz w:val="19"/>
                <w:szCs w:val="19"/>
              </w:rPr>
              <w:t>emotional,</w:t>
            </w:r>
            <w:r w:rsidR="00820609" w:rsidRPr="03A317DB">
              <w:rPr>
                <w:rFonts w:ascii="Calibri" w:eastAsia="Calibri" w:hAnsi="Calibri" w:cs="Calibri"/>
                <w:color w:val="000000" w:themeColor="text1"/>
                <w:sz w:val="19"/>
                <w:szCs w:val="19"/>
              </w:rPr>
              <w:t xml:space="preserve"> and mental health needs, academic </w:t>
            </w:r>
            <w:r w:rsidR="65476504" w:rsidRPr="03A317DB">
              <w:rPr>
                <w:rFonts w:ascii="Calibri" w:eastAsia="Calibri" w:hAnsi="Calibri" w:cs="Calibri"/>
                <w:color w:val="000000" w:themeColor="text1"/>
                <w:sz w:val="19"/>
                <w:szCs w:val="19"/>
              </w:rPr>
              <w:t>ability,</w:t>
            </w:r>
            <w:r w:rsidR="00820609" w:rsidRPr="03A317DB">
              <w:rPr>
                <w:rFonts w:ascii="Calibri" w:eastAsia="Calibri" w:hAnsi="Calibri" w:cs="Calibri"/>
                <w:color w:val="000000" w:themeColor="text1"/>
                <w:sz w:val="19"/>
                <w:szCs w:val="19"/>
              </w:rPr>
              <w:t xml:space="preserve"> and their differing aspirations in life.</w:t>
            </w:r>
          </w:p>
          <w:p w14:paraId="13324863" w14:textId="6453761A" w:rsidR="00820609" w:rsidRPr="007D0A82" w:rsidRDefault="000A1250" w:rsidP="006C19A2">
            <w:pPr>
              <w:rPr>
                <w:rFonts w:ascii="Calibri" w:eastAsia="Calibri" w:hAnsi="Calibri" w:cs="Calibri"/>
                <w:color w:val="000000" w:themeColor="text1"/>
                <w:sz w:val="19"/>
                <w:szCs w:val="19"/>
              </w:rPr>
            </w:pPr>
            <w:r w:rsidRPr="03A317DB">
              <w:rPr>
                <w:rFonts w:ascii="Calibri" w:eastAsia="Calibri" w:hAnsi="Calibri" w:cs="Calibri"/>
                <w:color w:val="000000" w:themeColor="text1"/>
                <w:sz w:val="19"/>
                <w:szCs w:val="19"/>
              </w:rPr>
              <w:t xml:space="preserve">Proficiency in oracy is an important aspect in much of the wider curriculum, and with </w:t>
            </w:r>
            <w:r w:rsidR="0F24DE3D" w:rsidRPr="03A317DB">
              <w:rPr>
                <w:rFonts w:ascii="Calibri" w:eastAsia="Calibri" w:hAnsi="Calibri" w:cs="Calibri"/>
                <w:color w:val="000000" w:themeColor="text1"/>
                <w:sz w:val="19"/>
                <w:szCs w:val="19"/>
              </w:rPr>
              <w:t>a prominent level</w:t>
            </w:r>
            <w:r w:rsidRPr="03A317DB">
              <w:rPr>
                <w:rFonts w:ascii="Calibri" w:eastAsia="Calibri" w:hAnsi="Calibri" w:cs="Calibri"/>
                <w:color w:val="000000" w:themeColor="text1"/>
                <w:sz w:val="19"/>
                <w:szCs w:val="19"/>
              </w:rPr>
              <w:t xml:space="preserve"> of discussion involved in most topics, </w:t>
            </w:r>
            <w:r w:rsidR="6E2FA1A5" w:rsidRPr="03A317DB">
              <w:rPr>
                <w:rFonts w:ascii="Calibri" w:eastAsia="Calibri" w:hAnsi="Calibri" w:cs="Calibri"/>
                <w:color w:val="000000" w:themeColor="text1"/>
                <w:sz w:val="19"/>
                <w:szCs w:val="19"/>
              </w:rPr>
              <w:t>R</w:t>
            </w:r>
            <w:r w:rsidRPr="03A317DB">
              <w:rPr>
                <w:rFonts w:ascii="Calibri" w:eastAsia="Calibri" w:hAnsi="Calibri" w:cs="Calibri"/>
                <w:color w:val="000000" w:themeColor="text1"/>
                <w:sz w:val="19"/>
                <w:szCs w:val="19"/>
              </w:rPr>
              <w:t xml:space="preserve">SHE is particularly strong in supporting our pupils’ development in this area. </w:t>
            </w:r>
            <w:r w:rsidR="006C19A2" w:rsidRPr="03A317DB">
              <w:rPr>
                <w:rFonts w:ascii="Calibri" w:eastAsia="Calibri" w:hAnsi="Calibri" w:cs="Calibri"/>
                <w:color w:val="000000" w:themeColor="text1"/>
                <w:sz w:val="19"/>
                <w:szCs w:val="19"/>
              </w:rPr>
              <w:t>C</w:t>
            </w:r>
            <w:r w:rsidRPr="03A317DB">
              <w:rPr>
                <w:rFonts w:ascii="Calibri" w:eastAsia="Calibri" w:hAnsi="Calibri" w:cs="Calibri"/>
                <w:color w:val="000000" w:themeColor="text1"/>
                <w:sz w:val="19"/>
                <w:szCs w:val="19"/>
              </w:rPr>
              <w:t>ross-curricul</w:t>
            </w:r>
            <w:r w:rsidR="006C19A2" w:rsidRPr="03A317DB">
              <w:rPr>
                <w:rFonts w:ascii="Calibri" w:eastAsia="Calibri" w:hAnsi="Calibri" w:cs="Calibri"/>
                <w:color w:val="000000" w:themeColor="text1"/>
                <w:sz w:val="19"/>
                <w:szCs w:val="19"/>
              </w:rPr>
              <w:t>ar</w:t>
            </w:r>
            <w:r w:rsidRPr="03A317DB">
              <w:rPr>
                <w:rFonts w:ascii="Calibri" w:eastAsia="Calibri" w:hAnsi="Calibri" w:cs="Calibri"/>
                <w:color w:val="000000" w:themeColor="text1"/>
                <w:sz w:val="19"/>
                <w:szCs w:val="19"/>
              </w:rPr>
              <w:t xml:space="preserve"> links are also incorporated within </w:t>
            </w:r>
            <w:r w:rsidR="74D0C61F" w:rsidRPr="03A317DB">
              <w:rPr>
                <w:rFonts w:ascii="Calibri" w:eastAsia="Calibri" w:hAnsi="Calibri" w:cs="Calibri"/>
                <w:color w:val="000000" w:themeColor="text1"/>
                <w:sz w:val="19"/>
                <w:szCs w:val="19"/>
              </w:rPr>
              <w:t>R</w:t>
            </w:r>
            <w:r w:rsidRPr="03A317DB">
              <w:rPr>
                <w:rFonts w:ascii="Calibri" w:eastAsia="Calibri" w:hAnsi="Calibri" w:cs="Calibri"/>
                <w:color w:val="000000" w:themeColor="text1"/>
                <w:sz w:val="19"/>
                <w:szCs w:val="19"/>
              </w:rPr>
              <w:t xml:space="preserve">SHE, for example with maths when raising awareness of alcohol (measures, ABV%) and gambling (probability, odds); puberty, </w:t>
            </w:r>
            <w:r w:rsidR="00C1B2B5" w:rsidRPr="03A317DB">
              <w:rPr>
                <w:rFonts w:ascii="Calibri" w:eastAsia="Calibri" w:hAnsi="Calibri" w:cs="Calibri"/>
                <w:color w:val="000000" w:themeColor="text1"/>
                <w:sz w:val="19"/>
                <w:szCs w:val="19"/>
              </w:rPr>
              <w:t>reproduction,</w:t>
            </w:r>
            <w:r w:rsidRPr="03A317DB">
              <w:rPr>
                <w:rFonts w:ascii="Calibri" w:eastAsia="Calibri" w:hAnsi="Calibri" w:cs="Calibri"/>
                <w:color w:val="000000" w:themeColor="text1"/>
                <w:sz w:val="19"/>
                <w:szCs w:val="19"/>
              </w:rPr>
              <w:t xml:space="preserve"> and conception (Science) and aspects of our cultural history (spirituality, diversity etc.). The </w:t>
            </w:r>
            <w:r w:rsidR="70732E4E" w:rsidRPr="03A317DB">
              <w:rPr>
                <w:rFonts w:ascii="Calibri" w:eastAsia="Calibri" w:hAnsi="Calibri" w:cs="Calibri"/>
                <w:color w:val="000000" w:themeColor="text1"/>
                <w:sz w:val="19"/>
                <w:szCs w:val="19"/>
              </w:rPr>
              <w:t>R</w:t>
            </w:r>
            <w:r w:rsidRPr="03A317DB">
              <w:rPr>
                <w:rFonts w:ascii="Calibri" w:eastAsia="Calibri" w:hAnsi="Calibri" w:cs="Calibri"/>
                <w:color w:val="000000" w:themeColor="text1"/>
                <w:sz w:val="19"/>
                <w:szCs w:val="19"/>
              </w:rPr>
              <w:t>SHE learning experience is enriched with guest speakers being invited in to provide our pupils with alternative viewpoints, as well as educational visits to expand and consolidate knowledge even further.</w:t>
            </w:r>
            <w:r w:rsidR="00276247" w:rsidRPr="03A317DB">
              <w:rPr>
                <w:rFonts w:ascii="Calibri" w:eastAsia="Calibri" w:hAnsi="Calibri" w:cs="Calibri"/>
                <w:color w:val="000000" w:themeColor="text1"/>
                <w:sz w:val="19"/>
                <w:szCs w:val="19"/>
              </w:rPr>
              <w:t xml:space="preserve"> </w:t>
            </w:r>
            <w:r w:rsidRPr="03A317DB">
              <w:rPr>
                <w:rFonts w:ascii="Calibri" w:eastAsia="Calibri" w:hAnsi="Calibri" w:cs="Calibri"/>
                <w:color w:val="000000" w:themeColor="text1"/>
                <w:sz w:val="19"/>
                <w:szCs w:val="19"/>
              </w:rPr>
              <w:t xml:space="preserve">Lessons are often discussion based and allow the learners the opportunity to develop their understanding of the topics, form opinions and challenge their own </w:t>
            </w:r>
            <w:r w:rsidR="006C19A2" w:rsidRPr="03A317DB">
              <w:rPr>
                <w:rFonts w:ascii="Calibri" w:eastAsia="Calibri" w:hAnsi="Calibri" w:cs="Calibri"/>
                <w:color w:val="000000" w:themeColor="text1"/>
                <w:sz w:val="19"/>
                <w:szCs w:val="19"/>
              </w:rPr>
              <w:t xml:space="preserve">and each other’s </w:t>
            </w:r>
            <w:r w:rsidRPr="03A317DB">
              <w:rPr>
                <w:rFonts w:ascii="Calibri" w:eastAsia="Calibri" w:hAnsi="Calibri" w:cs="Calibri"/>
                <w:color w:val="000000" w:themeColor="text1"/>
                <w:sz w:val="19"/>
                <w:szCs w:val="19"/>
              </w:rPr>
              <w:t xml:space="preserve">preconceptions in a safe environment. We also explore the complex and conflicting range of values and attitudes present within the wider world, giving them the confidence to tackle many of the moral, </w:t>
            </w:r>
            <w:r w:rsidR="69EBC631" w:rsidRPr="03A317DB">
              <w:rPr>
                <w:rFonts w:ascii="Calibri" w:eastAsia="Calibri" w:hAnsi="Calibri" w:cs="Calibri"/>
                <w:color w:val="000000" w:themeColor="text1"/>
                <w:sz w:val="19"/>
                <w:szCs w:val="19"/>
              </w:rPr>
              <w:t>social,</w:t>
            </w:r>
            <w:r w:rsidRPr="03A317DB">
              <w:rPr>
                <w:rFonts w:ascii="Calibri" w:eastAsia="Calibri" w:hAnsi="Calibri" w:cs="Calibri"/>
                <w:color w:val="000000" w:themeColor="text1"/>
                <w:sz w:val="19"/>
                <w:szCs w:val="19"/>
              </w:rPr>
              <w:t xml:space="preserve"> and cultural issues that are part of growing up </w:t>
            </w:r>
            <w:bookmarkStart w:id="2" w:name="_Int_oAqZi6L3"/>
            <w:r w:rsidRPr="03A317DB">
              <w:rPr>
                <w:rFonts w:ascii="Calibri" w:eastAsia="Calibri" w:hAnsi="Calibri" w:cs="Calibri"/>
                <w:color w:val="000000" w:themeColor="text1"/>
                <w:sz w:val="19"/>
                <w:szCs w:val="19"/>
              </w:rPr>
              <w:t>in today’s society</w:t>
            </w:r>
            <w:bookmarkEnd w:id="2"/>
            <w:r w:rsidRPr="03A317DB">
              <w:rPr>
                <w:rFonts w:ascii="Calibri" w:eastAsia="Calibri" w:hAnsi="Calibri" w:cs="Calibri"/>
                <w:color w:val="000000" w:themeColor="text1"/>
                <w:sz w:val="19"/>
                <w:szCs w:val="19"/>
              </w:rPr>
              <w:t xml:space="preserve">. </w:t>
            </w:r>
            <w:r w:rsidR="00607766" w:rsidRPr="03A317DB">
              <w:rPr>
                <w:rFonts w:ascii="Calibri" w:eastAsia="Calibri" w:hAnsi="Calibri" w:cs="Calibri"/>
                <w:color w:val="000000" w:themeColor="text1"/>
                <w:sz w:val="19"/>
                <w:szCs w:val="19"/>
              </w:rPr>
              <w:t>By providing a</w:t>
            </w:r>
            <w:r w:rsidR="75EC95A1" w:rsidRPr="03A317DB">
              <w:rPr>
                <w:rFonts w:ascii="Calibri" w:eastAsia="Calibri" w:hAnsi="Calibri" w:cs="Calibri"/>
                <w:color w:val="000000" w:themeColor="text1"/>
                <w:sz w:val="19"/>
                <w:szCs w:val="19"/>
              </w:rPr>
              <w:t>n</w:t>
            </w:r>
            <w:r w:rsidR="00607766" w:rsidRPr="03A317DB">
              <w:rPr>
                <w:rFonts w:ascii="Calibri" w:eastAsia="Calibri" w:hAnsi="Calibri" w:cs="Calibri"/>
                <w:color w:val="000000" w:themeColor="text1"/>
                <w:sz w:val="19"/>
                <w:szCs w:val="19"/>
              </w:rPr>
              <w:t xml:space="preserve"> </w:t>
            </w:r>
            <w:r w:rsidR="32B6EB19" w:rsidRPr="03A317DB">
              <w:rPr>
                <w:rFonts w:ascii="Calibri" w:eastAsia="Calibri" w:hAnsi="Calibri" w:cs="Calibri"/>
                <w:color w:val="000000" w:themeColor="text1"/>
                <w:sz w:val="19"/>
                <w:szCs w:val="19"/>
              </w:rPr>
              <w:t>R</w:t>
            </w:r>
            <w:r w:rsidR="00607766" w:rsidRPr="03A317DB">
              <w:rPr>
                <w:rFonts w:ascii="Calibri" w:eastAsia="Calibri" w:hAnsi="Calibri" w:cs="Calibri"/>
                <w:color w:val="000000" w:themeColor="text1"/>
                <w:sz w:val="19"/>
                <w:szCs w:val="19"/>
              </w:rPr>
              <w:t xml:space="preserve">SHE curriculum that is accessible to </w:t>
            </w:r>
            <w:r w:rsidR="64C26A9F" w:rsidRPr="03A317DB">
              <w:rPr>
                <w:rFonts w:ascii="Calibri" w:eastAsia="Calibri" w:hAnsi="Calibri" w:cs="Calibri"/>
                <w:color w:val="000000" w:themeColor="text1"/>
                <w:sz w:val="19"/>
                <w:szCs w:val="19"/>
              </w:rPr>
              <w:t>all</w:t>
            </w:r>
            <w:r w:rsidR="00607766" w:rsidRPr="03A317DB">
              <w:rPr>
                <w:rFonts w:ascii="Calibri" w:eastAsia="Calibri" w:hAnsi="Calibri" w:cs="Calibri"/>
                <w:color w:val="000000" w:themeColor="text1"/>
                <w:sz w:val="19"/>
                <w:szCs w:val="19"/>
              </w:rPr>
              <w:t xml:space="preserve"> our learners, each of them will come to know more, remember </w:t>
            </w:r>
            <w:r w:rsidR="0E14F038" w:rsidRPr="03A317DB">
              <w:rPr>
                <w:rFonts w:ascii="Calibri" w:eastAsia="Calibri" w:hAnsi="Calibri" w:cs="Calibri"/>
                <w:color w:val="000000" w:themeColor="text1"/>
                <w:sz w:val="19"/>
                <w:szCs w:val="19"/>
              </w:rPr>
              <w:t>more,</w:t>
            </w:r>
            <w:r w:rsidR="00607766" w:rsidRPr="03A317DB">
              <w:rPr>
                <w:rFonts w:ascii="Calibri" w:eastAsia="Calibri" w:hAnsi="Calibri" w:cs="Calibri"/>
                <w:color w:val="000000" w:themeColor="text1"/>
                <w:sz w:val="19"/>
                <w:szCs w:val="19"/>
              </w:rPr>
              <w:t xml:space="preserve"> and understand more about how to play a positive and successful role within our society, both now and as an adult in the future.</w:t>
            </w:r>
          </w:p>
        </w:tc>
      </w:tr>
      <w:tr w:rsidR="00BB57DB" w14:paraId="7639B76D" w14:textId="77777777" w:rsidTr="0D3E8975">
        <w:tc>
          <w:tcPr>
            <w:tcW w:w="10910" w:type="dxa"/>
            <w:shd w:val="clear" w:color="auto" w:fill="112B43"/>
          </w:tcPr>
          <w:p w14:paraId="126BD043" w14:textId="77777777" w:rsidR="00BB57DB" w:rsidRPr="00BB57DB" w:rsidRDefault="00BB7DAA" w:rsidP="00991F99">
            <w:pPr>
              <w:jc w:val="right"/>
              <w:rPr>
                <w:b/>
                <w:bCs/>
                <w:lang w:val="en-US"/>
              </w:rPr>
            </w:pPr>
            <w:r>
              <w:rPr>
                <w:b/>
                <w:bCs/>
                <w:lang w:val="en-US"/>
              </w:rPr>
              <w:t>Curriculum Sequencing</w:t>
            </w:r>
          </w:p>
        </w:tc>
      </w:tr>
      <w:tr w:rsidR="00BB57DB" w14:paraId="14421F9C" w14:textId="77777777" w:rsidTr="0D3E8975">
        <w:tc>
          <w:tcPr>
            <w:tcW w:w="10910" w:type="dxa"/>
          </w:tcPr>
          <w:p w14:paraId="1C472E2D" w14:textId="392779CF" w:rsidR="007D62C5" w:rsidRPr="007D62C5" w:rsidRDefault="247042C9" w:rsidP="00607766">
            <w:pPr>
              <w:rPr>
                <w:rFonts w:ascii="Calibri" w:eastAsia="Calibri" w:hAnsi="Calibri" w:cs="Calibri"/>
                <w:color w:val="000000" w:themeColor="text1"/>
                <w:sz w:val="19"/>
                <w:szCs w:val="19"/>
                <w:lang w:val="en-US"/>
              </w:rPr>
            </w:pPr>
            <w:r w:rsidRPr="03A317DB">
              <w:rPr>
                <w:rFonts w:ascii="Calibri" w:eastAsia="Calibri" w:hAnsi="Calibri" w:cs="Calibri"/>
                <w:color w:val="000000" w:themeColor="text1"/>
                <w:sz w:val="19"/>
                <w:szCs w:val="19"/>
                <w:lang w:val="en-US"/>
              </w:rPr>
              <w:t>R</w:t>
            </w:r>
            <w:r w:rsidR="00820609" w:rsidRPr="03A317DB">
              <w:rPr>
                <w:rFonts w:ascii="Calibri" w:eastAsia="Calibri" w:hAnsi="Calibri" w:cs="Calibri"/>
                <w:color w:val="000000" w:themeColor="text1"/>
                <w:sz w:val="19"/>
                <w:szCs w:val="19"/>
                <w:lang w:val="en-US"/>
              </w:rPr>
              <w:t>HSE is delivered in weekly timeta</w:t>
            </w:r>
            <w:r w:rsidR="00607766" w:rsidRPr="03A317DB">
              <w:rPr>
                <w:rFonts w:ascii="Calibri" w:eastAsia="Calibri" w:hAnsi="Calibri" w:cs="Calibri"/>
                <w:color w:val="000000" w:themeColor="text1"/>
                <w:sz w:val="19"/>
                <w:szCs w:val="19"/>
                <w:lang w:val="en-US"/>
              </w:rPr>
              <w:t>bled sessions to all pupils and is provided within the framework of statutory guidelines, safeguarding and school policies, and the content of each lesson is age-specific, developmentally appropriate and tailored to meet the needs of each class with individual sessions being provided if necessary.</w:t>
            </w:r>
            <w:r w:rsidR="00820609" w:rsidRPr="03A317DB">
              <w:rPr>
                <w:rFonts w:ascii="Calibri" w:eastAsia="Calibri" w:hAnsi="Calibri" w:cs="Calibri"/>
                <w:color w:val="000000" w:themeColor="text1"/>
                <w:sz w:val="19"/>
                <w:szCs w:val="19"/>
                <w:lang w:val="en-US"/>
              </w:rPr>
              <w:t xml:space="preserve"> </w:t>
            </w:r>
            <w:r w:rsidR="553F083A" w:rsidRPr="03A317DB">
              <w:rPr>
                <w:rFonts w:ascii="Calibri" w:eastAsia="Calibri" w:hAnsi="Calibri" w:cs="Calibri"/>
                <w:color w:val="000000" w:themeColor="text1"/>
                <w:sz w:val="19"/>
                <w:szCs w:val="19"/>
                <w:lang w:val="en-US"/>
              </w:rPr>
              <w:t>Our curriculum develops skills in resilience, self-esteem, risk identification and management, teamwork, and critical thinking, and promotes all aspects of health and well-being.</w:t>
            </w:r>
            <w:r w:rsidR="00820609" w:rsidRPr="03A317DB">
              <w:rPr>
                <w:rFonts w:ascii="Calibri" w:eastAsia="Calibri" w:hAnsi="Calibri" w:cs="Calibri"/>
                <w:color w:val="000000" w:themeColor="text1"/>
                <w:sz w:val="19"/>
                <w:szCs w:val="19"/>
                <w:lang w:val="en-US"/>
              </w:rPr>
              <w:t xml:space="preserve"> Pupils are provided with many opportunities to explore, reflect </w:t>
            </w:r>
            <w:r w:rsidR="34917AD3" w:rsidRPr="03A317DB">
              <w:rPr>
                <w:rFonts w:ascii="Calibri" w:eastAsia="Calibri" w:hAnsi="Calibri" w:cs="Calibri"/>
                <w:color w:val="000000" w:themeColor="text1"/>
                <w:sz w:val="19"/>
                <w:szCs w:val="19"/>
                <w:lang w:val="en-US"/>
              </w:rPr>
              <w:t>on,</w:t>
            </w:r>
            <w:r w:rsidR="00820609" w:rsidRPr="03A317DB">
              <w:rPr>
                <w:rFonts w:ascii="Calibri" w:eastAsia="Calibri" w:hAnsi="Calibri" w:cs="Calibri"/>
                <w:color w:val="000000" w:themeColor="text1"/>
                <w:sz w:val="19"/>
                <w:szCs w:val="19"/>
                <w:lang w:val="en-US"/>
              </w:rPr>
              <w:t xml:space="preserve"> and develop their own values and outlooks, as well as considering a wide range of current affairs, ideas and attitudes that affect both themselves and society in general. These skills are taught in three different core themes: </w:t>
            </w:r>
          </w:p>
          <w:p w14:paraId="589B9F50" w14:textId="6665DD07" w:rsidR="007D62C5" w:rsidRPr="007D62C5" w:rsidRDefault="007D62C5" w:rsidP="007D62C5">
            <w:pPr>
              <w:rPr>
                <w:rFonts w:ascii="Calibri" w:eastAsia="Calibri" w:hAnsi="Calibri" w:cs="Calibri"/>
                <w:color w:val="000000" w:themeColor="text1"/>
                <w:sz w:val="19"/>
                <w:szCs w:val="19"/>
                <w:lang w:val="en-US"/>
              </w:rPr>
            </w:pPr>
            <w:r w:rsidRPr="03A317DB">
              <w:rPr>
                <w:rFonts w:ascii="Calibri" w:eastAsia="Calibri" w:hAnsi="Calibri" w:cs="Calibri"/>
                <w:b/>
                <w:bCs/>
                <w:color w:val="000000" w:themeColor="text1"/>
                <w:sz w:val="19"/>
                <w:szCs w:val="19"/>
                <w:lang w:val="en-US"/>
              </w:rPr>
              <w:t>Health and Wellbeing</w:t>
            </w:r>
            <w:r w:rsidRPr="03A317DB">
              <w:rPr>
                <w:rFonts w:ascii="Calibri" w:eastAsia="Calibri" w:hAnsi="Calibri" w:cs="Calibri"/>
                <w:color w:val="000000" w:themeColor="text1"/>
                <w:sz w:val="19"/>
                <w:szCs w:val="19"/>
                <w:lang w:val="en-US"/>
              </w:rPr>
              <w:t xml:space="preserve"> – this includes healthy lifestyles, drug and alcohol awareness, mental </w:t>
            </w:r>
            <w:bookmarkStart w:id="3" w:name="_Int_naLfOhbw"/>
            <w:r w:rsidRPr="03A317DB">
              <w:rPr>
                <w:rFonts w:ascii="Calibri" w:eastAsia="Calibri" w:hAnsi="Calibri" w:cs="Calibri"/>
                <w:color w:val="000000" w:themeColor="text1"/>
                <w:sz w:val="19"/>
                <w:szCs w:val="19"/>
                <w:lang w:val="en-US"/>
              </w:rPr>
              <w:t>health</w:t>
            </w:r>
            <w:bookmarkEnd w:id="3"/>
            <w:r w:rsidRPr="03A317DB">
              <w:rPr>
                <w:rFonts w:ascii="Calibri" w:eastAsia="Calibri" w:hAnsi="Calibri" w:cs="Calibri"/>
                <w:color w:val="000000" w:themeColor="text1"/>
                <w:sz w:val="19"/>
                <w:szCs w:val="19"/>
                <w:lang w:val="en-US"/>
              </w:rPr>
              <w:t xml:space="preserve"> and well-being, staying safe (physically, </w:t>
            </w:r>
            <w:r w:rsidR="57262C24" w:rsidRPr="03A317DB">
              <w:rPr>
                <w:rFonts w:ascii="Calibri" w:eastAsia="Calibri" w:hAnsi="Calibri" w:cs="Calibri"/>
                <w:color w:val="000000" w:themeColor="text1"/>
                <w:sz w:val="19"/>
                <w:szCs w:val="19"/>
                <w:lang w:val="en-US"/>
              </w:rPr>
              <w:t>emotionally,</w:t>
            </w:r>
            <w:r w:rsidRPr="03A317DB">
              <w:rPr>
                <w:rFonts w:ascii="Calibri" w:eastAsia="Calibri" w:hAnsi="Calibri" w:cs="Calibri"/>
                <w:color w:val="000000" w:themeColor="text1"/>
                <w:sz w:val="19"/>
                <w:szCs w:val="19"/>
                <w:lang w:val="en-US"/>
              </w:rPr>
              <w:t xml:space="preserve"> and mentally), sleep and personal hygiene</w:t>
            </w:r>
            <w:r w:rsidR="009B5739" w:rsidRPr="03A317DB">
              <w:rPr>
                <w:rFonts w:ascii="Calibri" w:eastAsia="Calibri" w:hAnsi="Calibri" w:cs="Calibri"/>
                <w:color w:val="000000" w:themeColor="text1"/>
                <w:sz w:val="19"/>
                <w:szCs w:val="19"/>
                <w:lang w:val="en-US"/>
              </w:rPr>
              <w:t>, as well as the practical application of First Aid and CPR</w:t>
            </w:r>
            <w:r w:rsidRPr="03A317DB">
              <w:rPr>
                <w:rFonts w:ascii="Calibri" w:eastAsia="Calibri" w:hAnsi="Calibri" w:cs="Calibri"/>
                <w:color w:val="000000" w:themeColor="text1"/>
                <w:sz w:val="19"/>
                <w:szCs w:val="19"/>
                <w:lang w:val="en-US"/>
              </w:rPr>
              <w:t>.</w:t>
            </w:r>
          </w:p>
          <w:p w14:paraId="7A3EF7F7" w14:textId="77777777" w:rsidR="007D62C5" w:rsidRPr="007D62C5" w:rsidRDefault="007D62C5" w:rsidP="007D62C5">
            <w:pPr>
              <w:rPr>
                <w:rFonts w:ascii="Calibri" w:eastAsia="Calibri" w:hAnsi="Calibri" w:cs="Calibri"/>
                <w:color w:val="000000" w:themeColor="text1"/>
                <w:sz w:val="19"/>
                <w:szCs w:val="19"/>
                <w:lang w:val="en-US"/>
              </w:rPr>
            </w:pPr>
            <w:r w:rsidRPr="00FB2072">
              <w:rPr>
                <w:rFonts w:ascii="Calibri" w:eastAsia="Calibri" w:hAnsi="Calibri" w:cs="Calibri"/>
                <w:b/>
                <w:color w:val="000000" w:themeColor="text1"/>
                <w:sz w:val="19"/>
                <w:szCs w:val="19"/>
                <w:lang w:val="en-US"/>
              </w:rPr>
              <w:t>Living in the Wider World</w:t>
            </w:r>
            <w:r w:rsidRPr="007D62C5">
              <w:rPr>
                <w:rFonts w:ascii="Calibri" w:eastAsia="Calibri" w:hAnsi="Calibri" w:cs="Calibri"/>
                <w:color w:val="000000" w:themeColor="text1"/>
                <w:sz w:val="19"/>
                <w:szCs w:val="19"/>
                <w:lang w:val="en-US"/>
              </w:rPr>
              <w:t xml:space="preserve"> – this includes topics such as gambling and gaming, equality of opportunity in life choices, digital literacy and online safety, media and social media influences, inequality and exploring </w:t>
            </w:r>
            <w:r w:rsidR="00607766">
              <w:rPr>
                <w:rFonts w:ascii="Calibri" w:eastAsia="Calibri" w:hAnsi="Calibri" w:cs="Calibri"/>
                <w:color w:val="000000" w:themeColor="text1"/>
                <w:sz w:val="19"/>
                <w:szCs w:val="19"/>
                <w:lang w:val="en-US"/>
              </w:rPr>
              <w:t>spirituality and culture</w:t>
            </w:r>
            <w:r w:rsidRPr="007D62C5">
              <w:rPr>
                <w:rFonts w:ascii="Calibri" w:eastAsia="Calibri" w:hAnsi="Calibri" w:cs="Calibri"/>
                <w:color w:val="000000" w:themeColor="text1"/>
                <w:sz w:val="19"/>
                <w:szCs w:val="19"/>
                <w:lang w:val="en-US"/>
              </w:rPr>
              <w:t>.</w:t>
            </w:r>
          </w:p>
          <w:p w14:paraId="5BC96EEB" w14:textId="78095B9C" w:rsidR="00820609" w:rsidRPr="007D0A82" w:rsidRDefault="007D62C5" w:rsidP="00607766">
            <w:pPr>
              <w:rPr>
                <w:rFonts w:ascii="Calibri" w:eastAsia="Calibri" w:hAnsi="Calibri" w:cs="Calibri"/>
                <w:color w:val="000000" w:themeColor="text1"/>
                <w:sz w:val="19"/>
                <w:szCs w:val="19"/>
                <w:lang w:val="en-US"/>
              </w:rPr>
            </w:pPr>
            <w:r w:rsidRPr="03A317DB">
              <w:rPr>
                <w:rFonts w:ascii="Calibri" w:eastAsia="Calibri" w:hAnsi="Calibri" w:cs="Calibri"/>
                <w:b/>
                <w:bCs/>
                <w:color w:val="000000" w:themeColor="text1"/>
                <w:sz w:val="19"/>
                <w:szCs w:val="19"/>
                <w:lang w:val="en-US"/>
              </w:rPr>
              <w:t>Relationships</w:t>
            </w:r>
            <w:r w:rsidRPr="03A317DB">
              <w:rPr>
                <w:rFonts w:ascii="Calibri" w:eastAsia="Calibri" w:hAnsi="Calibri" w:cs="Calibri"/>
                <w:color w:val="000000" w:themeColor="text1"/>
                <w:sz w:val="19"/>
                <w:szCs w:val="19"/>
                <w:lang w:val="en-US"/>
              </w:rPr>
              <w:t xml:space="preserve"> – in this strand, topics include diversity, prejudice, discrimination (in </w:t>
            </w:r>
            <w:r w:rsidR="1EC8498C" w:rsidRPr="03A317DB">
              <w:rPr>
                <w:rFonts w:ascii="Calibri" w:eastAsia="Calibri" w:hAnsi="Calibri" w:cs="Calibri"/>
                <w:color w:val="000000" w:themeColor="text1"/>
                <w:sz w:val="19"/>
                <w:szCs w:val="19"/>
                <w:lang w:val="en-US"/>
              </w:rPr>
              <w:t>all</w:t>
            </w:r>
            <w:r w:rsidRPr="03A317DB">
              <w:rPr>
                <w:rFonts w:ascii="Calibri" w:eastAsia="Calibri" w:hAnsi="Calibri" w:cs="Calibri"/>
                <w:color w:val="000000" w:themeColor="text1"/>
                <w:sz w:val="19"/>
                <w:szCs w:val="19"/>
                <w:lang w:val="en-US"/>
              </w:rPr>
              <w:t xml:space="preserve"> its forms), challenging extremism, bullying, healthy relationships, families and parenting responsibilities, relationship and sex education,</w:t>
            </w:r>
            <w:r w:rsidR="00607766" w:rsidRPr="03A317DB">
              <w:rPr>
                <w:rFonts w:ascii="Calibri" w:eastAsia="Calibri" w:hAnsi="Calibri" w:cs="Calibri"/>
                <w:color w:val="000000" w:themeColor="text1"/>
                <w:sz w:val="19"/>
                <w:szCs w:val="19"/>
                <w:lang w:val="en-US"/>
              </w:rPr>
              <w:t xml:space="preserve"> friendship, </w:t>
            </w:r>
            <w:r w:rsidR="0BF3CDEB" w:rsidRPr="03A317DB">
              <w:rPr>
                <w:rFonts w:ascii="Calibri" w:eastAsia="Calibri" w:hAnsi="Calibri" w:cs="Calibri"/>
                <w:color w:val="000000" w:themeColor="text1"/>
                <w:sz w:val="19"/>
                <w:szCs w:val="19"/>
                <w:lang w:val="en-US"/>
              </w:rPr>
              <w:t>love,</w:t>
            </w:r>
            <w:r w:rsidR="00607766" w:rsidRPr="03A317DB">
              <w:rPr>
                <w:rFonts w:ascii="Calibri" w:eastAsia="Calibri" w:hAnsi="Calibri" w:cs="Calibri"/>
                <w:color w:val="000000" w:themeColor="text1"/>
                <w:sz w:val="19"/>
                <w:szCs w:val="19"/>
                <w:lang w:val="en-US"/>
              </w:rPr>
              <w:t xml:space="preserve"> and romance. </w:t>
            </w:r>
          </w:p>
        </w:tc>
      </w:tr>
      <w:tr w:rsidR="00BB57DB" w14:paraId="4C609CA5" w14:textId="77777777" w:rsidTr="0D3E8975">
        <w:tc>
          <w:tcPr>
            <w:tcW w:w="10910" w:type="dxa"/>
            <w:shd w:val="clear" w:color="auto" w:fill="112B43"/>
          </w:tcPr>
          <w:p w14:paraId="12B53575" w14:textId="77777777" w:rsidR="00BB57DB" w:rsidRPr="00BB57DB" w:rsidRDefault="00D17D21" w:rsidP="00991F99">
            <w:pPr>
              <w:jc w:val="right"/>
              <w:rPr>
                <w:b/>
                <w:bCs/>
                <w:lang w:val="en-US"/>
              </w:rPr>
            </w:pPr>
            <w:r>
              <w:rPr>
                <w:b/>
                <w:bCs/>
                <w:lang w:val="en-US"/>
              </w:rPr>
              <w:t xml:space="preserve">Our Long-Term Plan </w:t>
            </w:r>
          </w:p>
        </w:tc>
      </w:tr>
      <w:tr w:rsidR="00BB57DB" w14:paraId="2B748277" w14:textId="77777777" w:rsidTr="0D3E8975">
        <w:tc>
          <w:tcPr>
            <w:tcW w:w="10910" w:type="dxa"/>
          </w:tcPr>
          <w:p w14:paraId="3C89DE1C" w14:textId="5329CCCC" w:rsidR="007D62C5" w:rsidRPr="007D62C5" w:rsidRDefault="007D62C5" w:rsidP="007D62C5">
            <w:pPr>
              <w:rPr>
                <w:sz w:val="20"/>
                <w:szCs w:val="20"/>
                <w:lang w:val="en-US"/>
              </w:rPr>
            </w:pPr>
            <w:r w:rsidRPr="03A317DB">
              <w:rPr>
                <w:b/>
                <w:bCs/>
                <w:sz w:val="20"/>
                <w:szCs w:val="20"/>
                <w:lang w:val="en-US"/>
              </w:rPr>
              <w:t>Key Stage 3</w:t>
            </w:r>
            <w:r w:rsidRPr="03A317DB">
              <w:rPr>
                <w:sz w:val="20"/>
                <w:szCs w:val="20"/>
                <w:lang w:val="en-US"/>
              </w:rPr>
              <w:t xml:space="preserve">: Pupils build on the knowledge and understanding, skills, </w:t>
            </w:r>
            <w:r w:rsidR="47410BDD" w:rsidRPr="03A317DB">
              <w:rPr>
                <w:sz w:val="20"/>
                <w:szCs w:val="20"/>
                <w:lang w:val="en-US"/>
              </w:rPr>
              <w:t>attributes,</w:t>
            </w:r>
            <w:r w:rsidRPr="03A317DB">
              <w:rPr>
                <w:sz w:val="20"/>
                <w:szCs w:val="20"/>
                <w:lang w:val="en-US"/>
              </w:rPr>
              <w:t xml:space="preserve"> and values they have acquired and developed during primary phase. Our </w:t>
            </w:r>
            <w:r w:rsidR="5053C2EF" w:rsidRPr="03A317DB">
              <w:rPr>
                <w:sz w:val="20"/>
                <w:szCs w:val="20"/>
                <w:lang w:val="en-US"/>
              </w:rPr>
              <w:t>R</w:t>
            </w:r>
            <w:r w:rsidRPr="03A317DB">
              <w:rPr>
                <w:sz w:val="20"/>
                <w:szCs w:val="20"/>
                <w:lang w:val="en-US"/>
              </w:rPr>
              <w:t>SHE curriculum acknowledges and addresses the changes that young people experience, beginning with transition to secondary phase, the challenges of adolescence and their increasing independence. It teaches the knowledge and skills which equip them for the opportunities and challenges of life</w:t>
            </w:r>
            <w:r w:rsidR="009C4CB7" w:rsidRPr="03A317DB">
              <w:rPr>
                <w:sz w:val="20"/>
                <w:szCs w:val="20"/>
                <w:lang w:val="en-US"/>
              </w:rPr>
              <w:t>, with a strong focus on keeping themselves safe and well in all aspects of their lives</w:t>
            </w:r>
            <w:r w:rsidRPr="03A317DB">
              <w:rPr>
                <w:sz w:val="20"/>
                <w:szCs w:val="20"/>
                <w:lang w:val="en-US"/>
              </w:rPr>
              <w:t>. Pupils learn to manage diverse relationships, their online lives and the increasing in</w:t>
            </w:r>
            <w:r w:rsidR="009C4CB7" w:rsidRPr="03A317DB">
              <w:rPr>
                <w:sz w:val="20"/>
                <w:szCs w:val="20"/>
                <w:lang w:val="en-US"/>
              </w:rPr>
              <w:t xml:space="preserve">fluence of peers and the media, and how to recognize and respond safely to risk both within and outside of school. </w:t>
            </w:r>
          </w:p>
          <w:p w14:paraId="3E65A085" w14:textId="522A611D" w:rsidR="00D30E8A" w:rsidRPr="00EE1A0B" w:rsidRDefault="007D62C5" w:rsidP="009C4CB7">
            <w:pPr>
              <w:rPr>
                <w:sz w:val="20"/>
                <w:szCs w:val="20"/>
                <w:lang w:val="en-US"/>
              </w:rPr>
            </w:pPr>
            <w:r w:rsidRPr="03A317DB">
              <w:rPr>
                <w:b/>
                <w:bCs/>
                <w:sz w:val="20"/>
                <w:szCs w:val="20"/>
                <w:lang w:val="en-US"/>
              </w:rPr>
              <w:t>Key Stage 4</w:t>
            </w:r>
            <w:r w:rsidRPr="03A317DB">
              <w:rPr>
                <w:sz w:val="20"/>
                <w:szCs w:val="20"/>
                <w:lang w:val="en-US"/>
              </w:rPr>
              <w:t xml:space="preserve">: Pupils deepen </w:t>
            </w:r>
            <w:r w:rsidR="614B2A83" w:rsidRPr="03A317DB">
              <w:rPr>
                <w:sz w:val="20"/>
                <w:szCs w:val="20"/>
                <w:lang w:val="en-US"/>
              </w:rPr>
              <w:t xml:space="preserve">their </w:t>
            </w:r>
            <w:r w:rsidRPr="03A317DB">
              <w:rPr>
                <w:sz w:val="20"/>
                <w:szCs w:val="20"/>
                <w:lang w:val="en-US"/>
              </w:rPr>
              <w:t xml:space="preserve">knowledge and understanding, extend and rehearse skills, and further explore attitudes, values and attributes acquired during key stage 3. Our </w:t>
            </w:r>
            <w:r w:rsidR="71D67049" w:rsidRPr="03A317DB">
              <w:rPr>
                <w:sz w:val="20"/>
                <w:szCs w:val="20"/>
                <w:lang w:val="en-US"/>
              </w:rPr>
              <w:t>R</w:t>
            </w:r>
            <w:r w:rsidRPr="03A317DB">
              <w:rPr>
                <w:sz w:val="20"/>
                <w:szCs w:val="20"/>
                <w:lang w:val="en-US"/>
              </w:rPr>
              <w:t>SHE curriculum reflects the fact that pupils are moving towards an independent role in adult life, taking greater responsibility for themselves and others, and teach</w:t>
            </w:r>
            <w:r w:rsidR="00D30E8A" w:rsidRPr="03A317DB">
              <w:rPr>
                <w:sz w:val="20"/>
                <w:szCs w:val="20"/>
                <w:lang w:val="en-US"/>
              </w:rPr>
              <w:t>es them about making responsible health choices, safety in independent contexts, different families and parental responsibilities, communication within equal relationships including managing conflict in a safe and respectful way, healthy relationship expectations</w:t>
            </w:r>
            <w:r w:rsidR="009C4CB7" w:rsidRPr="03A317DB">
              <w:rPr>
                <w:sz w:val="20"/>
                <w:szCs w:val="20"/>
                <w:lang w:val="en-US"/>
              </w:rPr>
              <w:t>,</w:t>
            </w:r>
            <w:r w:rsidR="00D30E8A" w:rsidRPr="03A317DB">
              <w:rPr>
                <w:sz w:val="20"/>
                <w:szCs w:val="20"/>
                <w:lang w:val="en-US"/>
              </w:rPr>
              <w:t xml:space="preserve"> and how to recognize and respond to</w:t>
            </w:r>
            <w:r w:rsidR="009C4CB7" w:rsidRPr="03A317DB">
              <w:rPr>
                <w:sz w:val="20"/>
                <w:szCs w:val="20"/>
                <w:lang w:val="en-US"/>
              </w:rPr>
              <w:t xml:space="preserve"> more mature</w:t>
            </w:r>
            <w:r w:rsidR="00D30E8A" w:rsidRPr="03A317DB">
              <w:rPr>
                <w:sz w:val="20"/>
                <w:szCs w:val="20"/>
                <w:lang w:val="en-US"/>
              </w:rPr>
              <w:t xml:space="preserve"> external influences such as gambling ‘hooks’</w:t>
            </w:r>
            <w:r w:rsidR="009C4CB7" w:rsidRPr="03A317DB">
              <w:rPr>
                <w:sz w:val="20"/>
                <w:szCs w:val="20"/>
                <w:lang w:val="en-US"/>
              </w:rPr>
              <w:t>. There is a stronger emphasis on them learning how to safeguard their own health and wellbeing rather than relying on others to do this.</w:t>
            </w:r>
            <w:r w:rsidR="00D30E8A" w:rsidRPr="03A317DB">
              <w:rPr>
                <w:sz w:val="20"/>
                <w:szCs w:val="20"/>
                <w:lang w:val="en-US"/>
              </w:rPr>
              <w:t xml:space="preserve"> </w:t>
            </w:r>
          </w:p>
        </w:tc>
      </w:tr>
      <w:tr w:rsidR="00BB7DAA" w14:paraId="73A90C90" w14:textId="77777777" w:rsidTr="0D3E8975">
        <w:tc>
          <w:tcPr>
            <w:tcW w:w="10910" w:type="dxa"/>
            <w:shd w:val="clear" w:color="auto" w:fill="112B43"/>
          </w:tcPr>
          <w:p w14:paraId="450B0347"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14:paraId="183C2B58" w14:textId="77777777" w:rsidTr="0D3E8975">
        <w:tc>
          <w:tcPr>
            <w:tcW w:w="10910" w:type="dxa"/>
          </w:tcPr>
          <w:p w14:paraId="37FE90A7" w14:textId="5B2A7F91" w:rsidR="00BB7DAA" w:rsidRPr="005267A0" w:rsidRDefault="378ABFB0" w:rsidP="00A02A6E">
            <w:pPr>
              <w:rPr>
                <w:rFonts w:ascii="Calibri" w:hAnsi="Calibri" w:cs="Calibri"/>
                <w:sz w:val="20"/>
                <w:szCs w:val="20"/>
                <w:lang w:val="en-US"/>
              </w:rPr>
            </w:pPr>
            <w:r w:rsidRPr="0D3E8975">
              <w:rPr>
                <w:rFonts w:ascii="Calibri" w:hAnsi="Calibri" w:cs="Calibri"/>
                <w:sz w:val="20"/>
                <w:szCs w:val="20"/>
                <w:lang w:val="en-US"/>
              </w:rPr>
              <w:t xml:space="preserve">Within each topic, a variety of types of </w:t>
            </w:r>
            <w:r w:rsidR="00D95206" w:rsidRPr="0D3E8975">
              <w:rPr>
                <w:rFonts w:ascii="Calibri" w:hAnsi="Calibri" w:cs="Calibri"/>
                <w:sz w:val="20"/>
                <w:szCs w:val="20"/>
                <w:lang w:val="en-US"/>
              </w:rPr>
              <w:t>formative and summative asses</w:t>
            </w:r>
            <w:r w:rsidRPr="0D3E8975">
              <w:rPr>
                <w:rFonts w:ascii="Calibri" w:hAnsi="Calibri" w:cs="Calibri"/>
                <w:sz w:val="20"/>
                <w:szCs w:val="20"/>
                <w:lang w:val="en-US"/>
              </w:rPr>
              <w:t>sment take place</w:t>
            </w:r>
            <w:r w:rsidR="00D95206" w:rsidRPr="0D3E8975">
              <w:rPr>
                <w:rFonts w:ascii="Calibri" w:hAnsi="Calibri" w:cs="Calibri"/>
                <w:sz w:val="20"/>
                <w:szCs w:val="20"/>
                <w:lang w:val="en-US"/>
              </w:rPr>
              <w:t xml:space="preserve">, as well as opportunities </w:t>
            </w:r>
            <w:r w:rsidRPr="0D3E8975">
              <w:rPr>
                <w:rFonts w:ascii="Calibri" w:hAnsi="Calibri" w:cs="Calibri"/>
                <w:sz w:val="20"/>
                <w:szCs w:val="20"/>
                <w:lang w:val="en-US"/>
              </w:rPr>
              <w:t xml:space="preserve">to peer and self-assess; these include sorting and matching tasks, attitude continuums, </w:t>
            </w:r>
            <w:r w:rsidR="4E1FD41C" w:rsidRPr="0D3E8975">
              <w:rPr>
                <w:rFonts w:ascii="Calibri" w:hAnsi="Calibri" w:cs="Calibri"/>
                <w:sz w:val="20"/>
                <w:szCs w:val="20"/>
                <w:lang w:val="en-US"/>
              </w:rPr>
              <w:t>quizzes,</w:t>
            </w:r>
            <w:r w:rsidRPr="0D3E8975">
              <w:rPr>
                <w:rFonts w:ascii="Calibri" w:hAnsi="Calibri" w:cs="Calibri"/>
                <w:sz w:val="20"/>
                <w:szCs w:val="20"/>
                <w:lang w:val="en-US"/>
              </w:rPr>
              <w:t xml:space="preserve"> and before/after activities. </w:t>
            </w:r>
            <w:r w:rsidR="00D95206" w:rsidRPr="0D3E8975">
              <w:rPr>
                <w:rFonts w:ascii="Calibri" w:hAnsi="Calibri" w:cs="Calibri"/>
                <w:sz w:val="20"/>
                <w:szCs w:val="20"/>
                <w:lang w:val="en-US"/>
              </w:rPr>
              <w:t>Progress is also assessed against ‘I can statements’ half-termly</w:t>
            </w:r>
            <w:r w:rsidR="16F11188" w:rsidRPr="0D3E8975">
              <w:rPr>
                <w:rFonts w:ascii="Calibri" w:hAnsi="Calibri" w:cs="Calibri"/>
                <w:sz w:val="20"/>
                <w:szCs w:val="20"/>
                <w:lang w:val="en-US"/>
              </w:rPr>
              <w:t xml:space="preserve"> for knowledge and </w:t>
            </w:r>
            <w:r w:rsidR="2F1A2091" w:rsidRPr="0D3E8975">
              <w:rPr>
                <w:rFonts w:ascii="Calibri" w:hAnsi="Calibri" w:cs="Calibri"/>
                <w:sz w:val="20"/>
                <w:szCs w:val="20"/>
                <w:lang w:val="en-US"/>
              </w:rPr>
              <w:t>understanding as well as</w:t>
            </w:r>
            <w:r w:rsidR="16F11188" w:rsidRPr="0D3E8975">
              <w:rPr>
                <w:rFonts w:ascii="Calibri" w:hAnsi="Calibri" w:cs="Calibri"/>
                <w:sz w:val="20"/>
                <w:szCs w:val="20"/>
                <w:lang w:val="en-US"/>
              </w:rPr>
              <w:t xml:space="preserve"> speaking and lis</w:t>
            </w:r>
            <w:r w:rsidR="23262CEF" w:rsidRPr="0D3E8975">
              <w:rPr>
                <w:rFonts w:ascii="Calibri" w:hAnsi="Calibri" w:cs="Calibri"/>
                <w:sz w:val="20"/>
                <w:szCs w:val="20"/>
                <w:lang w:val="en-US"/>
              </w:rPr>
              <w:t>tening skills.</w:t>
            </w:r>
          </w:p>
        </w:tc>
      </w:tr>
    </w:tbl>
    <w:p w14:paraId="5DAB6C7B" w14:textId="77777777" w:rsidR="00BB57DB" w:rsidRDefault="00BB57DB">
      <w:pPr>
        <w:rPr>
          <w:sz w:val="6"/>
          <w:szCs w:val="6"/>
          <w:lang w:val="en-US"/>
        </w:rPr>
      </w:pPr>
    </w:p>
    <w:p w14:paraId="5913B026" w14:textId="4CDCDC21" w:rsidR="03A317DB" w:rsidRDefault="03A317DB" w:rsidP="03A317DB">
      <w:pPr>
        <w:rPr>
          <w:sz w:val="6"/>
          <w:szCs w:val="6"/>
          <w:lang w:val="en-US"/>
        </w:rPr>
      </w:pPr>
    </w:p>
    <w:p w14:paraId="26B750C5" w14:textId="0800120B" w:rsidR="03A317DB" w:rsidRDefault="03A317DB" w:rsidP="03A317DB">
      <w:pPr>
        <w:rPr>
          <w:sz w:val="6"/>
          <w:szCs w:val="6"/>
          <w:lang w:val="en-US"/>
        </w:rPr>
      </w:pPr>
    </w:p>
    <w:p w14:paraId="318A86E8" w14:textId="7C1DCA0A" w:rsidR="03A317DB" w:rsidRDefault="03A317DB" w:rsidP="03A317DB">
      <w:pPr>
        <w:rPr>
          <w:sz w:val="6"/>
          <w:szCs w:val="6"/>
          <w:lang w:val="en-US"/>
        </w:rPr>
      </w:pPr>
    </w:p>
    <w:p w14:paraId="266A4C84" w14:textId="16426ACD" w:rsidR="03A317DB" w:rsidRDefault="03A317DB" w:rsidP="03A317DB">
      <w:pPr>
        <w:rPr>
          <w:sz w:val="6"/>
          <w:szCs w:val="6"/>
          <w:lang w:val="en-US"/>
        </w:rPr>
      </w:pPr>
    </w:p>
    <w:p w14:paraId="3B7AF6F9" w14:textId="45CF765D" w:rsidR="03A317DB" w:rsidRDefault="03A317DB" w:rsidP="03A317DB">
      <w:pPr>
        <w:rPr>
          <w:sz w:val="6"/>
          <w:szCs w:val="6"/>
          <w:lang w:val="en-US"/>
        </w:rPr>
      </w:pPr>
    </w:p>
    <w:p w14:paraId="5286D522" w14:textId="77777777" w:rsidR="000A4972" w:rsidRDefault="000A4972" w:rsidP="03A317DB">
      <w:pPr>
        <w:rPr>
          <w:sz w:val="6"/>
          <w:szCs w:val="6"/>
          <w:lang w:val="en-US"/>
        </w:rPr>
      </w:pPr>
    </w:p>
    <w:p w14:paraId="5E863ABF" w14:textId="77777777" w:rsidR="000A4972" w:rsidRDefault="000A4972" w:rsidP="03A317DB">
      <w:pPr>
        <w:rPr>
          <w:sz w:val="6"/>
          <w:szCs w:val="6"/>
          <w:lang w:val="en-US"/>
        </w:rPr>
      </w:pPr>
    </w:p>
    <w:p w14:paraId="36FBC59F" w14:textId="77777777" w:rsidR="000A4972" w:rsidRDefault="000A4972" w:rsidP="03A317DB">
      <w:pPr>
        <w:rPr>
          <w:sz w:val="6"/>
          <w:szCs w:val="6"/>
          <w:lang w:val="en-US"/>
        </w:rPr>
      </w:pPr>
    </w:p>
    <w:p w14:paraId="7179DDA6" w14:textId="77777777" w:rsidR="000A4972" w:rsidRDefault="000A4972" w:rsidP="03A317DB">
      <w:pPr>
        <w:rPr>
          <w:sz w:val="6"/>
          <w:szCs w:val="6"/>
          <w:lang w:val="en-US"/>
        </w:rPr>
      </w:pPr>
    </w:p>
    <w:p w14:paraId="07795A54" w14:textId="77777777" w:rsidR="000A4972" w:rsidRDefault="000A4972" w:rsidP="03A317DB">
      <w:pPr>
        <w:rPr>
          <w:sz w:val="6"/>
          <w:szCs w:val="6"/>
          <w:lang w:val="en-US"/>
        </w:rPr>
      </w:pPr>
    </w:p>
    <w:p w14:paraId="4E2625A3" w14:textId="77777777" w:rsidR="000A4972" w:rsidRDefault="000A4972" w:rsidP="03A317DB">
      <w:pPr>
        <w:rPr>
          <w:sz w:val="6"/>
          <w:szCs w:val="6"/>
          <w:lang w:val="en-US"/>
        </w:rPr>
      </w:pPr>
    </w:p>
    <w:p w14:paraId="0F532491" w14:textId="77624ABE" w:rsidR="03A317DB" w:rsidRDefault="03A317DB" w:rsidP="03A317DB">
      <w:pPr>
        <w:rPr>
          <w:sz w:val="6"/>
          <w:szCs w:val="6"/>
          <w:lang w:val="en-US"/>
        </w:rPr>
      </w:pPr>
    </w:p>
    <w:p w14:paraId="02EB378F" w14:textId="77777777" w:rsidR="009B5739" w:rsidRPr="00C429BC" w:rsidRDefault="009B5739">
      <w:pPr>
        <w:rPr>
          <w:sz w:val="6"/>
          <w:szCs w:val="6"/>
          <w:lang w:val="en-US"/>
        </w:rPr>
      </w:pPr>
    </w:p>
    <w:tbl>
      <w:tblPr>
        <w:tblStyle w:val="TableGrid"/>
        <w:tblW w:w="10910" w:type="dxa"/>
        <w:tblLook w:val="04A0" w:firstRow="1" w:lastRow="0" w:firstColumn="1" w:lastColumn="0" w:noHBand="0" w:noVBand="1"/>
      </w:tblPr>
      <w:tblGrid>
        <w:gridCol w:w="2122"/>
        <w:gridCol w:w="8788"/>
      </w:tblGrid>
      <w:tr w:rsidR="00F643EF" w14:paraId="2F52474D" w14:textId="77777777" w:rsidTr="0D3E8975">
        <w:tc>
          <w:tcPr>
            <w:tcW w:w="10910" w:type="dxa"/>
            <w:gridSpan w:val="2"/>
            <w:shd w:val="clear" w:color="auto" w:fill="112B43"/>
          </w:tcPr>
          <w:p w14:paraId="4E682419" w14:textId="77777777" w:rsidR="00F643EF" w:rsidRPr="00BB57DB" w:rsidRDefault="00991F99" w:rsidP="00991F99">
            <w:pPr>
              <w:jc w:val="right"/>
              <w:rPr>
                <w:b/>
                <w:bCs/>
                <w:lang w:val="en-US"/>
              </w:rPr>
            </w:pPr>
            <w:r>
              <w:rPr>
                <w:b/>
                <w:bCs/>
                <w:lang w:val="en-US"/>
              </w:rPr>
              <w:lastRenderedPageBreak/>
              <w:t xml:space="preserve">Pine Green Curriculum </w:t>
            </w:r>
          </w:p>
        </w:tc>
      </w:tr>
      <w:tr w:rsidR="00D17D21" w14:paraId="4D037C38" w14:textId="77777777" w:rsidTr="0D3E8975">
        <w:tc>
          <w:tcPr>
            <w:tcW w:w="2122" w:type="dxa"/>
            <w:shd w:val="clear" w:color="auto" w:fill="112B43"/>
          </w:tcPr>
          <w:p w14:paraId="2B81FED3" w14:textId="77777777" w:rsidR="00D17D21" w:rsidRPr="00BB57DB" w:rsidRDefault="00991F99" w:rsidP="00991F99">
            <w:pPr>
              <w:jc w:val="right"/>
              <w:rPr>
                <w:b/>
                <w:bCs/>
                <w:lang w:val="en-US"/>
              </w:rPr>
            </w:pPr>
            <w:r>
              <w:rPr>
                <w:b/>
                <w:bCs/>
                <w:lang w:val="en-US"/>
              </w:rPr>
              <w:t xml:space="preserve">Our Curriculum </w:t>
            </w:r>
          </w:p>
        </w:tc>
        <w:tc>
          <w:tcPr>
            <w:tcW w:w="8788" w:type="dxa"/>
            <w:shd w:val="clear" w:color="auto" w:fill="112B43"/>
          </w:tcPr>
          <w:p w14:paraId="3114BE77"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9F24AA" w14:paraId="04443C93" w14:textId="77777777" w:rsidTr="0D3E8975">
        <w:tc>
          <w:tcPr>
            <w:tcW w:w="2122" w:type="dxa"/>
            <w:shd w:val="clear" w:color="auto" w:fill="auto"/>
          </w:tcPr>
          <w:p w14:paraId="6A1BD751" w14:textId="77777777" w:rsidR="009F24AA" w:rsidRPr="007D0A82" w:rsidRDefault="009F24AA" w:rsidP="009F24AA">
            <w:pPr>
              <w:rPr>
                <w:b/>
                <w:bCs/>
                <w:sz w:val="19"/>
                <w:szCs w:val="19"/>
                <w:lang w:val="en-US"/>
              </w:rPr>
            </w:pPr>
            <w:r w:rsidRPr="007D0A82">
              <w:rPr>
                <w:b/>
                <w:bCs/>
                <w:sz w:val="19"/>
                <w:szCs w:val="19"/>
                <w:lang w:val="en-US"/>
              </w:rPr>
              <w:t>Confidence, Independence &amp; Resilience</w:t>
            </w:r>
          </w:p>
        </w:tc>
        <w:tc>
          <w:tcPr>
            <w:tcW w:w="8788" w:type="dxa"/>
            <w:shd w:val="clear" w:color="auto" w:fill="auto"/>
          </w:tcPr>
          <w:p w14:paraId="6C3AD7F5" w14:textId="1E3A0A04" w:rsidR="009F24AA" w:rsidRPr="007D0A82" w:rsidRDefault="6512D5A4" w:rsidP="03A317DB">
            <w:pPr>
              <w:rPr>
                <w:rFonts w:eastAsiaTheme="minorEastAsia"/>
                <w:color w:val="000000" w:themeColor="text1"/>
                <w:sz w:val="19"/>
                <w:szCs w:val="19"/>
                <w:lang w:val="en-US"/>
              </w:rPr>
            </w:pPr>
            <w:r w:rsidRPr="03A317DB">
              <w:rPr>
                <w:rFonts w:eastAsiaTheme="minorEastAsia"/>
                <w:color w:val="000000" w:themeColor="text1"/>
                <w:sz w:val="19"/>
                <w:szCs w:val="19"/>
                <w:lang w:val="en-US"/>
              </w:rPr>
              <w:t>R</w:t>
            </w:r>
            <w:r w:rsidR="12095DB2" w:rsidRPr="03A317DB">
              <w:rPr>
                <w:rFonts w:eastAsiaTheme="minorEastAsia"/>
                <w:color w:val="000000" w:themeColor="text1"/>
                <w:sz w:val="19"/>
                <w:szCs w:val="19"/>
                <w:lang w:val="en-US"/>
              </w:rPr>
              <w:t>SHE</w:t>
            </w:r>
            <w:r w:rsidR="00276247" w:rsidRPr="03A317DB">
              <w:rPr>
                <w:rFonts w:eastAsiaTheme="minorEastAsia"/>
                <w:color w:val="000000" w:themeColor="text1"/>
                <w:sz w:val="19"/>
                <w:szCs w:val="19"/>
                <w:lang w:val="en-US"/>
              </w:rPr>
              <w:t xml:space="preserve"> helps young people to embrace change and identify healthy coping strategies for challenging times, which in turn develops resilience, </w:t>
            </w:r>
            <w:r w:rsidR="007985D5" w:rsidRPr="03A317DB">
              <w:rPr>
                <w:rFonts w:eastAsiaTheme="minorEastAsia"/>
                <w:color w:val="000000" w:themeColor="text1"/>
                <w:sz w:val="19"/>
                <w:szCs w:val="19"/>
                <w:lang w:val="en-US"/>
              </w:rPr>
              <w:t>confidence,</w:t>
            </w:r>
            <w:r w:rsidR="00276247" w:rsidRPr="03A317DB">
              <w:rPr>
                <w:rFonts w:eastAsiaTheme="minorEastAsia"/>
                <w:color w:val="000000" w:themeColor="text1"/>
                <w:sz w:val="19"/>
                <w:szCs w:val="19"/>
                <w:lang w:val="en-US"/>
              </w:rPr>
              <w:t xml:space="preserve"> and self-esteem. This is achieved by supporting learners to </w:t>
            </w:r>
            <w:proofErr w:type="spellStart"/>
            <w:r w:rsidR="00276247" w:rsidRPr="03A317DB">
              <w:rPr>
                <w:rFonts w:eastAsiaTheme="minorEastAsia"/>
                <w:color w:val="000000" w:themeColor="text1"/>
                <w:sz w:val="19"/>
                <w:szCs w:val="19"/>
                <w:lang w:val="en-US"/>
              </w:rPr>
              <w:t>recognise</w:t>
            </w:r>
            <w:proofErr w:type="spellEnd"/>
            <w:r w:rsidR="00276247" w:rsidRPr="03A317DB">
              <w:rPr>
                <w:rFonts w:eastAsiaTheme="minorEastAsia"/>
                <w:color w:val="000000" w:themeColor="text1"/>
                <w:sz w:val="19"/>
                <w:szCs w:val="19"/>
                <w:lang w:val="en-US"/>
              </w:rPr>
              <w:t xml:space="preserve"> and manage risk; to make well-informed and effective decisions; to take increasing responsibility for themselves, their </w:t>
            </w:r>
            <w:r w:rsidR="19C2879D" w:rsidRPr="03A317DB">
              <w:rPr>
                <w:rFonts w:eastAsiaTheme="minorEastAsia"/>
                <w:color w:val="000000" w:themeColor="text1"/>
                <w:sz w:val="19"/>
                <w:szCs w:val="19"/>
                <w:lang w:val="en-US"/>
              </w:rPr>
              <w:t>choices,</w:t>
            </w:r>
            <w:r w:rsidR="00276247" w:rsidRPr="03A317DB">
              <w:rPr>
                <w:rFonts w:eastAsiaTheme="minorEastAsia"/>
                <w:color w:val="000000" w:themeColor="text1"/>
                <w:sz w:val="19"/>
                <w:szCs w:val="19"/>
                <w:lang w:val="en-US"/>
              </w:rPr>
              <w:t xml:space="preserve"> and </w:t>
            </w:r>
            <w:proofErr w:type="spellStart"/>
            <w:r w:rsidR="00276247" w:rsidRPr="03A317DB">
              <w:rPr>
                <w:rFonts w:eastAsiaTheme="minorEastAsia"/>
                <w:color w:val="000000" w:themeColor="text1"/>
                <w:sz w:val="19"/>
                <w:szCs w:val="19"/>
                <w:lang w:val="en-US"/>
              </w:rPr>
              <w:t>behaviours</w:t>
            </w:r>
            <w:proofErr w:type="spellEnd"/>
            <w:r w:rsidR="00276247" w:rsidRPr="03A317DB">
              <w:rPr>
                <w:rFonts w:eastAsiaTheme="minorEastAsia"/>
                <w:color w:val="000000" w:themeColor="text1"/>
                <w:sz w:val="19"/>
                <w:szCs w:val="19"/>
                <w:lang w:val="en-US"/>
              </w:rPr>
              <w:t>; to actively participate in positive learning.</w:t>
            </w:r>
          </w:p>
        </w:tc>
      </w:tr>
      <w:tr w:rsidR="009F24AA" w14:paraId="554BC246" w14:textId="77777777" w:rsidTr="0D3E8975">
        <w:tc>
          <w:tcPr>
            <w:tcW w:w="2122" w:type="dxa"/>
            <w:shd w:val="clear" w:color="auto" w:fill="auto"/>
          </w:tcPr>
          <w:p w14:paraId="2AD4B341" w14:textId="77777777" w:rsidR="009F24AA" w:rsidRPr="007D0A82" w:rsidRDefault="009F24AA" w:rsidP="009F24AA">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Pr>
          <w:p w14:paraId="222C03C2" w14:textId="42EB141E" w:rsidR="009F24AA" w:rsidRPr="007D0A82" w:rsidRDefault="006C19A2" w:rsidP="03A317DB">
            <w:pPr>
              <w:rPr>
                <w:rFonts w:ascii="Calibri" w:eastAsia="Calibri" w:hAnsi="Calibri" w:cs="Calibri"/>
                <w:color w:val="000000" w:themeColor="text1"/>
                <w:sz w:val="19"/>
                <w:szCs w:val="19"/>
                <w:lang w:val="en-US"/>
              </w:rPr>
            </w:pPr>
            <w:r w:rsidRPr="03A317DB">
              <w:rPr>
                <w:rFonts w:ascii="Calibri" w:eastAsia="Calibri" w:hAnsi="Calibri" w:cs="Calibri"/>
                <w:color w:val="000000" w:themeColor="text1"/>
                <w:sz w:val="19"/>
                <w:szCs w:val="19"/>
                <w:lang w:val="en-US"/>
              </w:rPr>
              <w:t xml:space="preserve">We </w:t>
            </w:r>
            <w:r w:rsidR="53E06D07" w:rsidRPr="03A317DB">
              <w:rPr>
                <w:rFonts w:ascii="Calibri" w:eastAsia="Calibri" w:hAnsi="Calibri" w:cs="Calibri"/>
                <w:color w:val="000000" w:themeColor="text1"/>
                <w:sz w:val="19"/>
                <w:szCs w:val="19"/>
                <w:lang w:val="en-US"/>
              </w:rPr>
              <w:t>are enabling</w:t>
            </w:r>
            <w:r w:rsidR="38FEADCF" w:rsidRPr="03A317DB">
              <w:rPr>
                <w:rFonts w:ascii="Calibri" w:eastAsia="Calibri" w:hAnsi="Calibri" w:cs="Calibri"/>
                <w:color w:val="000000" w:themeColor="text1"/>
                <w:sz w:val="19"/>
                <w:szCs w:val="19"/>
                <w:lang w:val="en-US"/>
              </w:rPr>
              <w:t xml:space="preserve"> students</w:t>
            </w:r>
            <w:r w:rsidR="1D512472" w:rsidRPr="03A317DB">
              <w:rPr>
                <w:rFonts w:ascii="Calibri" w:eastAsia="Calibri" w:hAnsi="Calibri" w:cs="Calibri"/>
                <w:color w:val="000000" w:themeColor="text1"/>
                <w:sz w:val="19"/>
                <w:szCs w:val="19"/>
                <w:lang w:val="en-US"/>
              </w:rPr>
              <w:t xml:space="preserve"> to become empathetic and reflective,</w:t>
            </w:r>
            <w:r w:rsidRPr="03A317DB">
              <w:rPr>
                <w:rFonts w:ascii="Calibri" w:eastAsia="Calibri" w:hAnsi="Calibri" w:cs="Calibri"/>
                <w:color w:val="000000" w:themeColor="text1"/>
                <w:sz w:val="19"/>
                <w:szCs w:val="19"/>
                <w:lang w:val="en-US"/>
              </w:rPr>
              <w:t xml:space="preserve"> </w:t>
            </w:r>
            <w:r w:rsidR="08EC91B1" w:rsidRPr="03A317DB">
              <w:rPr>
                <w:rFonts w:ascii="Calibri" w:eastAsia="Calibri" w:hAnsi="Calibri" w:cs="Calibri"/>
                <w:color w:val="000000" w:themeColor="text1"/>
                <w:sz w:val="19"/>
                <w:szCs w:val="19"/>
                <w:lang w:val="en-US"/>
              </w:rPr>
              <w:t xml:space="preserve">and </w:t>
            </w:r>
            <w:r w:rsidRPr="03A317DB">
              <w:rPr>
                <w:rFonts w:ascii="Calibri" w:eastAsia="Calibri" w:hAnsi="Calibri" w:cs="Calibri"/>
                <w:color w:val="000000" w:themeColor="text1"/>
                <w:sz w:val="19"/>
                <w:szCs w:val="19"/>
                <w:lang w:val="en-US"/>
              </w:rPr>
              <w:t xml:space="preserve">skilled at </w:t>
            </w:r>
            <w:proofErr w:type="spellStart"/>
            <w:r w:rsidRPr="03A317DB">
              <w:rPr>
                <w:rFonts w:ascii="Calibri" w:eastAsia="Calibri" w:hAnsi="Calibri" w:cs="Calibri"/>
                <w:color w:val="000000" w:themeColor="text1"/>
                <w:sz w:val="19"/>
                <w:szCs w:val="19"/>
                <w:lang w:val="en-US"/>
              </w:rPr>
              <w:t>recogni</w:t>
            </w:r>
            <w:r w:rsidR="2DEA51F4" w:rsidRPr="03A317DB">
              <w:rPr>
                <w:rFonts w:ascii="Calibri" w:eastAsia="Calibri" w:hAnsi="Calibri" w:cs="Calibri"/>
                <w:color w:val="000000" w:themeColor="text1"/>
                <w:sz w:val="19"/>
                <w:szCs w:val="19"/>
                <w:lang w:val="en-US"/>
              </w:rPr>
              <w:t>s</w:t>
            </w:r>
            <w:r w:rsidRPr="03A317DB">
              <w:rPr>
                <w:rFonts w:ascii="Calibri" w:eastAsia="Calibri" w:hAnsi="Calibri" w:cs="Calibri"/>
                <w:color w:val="000000" w:themeColor="text1"/>
                <w:sz w:val="19"/>
                <w:szCs w:val="19"/>
                <w:lang w:val="en-US"/>
              </w:rPr>
              <w:t>ing</w:t>
            </w:r>
            <w:proofErr w:type="spellEnd"/>
            <w:r w:rsidRPr="03A317DB">
              <w:rPr>
                <w:rFonts w:ascii="Calibri" w:eastAsia="Calibri" w:hAnsi="Calibri" w:cs="Calibri"/>
                <w:color w:val="000000" w:themeColor="text1"/>
                <w:sz w:val="19"/>
                <w:szCs w:val="19"/>
                <w:lang w:val="en-US"/>
              </w:rPr>
              <w:t xml:space="preserve"> and challenging a wide range of discrimination</w:t>
            </w:r>
            <w:r w:rsidR="38FEADCF" w:rsidRPr="03A317DB">
              <w:rPr>
                <w:rFonts w:ascii="Calibri" w:eastAsia="Calibri" w:hAnsi="Calibri" w:cs="Calibri"/>
                <w:color w:val="000000" w:themeColor="text1"/>
                <w:sz w:val="19"/>
                <w:szCs w:val="19"/>
                <w:lang w:val="en-US"/>
              </w:rPr>
              <w:t xml:space="preserve">. </w:t>
            </w:r>
            <w:r w:rsidR="00276247" w:rsidRPr="03A317DB">
              <w:rPr>
                <w:rFonts w:ascii="Calibri" w:eastAsia="Calibri" w:hAnsi="Calibri" w:cs="Calibri"/>
                <w:color w:val="000000" w:themeColor="text1"/>
                <w:sz w:val="19"/>
                <w:szCs w:val="19"/>
                <w:lang w:val="en-US"/>
              </w:rPr>
              <w:t xml:space="preserve">We provide our learners with opportunities to consider rights and responsibilities and appreciate what it means to be </w:t>
            </w:r>
            <w:r w:rsidRPr="03A317DB">
              <w:rPr>
                <w:rFonts w:ascii="Calibri" w:eastAsia="Calibri" w:hAnsi="Calibri" w:cs="Calibri"/>
                <w:color w:val="000000" w:themeColor="text1"/>
                <w:sz w:val="19"/>
                <w:szCs w:val="19"/>
                <w:lang w:val="en-US"/>
              </w:rPr>
              <w:t>a member of a diverse society, and to accept views and lifestyles that may be different from our own.</w:t>
            </w:r>
          </w:p>
        </w:tc>
      </w:tr>
      <w:tr w:rsidR="009F24AA" w14:paraId="044BC30B" w14:textId="77777777" w:rsidTr="0D3E8975">
        <w:trPr>
          <w:trHeight w:val="508"/>
        </w:trPr>
        <w:tc>
          <w:tcPr>
            <w:tcW w:w="2122" w:type="dxa"/>
            <w:shd w:val="clear" w:color="auto" w:fill="auto"/>
          </w:tcPr>
          <w:p w14:paraId="0045DAAE" w14:textId="77777777" w:rsidR="009F24AA" w:rsidRPr="007D0A82" w:rsidRDefault="009F24AA" w:rsidP="009F24AA">
            <w:pPr>
              <w:rPr>
                <w:b/>
                <w:bCs/>
                <w:sz w:val="19"/>
                <w:szCs w:val="19"/>
                <w:lang w:val="en-US"/>
              </w:rPr>
            </w:pPr>
            <w:r w:rsidRPr="007D0A82">
              <w:rPr>
                <w:b/>
                <w:bCs/>
                <w:sz w:val="19"/>
                <w:szCs w:val="19"/>
                <w:lang w:val="en-US"/>
              </w:rPr>
              <w:t>Cultural Awareness</w:t>
            </w:r>
          </w:p>
        </w:tc>
        <w:tc>
          <w:tcPr>
            <w:tcW w:w="8788" w:type="dxa"/>
            <w:shd w:val="clear" w:color="auto" w:fill="auto"/>
          </w:tcPr>
          <w:p w14:paraId="76F1BFAE" w14:textId="77777777" w:rsidR="009F24AA" w:rsidRPr="005267A0" w:rsidRDefault="00276247" w:rsidP="009F24AA">
            <w:pPr>
              <w:rPr>
                <w:rFonts w:ascii="Calibri" w:eastAsia="Calibri" w:hAnsi="Calibri" w:cs="Calibri"/>
                <w:color w:val="000000" w:themeColor="text1"/>
                <w:sz w:val="18"/>
                <w:szCs w:val="18"/>
                <w:lang w:val="en-US"/>
              </w:rPr>
            </w:pPr>
            <w:r>
              <w:rPr>
                <w:rFonts w:ascii="Calibri" w:eastAsia="Calibri" w:hAnsi="Calibri" w:cs="Calibri"/>
                <w:color w:val="000000" w:themeColor="text1"/>
                <w:sz w:val="18"/>
                <w:szCs w:val="18"/>
                <w:lang w:val="en-US"/>
              </w:rPr>
              <w:t xml:space="preserve">Our aim is for pupils to gain a broad knowledge and understanding of </w:t>
            </w:r>
            <w:r w:rsidR="006D0E13">
              <w:rPr>
                <w:rFonts w:ascii="Calibri" w:eastAsia="Calibri" w:hAnsi="Calibri" w:cs="Calibri"/>
                <w:color w:val="000000" w:themeColor="text1"/>
                <w:sz w:val="18"/>
                <w:szCs w:val="18"/>
                <w:lang w:val="en-US"/>
              </w:rPr>
              <w:t>a</w:t>
            </w:r>
            <w:r w:rsidR="006C19A2">
              <w:rPr>
                <w:rFonts w:ascii="Calibri" w:eastAsia="Calibri" w:hAnsi="Calibri" w:cs="Calibri"/>
                <w:color w:val="000000" w:themeColor="text1"/>
                <w:sz w:val="18"/>
                <w:szCs w:val="18"/>
                <w:lang w:val="en-US"/>
              </w:rPr>
              <w:t xml:space="preserve"> wide variety of cultural backgrounds, both within our own community and in the wider world.</w:t>
            </w:r>
          </w:p>
        </w:tc>
      </w:tr>
      <w:tr w:rsidR="009F24AA" w14:paraId="69357953" w14:textId="77777777" w:rsidTr="0D3E8975">
        <w:trPr>
          <w:trHeight w:val="566"/>
        </w:trPr>
        <w:tc>
          <w:tcPr>
            <w:tcW w:w="2122" w:type="dxa"/>
            <w:shd w:val="clear" w:color="auto" w:fill="auto"/>
          </w:tcPr>
          <w:p w14:paraId="4FFA17DA" w14:textId="77777777" w:rsidR="009F24AA" w:rsidRPr="007D0A82" w:rsidRDefault="009F24AA" w:rsidP="009F24AA">
            <w:pPr>
              <w:rPr>
                <w:b/>
                <w:bCs/>
                <w:sz w:val="19"/>
                <w:szCs w:val="19"/>
                <w:lang w:val="en-US"/>
              </w:rPr>
            </w:pPr>
            <w:r w:rsidRPr="007D0A82">
              <w:rPr>
                <w:b/>
                <w:bCs/>
                <w:sz w:val="19"/>
                <w:szCs w:val="19"/>
                <w:lang w:val="en-US"/>
              </w:rPr>
              <w:t xml:space="preserve">Aspirations </w:t>
            </w:r>
          </w:p>
        </w:tc>
        <w:tc>
          <w:tcPr>
            <w:tcW w:w="8788" w:type="dxa"/>
            <w:shd w:val="clear" w:color="auto" w:fill="auto"/>
          </w:tcPr>
          <w:p w14:paraId="713B133E" w14:textId="7B1AA001" w:rsidR="00835B61" w:rsidRPr="00835B61" w:rsidRDefault="7236A6D9" w:rsidP="03A317DB">
            <w:pPr>
              <w:rPr>
                <w:color w:val="00B050"/>
                <w:sz w:val="18"/>
                <w:szCs w:val="18"/>
                <w:lang w:val="en-US"/>
              </w:rPr>
            </w:pPr>
            <w:r w:rsidRPr="0D3E8975">
              <w:rPr>
                <w:color w:val="000000" w:themeColor="text1"/>
                <w:sz w:val="18"/>
                <w:szCs w:val="18"/>
                <w:lang w:val="en-US"/>
              </w:rPr>
              <w:t>RS</w:t>
            </w:r>
            <w:r w:rsidR="045D3137" w:rsidRPr="0D3E8975">
              <w:rPr>
                <w:color w:val="000000" w:themeColor="text1"/>
                <w:sz w:val="18"/>
                <w:szCs w:val="18"/>
                <w:lang w:val="en-US"/>
              </w:rPr>
              <w:t>HE enables pupils</w:t>
            </w:r>
            <w:r w:rsidR="00276247" w:rsidRPr="0D3E8975">
              <w:rPr>
                <w:color w:val="000000" w:themeColor="text1"/>
                <w:sz w:val="18"/>
                <w:szCs w:val="18"/>
                <w:lang w:val="en-US"/>
              </w:rPr>
              <w:t xml:space="preserve"> to feel positive about who they are and</w:t>
            </w:r>
            <w:bookmarkStart w:id="4" w:name="_Int_opXxfHmi"/>
            <w:r w:rsidR="37BDA978" w:rsidRPr="0D3E8975">
              <w:rPr>
                <w:color w:val="000000" w:themeColor="text1"/>
                <w:sz w:val="18"/>
                <w:szCs w:val="18"/>
                <w:lang w:val="en-US"/>
              </w:rPr>
              <w:t xml:space="preserve">, </w:t>
            </w:r>
            <w:r w:rsidR="00276247" w:rsidRPr="0D3E8975">
              <w:rPr>
                <w:color w:val="000000" w:themeColor="text1"/>
                <w:sz w:val="18"/>
                <w:szCs w:val="18"/>
                <w:lang w:val="en-US"/>
              </w:rPr>
              <w:t>ultimately</w:t>
            </w:r>
            <w:r w:rsidR="34B987D1" w:rsidRPr="0D3E8975">
              <w:rPr>
                <w:color w:val="000000" w:themeColor="text1"/>
                <w:sz w:val="18"/>
                <w:szCs w:val="18"/>
                <w:lang w:val="en-US"/>
              </w:rPr>
              <w:t>,</w:t>
            </w:r>
            <w:r w:rsidR="00276247" w:rsidRPr="0D3E8975">
              <w:rPr>
                <w:color w:val="000000" w:themeColor="text1"/>
                <w:sz w:val="18"/>
                <w:szCs w:val="18"/>
                <w:lang w:val="en-US"/>
              </w:rPr>
              <w:t xml:space="preserve"> enjoy</w:t>
            </w:r>
            <w:bookmarkEnd w:id="4"/>
            <w:r w:rsidR="00276247" w:rsidRPr="0D3E8975">
              <w:rPr>
                <w:color w:val="000000" w:themeColor="text1"/>
                <w:sz w:val="18"/>
                <w:szCs w:val="18"/>
                <w:lang w:val="en-US"/>
              </w:rPr>
              <w:t xml:space="preserve"> healthy, safe, </w:t>
            </w:r>
            <w:r w:rsidR="602B2B50" w:rsidRPr="0D3E8975">
              <w:rPr>
                <w:color w:val="000000" w:themeColor="text1"/>
                <w:sz w:val="18"/>
                <w:szCs w:val="18"/>
                <w:lang w:val="en-US"/>
              </w:rPr>
              <w:t>responsible,</w:t>
            </w:r>
            <w:r w:rsidR="00276247" w:rsidRPr="0D3E8975">
              <w:rPr>
                <w:color w:val="000000" w:themeColor="text1"/>
                <w:sz w:val="18"/>
                <w:szCs w:val="18"/>
                <w:lang w:val="en-US"/>
              </w:rPr>
              <w:t xml:space="preserve"> and fulfilled lives; it equips our learners to b</w:t>
            </w:r>
            <w:r w:rsidR="045D3137" w:rsidRPr="0D3E8975">
              <w:rPr>
                <w:color w:val="000000" w:themeColor="text1"/>
                <w:sz w:val="18"/>
                <w:szCs w:val="18"/>
                <w:lang w:val="en-US"/>
              </w:rPr>
              <w:t>ecome the best that they can be</w:t>
            </w:r>
            <w:r w:rsidR="006C19A2" w:rsidRPr="0D3E8975">
              <w:rPr>
                <w:color w:val="000000" w:themeColor="text1"/>
                <w:sz w:val="18"/>
                <w:szCs w:val="18"/>
                <w:lang w:val="en-US"/>
              </w:rPr>
              <w:t>.</w:t>
            </w:r>
          </w:p>
        </w:tc>
      </w:tr>
      <w:tr w:rsidR="00D17D21" w14:paraId="351A9169" w14:textId="77777777" w:rsidTr="0D3E8975">
        <w:trPr>
          <w:trHeight w:val="670"/>
        </w:trPr>
        <w:tc>
          <w:tcPr>
            <w:tcW w:w="2122" w:type="dxa"/>
            <w:shd w:val="clear" w:color="auto" w:fill="auto"/>
          </w:tcPr>
          <w:p w14:paraId="66685EBE" w14:textId="77777777" w:rsidR="00D17D21" w:rsidRPr="007D0A82" w:rsidRDefault="00D17D21">
            <w:pPr>
              <w:rPr>
                <w:b/>
                <w:bCs/>
                <w:sz w:val="19"/>
                <w:szCs w:val="19"/>
                <w:lang w:val="en-US"/>
              </w:rPr>
            </w:pPr>
            <w:r w:rsidRPr="007D0A82">
              <w:rPr>
                <w:b/>
                <w:bCs/>
                <w:sz w:val="19"/>
                <w:szCs w:val="19"/>
                <w:lang w:val="en-US"/>
              </w:rPr>
              <w:t xml:space="preserve">Preparedness for the future </w:t>
            </w:r>
          </w:p>
        </w:tc>
        <w:tc>
          <w:tcPr>
            <w:tcW w:w="8788" w:type="dxa"/>
            <w:shd w:val="clear" w:color="auto" w:fill="auto"/>
          </w:tcPr>
          <w:p w14:paraId="09BD559A" w14:textId="043AC2E8" w:rsidR="009F24AA" w:rsidRPr="00E97466" w:rsidRDefault="12095DB2" w:rsidP="03A317DB">
            <w:pPr>
              <w:rPr>
                <w:color w:val="000000" w:themeColor="text1"/>
                <w:sz w:val="19"/>
                <w:szCs w:val="19"/>
                <w:lang w:val="en-US"/>
              </w:rPr>
            </w:pPr>
            <w:r w:rsidRPr="03A317DB">
              <w:rPr>
                <w:rFonts w:eastAsiaTheme="minorEastAsia"/>
                <w:color w:val="000000" w:themeColor="text1"/>
                <w:sz w:val="19"/>
                <w:szCs w:val="19"/>
                <w:lang w:val="en-US"/>
              </w:rPr>
              <w:t xml:space="preserve">Across all Key Stages, </w:t>
            </w:r>
            <w:r w:rsidR="3CE5FECD" w:rsidRPr="03A317DB">
              <w:rPr>
                <w:rFonts w:eastAsiaTheme="minorEastAsia"/>
                <w:color w:val="000000" w:themeColor="text1"/>
                <w:sz w:val="19"/>
                <w:szCs w:val="19"/>
                <w:lang w:val="en-US"/>
              </w:rPr>
              <w:t>R</w:t>
            </w:r>
            <w:r w:rsidRPr="03A317DB">
              <w:rPr>
                <w:rFonts w:eastAsiaTheme="minorEastAsia"/>
                <w:color w:val="000000" w:themeColor="text1"/>
                <w:sz w:val="19"/>
                <w:szCs w:val="19"/>
                <w:lang w:val="en-US"/>
              </w:rPr>
              <w:t>SHE aims to develop the personal</w:t>
            </w:r>
            <w:r w:rsidR="045D3137" w:rsidRPr="03A317DB">
              <w:rPr>
                <w:rFonts w:eastAsiaTheme="minorEastAsia"/>
                <w:color w:val="000000" w:themeColor="text1"/>
                <w:sz w:val="19"/>
                <w:szCs w:val="19"/>
                <w:lang w:val="en-US"/>
              </w:rPr>
              <w:t xml:space="preserve"> wellbeing of our pupil</w:t>
            </w:r>
            <w:r w:rsidRPr="03A317DB">
              <w:rPr>
                <w:rFonts w:eastAsiaTheme="minorEastAsia"/>
                <w:color w:val="000000" w:themeColor="text1"/>
                <w:sz w:val="19"/>
                <w:szCs w:val="19"/>
                <w:lang w:val="en-US"/>
              </w:rPr>
              <w:t xml:space="preserve">s; </w:t>
            </w:r>
            <w:bookmarkStart w:id="5" w:name="_Int_LdXFp2hS"/>
            <w:r w:rsidRPr="03A317DB">
              <w:rPr>
                <w:rFonts w:eastAsiaTheme="minorEastAsia"/>
                <w:color w:val="000000" w:themeColor="text1"/>
                <w:sz w:val="19"/>
                <w:szCs w:val="19"/>
                <w:lang w:val="en-US"/>
              </w:rPr>
              <w:t>this benefits</w:t>
            </w:r>
            <w:bookmarkEnd w:id="5"/>
            <w:r w:rsidRPr="03A317DB">
              <w:rPr>
                <w:rFonts w:eastAsiaTheme="minorEastAsia"/>
                <w:color w:val="000000" w:themeColor="text1"/>
                <w:sz w:val="19"/>
                <w:szCs w:val="19"/>
                <w:lang w:val="en-US"/>
              </w:rPr>
              <w:t xml:space="preserve"> them now </w:t>
            </w:r>
            <w:r w:rsidR="045D3137" w:rsidRPr="03A317DB">
              <w:rPr>
                <w:rFonts w:eastAsiaTheme="minorEastAsia"/>
                <w:color w:val="000000" w:themeColor="text1"/>
                <w:sz w:val="19"/>
                <w:szCs w:val="19"/>
                <w:lang w:val="en-US"/>
              </w:rPr>
              <w:t xml:space="preserve">as well as providing the skills to take responsibility for themselves </w:t>
            </w:r>
            <w:r w:rsidRPr="03A317DB">
              <w:rPr>
                <w:rFonts w:eastAsiaTheme="minorEastAsia"/>
                <w:color w:val="000000" w:themeColor="text1"/>
                <w:sz w:val="19"/>
                <w:szCs w:val="19"/>
                <w:lang w:val="en-US"/>
              </w:rPr>
              <w:t xml:space="preserve">as adults. </w:t>
            </w:r>
            <w:r w:rsidR="045D3137" w:rsidRPr="03A317DB">
              <w:rPr>
                <w:color w:val="000000" w:themeColor="text1"/>
                <w:sz w:val="19"/>
                <w:szCs w:val="19"/>
                <w:lang w:val="en-US"/>
              </w:rPr>
              <w:t>In addition, w</w:t>
            </w:r>
            <w:r w:rsidR="00276247" w:rsidRPr="03A317DB">
              <w:rPr>
                <w:color w:val="000000" w:themeColor="text1"/>
                <w:sz w:val="19"/>
                <w:szCs w:val="19"/>
                <w:lang w:val="en-US"/>
              </w:rPr>
              <w:t>ith a strong focus on developing oracy skills</w:t>
            </w:r>
            <w:r w:rsidR="045D3137" w:rsidRPr="03A317DB">
              <w:rPr>
                <w:color w:val="000000" w:themeColor="text1"/>
                <w:sz w:val="19"/>
                <w:szCs w:val="19"/>
                <w:lang w:val="en-US"/>
              </w:rPr>
              <w:t xml:space="preserve">, </w:t>
            </w:r>
            <w:r w:rsidR="3E243FDC" w:rsidRPr="03A317DB">
              <w:rPr>
                <w:color w:val="000000" w:themeColor="text1"/>
                <w:sz w:val="19"/>
                <w:szCs w:val="19"/>
                <w:lang w:val="en-US"/>
              </w:rPr>
              <w:t>R</w:t>
            </w:r>
            <w:r w:rsidR="045D3137" w:rsidRPr="03A317DB">
              <w:rPr>
                <w:color w:val="000000" w:themeColor="text1"/>
                <w:sz w:val="19"/>
                <w:szCs w:val="19"/>
                <w:lang w:val="en-US"/>
              </w:rPr>
              <w:t>SHE</w:t>
            </w:r>
            <w:r w:rsidR="00276247" w:rsidRPr="03A317DB">
              <w:rPr>
                <w:color w:val="000000" w:themeColor="text1"/>
                <w:sz w:val="19"/>
                <w:szCs w:val="19"/>
                <w:lang w:val="en-US"/>
              </w:rPr>
              <w:t xml:space="preserve"> empower</w:t>
            </w:r>
            <w:r w:rsidR="045D3137" w:rsidRPr="03A317DB">
              <w:rPr>
                <w:color w:val="000000" w:themeColor="text1"/>
                <w:sz w:val="19"/>
                <w:szCs w:val="19"/>
                <w:lang w:val="en-US"/>
              </w:rPr>
              <w:t>s pupil</w:t>
            </w:r>
            <w:r w:rsidR="00276247" w:rsidRPr="03A317DB">
              <w:rPr>
                <w:color w:val="000000" w:themeColor="text1"/>
                <w:sz w:val="19"/>
                <w:szCs w:val="19"/>
                <w:lang w:val="en-US"/>
              </w:rPr>
              <w:t xml:space="preserve">s </w:t>
            </w:r>
            <w:r w:rsidR="045D3137" w:rsidRPr="03A317DB">
              <w:rPr>
                <w:color w:val="000000" w:themeColor="text1"/>
                <w:sz w:val="19"/>
                <w:szCs w:val="19"/>
                <w:lang w:val="en-US"/>
              </w:rPr>
              <w:t xml:space="preserve">to be able to confidently communicate </w:t>
            </w:r>
            <w:r w:rsidR="00276247" w:rsidRPr="03A317DB">
              <w:rPr>
                <w:color w:val="000000" w:themeColor="text1"/>
                <w:sz w:val="19"/>
                <w:szCs w:val="19"/>
                <w:lang w:val="en-US"/>
              </w:rPr>
              <w:t xml:space="preserve">in all aspects of </w:t>
            </w:r>
            <w:r w:rsidR="045D3137" w:rsidRPr="03A317DB">
              <w:rPr>
                <w:color w:val="000000" w:themeColor="text1"/>
                <w:sz w:val="19"/>
                <w:szCs w:val="19"/>
                <w:lang w:val="en-US"/>
              </w:rPr>
              <w:t xml:space="preserve">their adult </w:t>
            </w:r>
            <w:r w:rsidR="00276247" w:rsidRPr="03A317DB">
              <w:rPr>
                <w:color w:val="000000" w:themeColor="text1"/>
                <w:sz w:val="19"/>
                <w:szCs w:val="19"/>
                <w:lang w:val="en-US"/>
              </w:rPr>
              <w:t>life</w:t>
            </w:r>
            <w:r w:rsidR="045D3137" w:rsidRPr="03A317DB">
              <w:rPr>
                <w:color w:val="000000" w:themeColor="text1"/>
                <w:sz w:val="19"/>
                <w:szCs w:val="19"/>
                <w:lang w:val="en-US"/>
              </w:rPr>
              <w:t>.</w:t>
            </w:r>
          </w:p>
        </w:tc>
      </w:tr>
    </w:tbl>
    <w:p w14:paraId="6A05A809" w14:textId="77777777" w:rsidR="00E54BE3" w:rsidRPr="00C429BC" w:rsidRDefault="00E54BE3">
      <w:pPr>
        <w:rPr>
          <w:sz w:val="6"/>
          <w:szCs w:val="6"/>
          <w:lang w:val="en-US"/>
        </w:rPr>
      </w:pPr>
    </w:p>
    <w:tbl>
      <w:tblPr>
        <w:tblStyle w:val="TableGrid"/>
        <w:tblW w:w="10910" w:type="dxa"/>
        <w:tblLook w:val="04A0" w:firstRow="1" w:lastRow="0" w:firstColumn="1" w:lastColumn="0" w:noHBand="0" w:noVBand="1"/>
      </w:tblPr>
      <w:tblGrid>
        <w:gridCol w:w="5524"/>
        <w:gridCol w:w="5386"/>
      </w:tblGrid>
      <w:tr w:rsidR="00F3399F" w14:paraId="22E5E929" w14:textId="77777777" w:rsidTr="0D3E8975">
        <w:tc>
          <w:tcPr>
            <w:tcW w:w="10910" w:type="dxa"/>
            <w:gridSpan w:val="2"/>
            <w:shd w:val="clear" w:color="auto" w:fill="112B43"/>
          </w:tcPr>
          <w:p w14:paraId="3EBD9D0B" w14:textId="77777777" w:rsidR="00F3399F" w:rsidRPr="00F3399F" w:rsidRDefault="00F3399F" w:rsidP="00991F99">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w:rsidR="00991F99" w14:paraId="05AF1C43" w14:textId="77777777" w:rsidTr="0D3E8975">
        <w:tc>
          <w:tcPr>
            <w:tcW w:w="5524" w:type="dxa"/>
            <w:shd w:val="clear" w:color="auto" w:fill="112B43"/>
          </w:tcPr>
          <w:p w14:paraId="038F700F" w14:textId="77777777" w:rsidR="00991F99" w:rsidRPr="00F3399F" w:rsidRDefault="297D2351" w:rsidP="00991F99">
            <w:pPr>
              <w:jc w:val="center"/>
              <w:rPr>
                <w:b/>
                <w:bCs/>
                <w:lang w:val="en-US"/>
              </w:rPr>
            </w:pPr>
            <w:bookmarkStart w:id="6" w:name="_Int_shfCAAc0"/>
            <w:r w:rsidRPr="03A317DB">
              <w:rPr>
                <w:b/>
                <w:bCs/>
                <w:lang w:val="en-US"/>
              </w:rPr>
              <w:t>SEND</w:t>
            </w:r>
            <w:bookmarkEnd w:id="6"/>
          </w:p>
        </w:tc>
        <w:tc>
          <w:tcPr>
            <w:tcW w:w="5386" w:type="dxa"/>
            <w:shd w:val="clear" w:color="auto" w:fill="112B43"/>
          </w:tcPr>
          <w:p w14:paraId="7DA055D7" w14:textId="77777777" w:rsidR="00991F99" w:rsidRPr="00F3399F" w:rsidRDefault="00991F99" w:rsidP="00991F99">
            <w:pPr>
              <w:jc w:val="center"/>
              <w:rPr>
                <w:b/>
                <w:bCs/>
                <w:lang w:val="en-US"/>
              </w:rPr>
            </w:pPr>
            <w:r>
              <w:rPr>
                <w:b/>
                <w:bCs/>
                <w:lang w:val="en-US"/>
              </w:rPr>
              <w:t>PP</w:t>
            </w:r>
          </w:p>
        </w:tc>
      </w:tr>
      <w:tr w:rsidR="001B218D" w14:paraId="55213E0A" w14:textId="77777777" w:rsidTr="0D3E8975">
        <w:tc>
          <w:tcPr>
            <w:tcW w:w="5524" w:type="dxa"/>
          </w:tcPr>
          <w:p w14:paraId="06AD59D3" w14:textId="77777777" w:rsidR="00D95206" w:rsidRPr="00D95206" w:rsidRDefault="006C19A2" w:rsidP="00D95206">
            <w:pPr>
              <w:pStyle w:val="xmsolistparagraph"/>
              <w:numPr>
                <w:ilvl w:val="0"/>
                <w:numId w:val="7"/>
              </w:numPr>
              <w:ind w:left="312" w:hanging="267"/>
              <w:rPr>
                <w:rFonts w:eastAsia="Times New Roman"/>
                <w:sz w:val="19"/>
                <w:szCs w:val="19"/>
              </w:rPr>
            </w:pPr>
            <w:r>
              <w:rPr>
                <w:rFonts w:eastAsia="Times New Roman"/>
                <w:sz w:val="19"/>
                <w:szCs w:val="19"/>
              </w:rPr>
              <w:t>Information is provided in a variety of formats to accommodate individual needs and learning styles</w:t>
            </w:r>
          </w:p>
          <w:p w14:paraId="205E4C80" w14:textId="77777777" w:rsidR="00D95206" w:rsidRDefault="001B218D" w:rsidP="00D95206">
            <w:pPr>
              <w:pStyle w:val="xmsolistparagraph"/>
              <w:numPr>
                <w:ilvl w:val="0"/>
                <w:numId w:val="7"/>
              </w:numPr>
              <w:ind w:left="312" w:hanging="267"/>
              <w:rPr>
                <w:rFonts w:eastAsia="Times New Roman"/>
                <w:sz w:val="19"/>
                <w:szCs w:val="19"/>
              </w:rPr>
            </w:pPr>
            <w:r w:rsidRPr="007D0A82">
              <w:rPr>
                <w:rFonts w:eastAsia="Times New Roman"/>
                <w:sz w:val="19"/>
                <w:szCs w:val="19"/>
              </w:rPr>
              <w:t>Strate</w:t>
            </w:r>
            <w:r w:rsidR="00D95206">
              <w:rPr>
                <w:rFonts w:eastAsia="Times New Roman"/>
                <w:sz w:val="19"/>
                <w:szCs w:val="19"/>
              </w:rPr>
              <w:t>gies for students with identified need</w:t>
            </w:r>
            <w:r w:rsidRPr="007D0A82">
              <w:rPr>
                <w:rFonts w:eastAsia="Times New Roman"/>
                <w:sz w:val="19"/>
                <w:szCs w:val="19"/>
              </w:rPr>
              <w:t xml:space="preserve"> i</w:t>
            </w:r>
            <w:r w:rsidR="00D95206">
              <w:rPr>
                <w:rFonts w:eastAsia="Times New Roman"/>
                <w:sz w:val="19"/>
                <w:szCs w:val="19"/>
              </w:rPr>
              <w:t xml:space="preserve">ncluding coloured overlays/paper, </w:t>
            </w:r>
            <w:r w:rsidRPr="007D0A82">
              <w:rPr>
                <w:rFonts w:eastAsia="Times New Roman"/>
                <w:sz w:val="19"/>
                <w:szCs w:val="19"/>
              </w:rPr>
              <w:t>task breakdown sheets</w:t>
            </w:r>
          </w:p>
          <w:p w14:paraId="5FDA4444" w14:textId="77777777" w:rsidR="00D95206" w:rsidRPr="00D95206" w:rsidRDefault="00D95206" w:rsidP="00D95206">
            <w:pPr>
              <w:pStyle w:val="xmsolistparagraph"/>
              <w:numPr>
                <w:ilvl w:val="0"/>
                <w:numId w:val="7"/>
              </w:numPr>
              <w:ind w:left="312" w:hanging="267"/>
              <w:rPr>
                <w:rFonts w:eastAsia="Times New Roman"/>
                <w:sz w:val="19"/>
                <w:szCs w:val="19"/>
              </w:rPr>
            </w:pPr>
            <w:r>
              <w:rPr>
                <w:rFonts w:eastAsia="Times New Roman"/>
                <w:sz w:val="19"/>
                <w:szCs w:val="19"/>
              </w:rPr>
              <w:t>Laptops or bespoke writing implements provided for students for whom writing is a particular issue e.g.: with fine motor skills difficulties</w:t>
            </w:r>
          </w:p>
          <w:p w14:paraId="60FCADF9" w14:textId="1E8927B9" w:rsidR="001B218D" w:rsidRPr="007D0A82" w:rsidRDefault="1D76B275" w:rsidP="03A317DB">
            <w:pPr>
              <w:pStyle w:val="xmsolistparagraph"/>
              <w:numPr>
                <w:ilvl w:val="0"/>
                <w:numId w:val="7"/>
              </w:numPr>
              <w:ind w:left="312" w:hanging="267"/>
              <w:rPr>
                <w:rFonts w:eastAsia="Times New Roman"/>
                <w:sz w:val="19"/>
                <w:szCs w:val="19"/>
              </w:rPr>
            </w:pPr>
            <w:r w:rsidRPr="03A317DB">
              <w:rPr>
                <w:rFonts w:eastAsia="Times New Roman"/>
                <w:sz w:val="19"/>
                <w:szCs w:val="19"/>
              </w:rPr>
              <w:t>Strategies to support individual students as identified in IEPs</w:t>
            </w:r>
            <w:r w:rsidR="223845CB" w:rsidRPr="03A317DB">
              <w:rPr>
                <w:rFonts w:eastAsia="Times New Roman"/>
                <w:sz w:val="19"/>
                <w:szCs w:val="19"/>
              </w:rPr>
              <w:t xml:space="preserve"> e.g.: fidget toys</w:t>
            </w:r>
          </w:p>
          <w:p w14:paraId="3123E2F4" w14:textId="35307B60" w:rsidR="001B218D" w:rsidRDefault="001B218D" w:rsidP="001B218D">
            <w:pPr>
              <w:pStyle w:val="xmsolistparagraph"/>
              <w:numPr>
                <w:ilvl w:val="0"/>
                <w:numId w:val="7"/>
              </w:numPr>
              <w:ind w:left="312" w:hanging="267"/>
              <w:rPr>
                <w:rFonts w:eastAsia="Times New Roman"/>
                <w:sz w:val="19"/>
                <w:szCs w:val="19"/>
              </w:rPr>
            </w:pPr>
            <w:r w:rsidRPr="007D0A82">
              <w:rPr>
                <w:rFonts w:eastAsia="Times New Roman"/>
                <w:sz w:val="19"/>
                <w:szCs w:val="19"/>
              </w:rPr>
              <w:t xml:space="preserve">Quality-first teaching strategies employed in lessons, providing </w:t>
            </w:r>
            <w:r w:rsidR="000A4972">
              <w:rPr>
                <w:rFonts w:eastAsia="Times New Roman"/>
                <w:sz w:val="19"/>
                <w:szCs w:val="19"/>
              </w:rPr>
              <w:t>adaptation</w:t>
            </w:r>
            <w:r w:rsidRPr="007D0A82">
              <w:rPr>
                <w:rFonts w:eastAsia="Times New Roman"/>
                <w:sz w:val="19"/>
                <w:szCs w:val="19"/>
              </w:rPr>
              <w:t xml:space="preserve"> and structure, sensitive to </w:t>
            </w:r>
            <w:r>
              <w:rPr>
                <w:rFonts w:eastAsia="Times New Roman"/>
                <w:sz w:val="19"/>
                <w:szCs w:val="19"/>
              </w:rPr>
              <w:t xml:space="preserve">individual </w:t>
            </w:r>
            <w:r w:rsidRPr="007D0A82">
              <w:rPr>
                <w:rFonts w:eastAsia="Times New Roman"/>
                <w:sz w:val="19"/>
                <w:szCs w:val="19"/>
              </w:rPr>
              <w:t>student need</w:t>
            </w:r>
          </w:p>
          <w:p w14:paraId="5B8AC321" w14:textId="77777777" w:rsidR="00D95206" w:rsidRPr="007D0A82" w:rsidRDefault="00D95206" w:rsidP="001B218D">
            <w:pPr>
              <w:pStyle w:val="xmsolistparagraph"/>
              <w:numPr>
                <w:ilvl w:val="0"/>
                <w:numId w:val="7"/>
              </w:numPr>
              <w:ind w:left="312" w:hanging="267"/>
              <w:rPr>
                <w:rFonts w:eastAsia="Times New Roman"/>
                <w:sz w:val="19"/>
                <w:szCs w:val="19"/>
              </w:rPr>
            </w:pPr>
            <w:r w:rsidRPr="0D3E8975">
              <w:rPr>
                <w:rFonts w:eastAsia="Times New Roman"/>
                <w:sz w:val="19"/>
                <w:szCs w:val="19"/>
              </w:rPr>
              <w:t xml:space="preserve">Additional support/1 to 1 </w:t>
            </w:r>
            <w:bookmarkStart w:id="7" w:name="_Int_WURZG12x"/>
            <w:r w:rsidRPr="0D3E8975">
              <w:rPr>
                <w:rFonts w:eastAsia="Times New Roman"/>
                <w:sz w:val="19"/>
                <w:szCs w:val="19"/>
              </w:rPr>
              <w:t>sessions</w:t>
            </w:r>
            <w:bookmarkEnd w:id="7"/>
            <w:r w:rsidRPr="0D3E8975">
              <w:rPr>
                <w:rFonts w:eastAsia="Times New Roman"/>
                <w:sz w:val="19"/>
                <w:szCs w:val="19"/>
              </w:rPr>
              <w:t xml:space="preserve"> for pupils who struggle with particularly sensitive topics e.g.: sex education</w:t>
            </w:r>
          </w:p>
        </w:tc>
        <w:tc>
          <w:tcPr>
            <w:tcW w:w="5386" w:type="dxa"/>
          </w:tcPr>
          <w:p w14:paraId="6EC67C1D" w14:textId="77777777" w:rsidR="001B218D" w:rsidRPr="007D0A82" w:rsidRDefault="006C19A2" w:rsidP="009F24AA">
            <w:pPr>
              <w:pStyle w:val="ListParagraph"/>
              <w:numPr>
                <w:ilvl w:val="0"/>
                <w:numId w:val="8"/>
              </w:numPr>
              <w:tabs>
                <w:tab w:val="left" w:pos="2918"/>
              </w:tabs>
              <w:ind w:left="319" w:hanging="284"/>
              <w:rPr>
                <w:sz w:val="19"/>
                <w:szCs w:val="19"/>
                <w:lang w:val="en-US"/>
              </w:rPr>
            </w:pPr>
            <w:r>
              <w:rPr>
                <w:sz w:val="19"/>
                <w:szCs w:val="19"/>
                <w:lang w:val="en-US"/>
              </w:rPr>
              <w:t>E</w:t>
            </w:r>
            <w:r w:rsidR="001B218D" w:rsidRPr="007D0A82">
              <w:rPr>
                <w:sz w:val="19"/>
                <w:szCs w:val="19"/>
                <w:lang w:val="en-US"/>
              </w:rPr>
              <w:t>ssential materials</w:t>
            </w:r>
          </w:p>
          <w:p w14:paraId="22797B11" w14:textId="77777777" w:rsidR="001B218D" w:rsidRDefault="001B218D" w:rsidP="009F24AA">
            <w:pPr>
              <w:pStyle w:val="ListParagraph"/>
              <w:numPr>
                <w:ilvl w:val="0"/>
                <w:numId w:val="8"/>
              </w:numPr>
              <w:tabs>
                <w:tab w:val="left" w:pos="2918"/>
              </w:tabs>
              <w:ind w:left="319" w:hanging="284"/>
              <w:rPr>
                <w:sz w:val="19"/>
                <w:szCs w:val="19"/>
                <w:lang w:val="en-US"/>
              </w:rPr>
            </w:pPr>
            <w:proofErr w:type="spellStart"/>
            <w:r>
              <w:rPr>
                <w:sz w:val="19"/>
                <w:szCs w:val="19"/>
                <w:lang w:val="en-US"/>
              </w:rPr>
              <w:t>Subsidising</w:t>
            </w:r>
            <w:proofErr w:type="spellEnd"/>
            <w:r>
              <w:rPr>
                <w:sz w:val="19"/>
                <w:szCs w:val="19"/>
                <w:lang w:val="en-US"/>
              </w:rPr>
              <w:t xml:space="preserve"> educational visits to ensure fair access for all</w:t>
            </w:r>
          </w:p>
          <w:p w14:paraId="5A39BBE3" w14:textId="77777777" w:rsidR="00D95206" w:rsidRPr="00D95206" w:rsidRDefault="00D95206" w:rsidP="00D95206">
            <w:pPr>
              <w:tabs>
                <w:tab w:val="left" w:pos="2918"/>
              </w:tabs>
              <w:rPr>
                <w:sz w:val="19"/>
                <w:szCs w:val="19"/>
                <w:lang w:val="en-US"/>
              </w:rPr>
            </w:pPr>
          </w:p>
          <w:p w14:paraId="41C8F396" w14:textId="77777777" w:rsidR="00DF2FD7" w:rsidRDefault="00DF2FD7" w:rsidP="00DF2FD7">
            <w:pPr>
              <w:pStyle w:val="ListParagraph"/>
              <w:tabs>
                <w:tab w:val="left" w:pos="2918"/>
              </w:tabs>
              <w:ind w:left="319"/>
              <w:rPr>
                <w:sz w:val="19"/>
                <w:szCs w:val="19"/>
                <w:lang w:val="en-US"/>
              </w:rPr>
            </w:pPr>
          </w:p>
          <w:p w14:paraId="72A3D3EC" w14:textId="77777777" w:rsidR="00DF2FD7" w:rsidRPr="00DF2FD7" w:rsidRDefault="00DF2FD7" w:rsidP="00DF2FD7">
            <w:pPr>
              <w:tabs>
                <w:tab w:val="left" w:pos="2918"/>
              </w:tabs>
              <w:ind w:left="35"/>
              <w:rPr>
                <w:sz w:val="19"/>
                <w:szCs w:val="19"/>
                <w:lang w:val="en-US"/>
              </w:rPr>
            </w:pPr>
          </w:p>
        </w:tc>
      </w:tr>
    </w:tbl>
    <w:p w14:paraId="0D0B940D" w14:textId="77777777" w:rsidR="005267A0" w:rsidRDefault="005267A0" w:rsidP="00BB7DAA">
      <w:pPr>
        <w:pStyle w:val="NoSpacing"/>
      </w:pPr>
    </w:p>
    <w:tbl>
      <w:tblPr>
        <w:tblStyle w:val="TableGrid"/>
        <w:tblW w:w="10910" w:type="dxa"/>
        <w:tblLook w:val="04A0" w:firstRow="1" w:lastRow="0" w:firstColumn="1" w:lastColumn="0" w:noHBand="0" w:noVBand="1"/>
      </w:tblPr>
      <w:tblGrid>
        <w:gridCol w:w="5524"/>
        <w:gridCol w:w="5386"/>
      </w:tblGrid>
      <w:tr w:rsidR="00BB7DAA" w:rsidRPr="000A2587" w14:paraId="1C1F7139" w14:textId="77777777" w:rsidTr="03A317DB">
        <w:tc>
          <w:tcPr>
            <w:tcW w:w="10910" w:type="dxa"/>
            <w:gridSpan w:val="2"/>
            <w:shd w:val="clear" w:color="auto" w:fill="112B43"/>
          </w:tcPr>
          <w:p w14:paraId="2B7A3E32"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5FBD9A3E" w14:textId="77777777" w:rsidTr="03A317DB">
        <w:tc>
          <w:tcPr>
            <w:tcW w:w="5524" w:type="dxa"/>
            <w:shd w:val="clear" w:color="auto" w:fill="112B43"/>
          </w:tcPr>
          <w:p w14:paraId="72DC0553"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386" w:type="dxa"/>
            <w:shd w:val="clear" w:color="auto" w:fill="112B43"/>
          </w:tcPr>
          <w:p w14:paraId="7FCDB7A0"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085DD0" w:rsidRPr="00EE1A0B" w14:paraId="0A118571" w14:textId="77777777" w:rsidTr="03A317DB">
        <w:tc>
          <w:tcPr>
            <w:tcW w:w="5524" w:type="dxa"/>
            <w:shd w:val="clear" w:color="auto" w:fill="auto"/>
          </w:tcPr>
          <w:p w14:paraId="4DDE9D70" w14:textId="77777777" w:rsidR="00085DD0" w:rsidRDefault="00085DD0" w:rsidP="00085DD0">
            <w:pPr>
              <w:pStyle w:val="ListParagraph"/>
              <w:numPr>
                <w:ilvl w:val="0"/>
                <w:numId w:val="9"/>
              </w:numPr>
              <w:ind w:left="306" w:hanging="284"/>
              <w:rPr>
                <w:rFonts w:eastAsiaTheme="minorEastAsia"/>
                <w:color w:val="000000" w:themeColor="text1"/>
                <w:sz w:val="20"/>
                <w:szCs w:val="20"/>
                <w:lang w:val="en-US"/>
              </w:rPr>
            </w:pPr>
            <w:r>
              <w:rPr>
                <w:rFonts w:eastAsiaTheme="minorEastAsia"/>
                <w:color w:val="000000" w:themeColor="text1"/>
                <w:sz w:val="20"/>
                <w:szCs w:val="20"/>
                <w:lang w:val="en-US"/>
              </w:rPr>
              <w:t xml:space="preserve">Sole subject teacher </w:t>
            </w:r>
          </w:p>
          <w:p w14:paraId="18436539" w14:textId="77777777" w:rsidR="00085DD0" w:rsidRPr="00085DD0" w:rsidRDefault="00085DD0" w:rsidP="00085DD0">
            <w:pPr>
              <w:pStyle w:val="ListParagraph"/>
              <w:numPr>
                <w:ilvl w:val="0"/>
                <w:numId w:val="9"/>
              </w:numPr>
              <w:ind w:left="306" w:hanging="284"/>
              <w:rPr>
                <w:rFonts w:eastAsiaTheme="minorEastAsia"/>
                <w:color w:val="000000" w:themeColor="text1"/>
                <w:sz w:val="20"/>
                <w:szCs w:val="20"/>
                <w:lang w:val="en-US"/>
              </w:rPr>
            </w:pPr>
            <w:r>
              <w:rPr>
                <w:rFonts w:eastAsiaTheme="minorEastAsia"/>
                <w:color w:val="000000" w:themeColor="text1"/>
                <w:sz w:val="20"/>
                <w:szCs w:val="20"/>
                <w:lang w:val="en-US"/>
              </w:rPr>
              <w:t>Regular teacher assessment</w:t>
            </w:r>
          </w:p>
          <w:p w14:paraId="103DA89A" w14:textId="77777777" w:rsidR="00085DD0" w:rsidRPr="00A02A6E" w:rsidRDefault="00085DD0" w:rsidP="00085DD0">
            <w:pPr>
              <w:pStyle w:val="ListParagraph"/>
              <w:numPr>
                <w:ilvl w:val="0"/>
                <w:numId w:val="9"/>
              </w:numPr>
              <w:ind w:left="306" w:hanging="284"/>
              <w:rPr>
                <w:rFonts w:eastAsiaTheme="minorEastAsia"/>
                <w:color w:val="000000" w:themeColor="text1"/>
                <w:sz w:val="20"/>
                <w:szCs w:val="20"/>
                <w:lang w:val="en-US"/>
              </w:rPr>
            </w:pPr>
            <w:r w:rsidRPr="00E97466">
              <w:rPr>
                <w:rFonts w:eastAsiaTheme="minorEastAsia"/>
                <w:color w:val="000000" w:themeColor="text1"/>
                <w:sz w:val="20"/>
                <w:szCs w:val="20"/>
                <w:lang w:val="en-US"/>
              </w:rPr>
              <w:t>Additional scaffolding and 1 to 1 support within the clas</w:t>
            </w:r>
            <w:r>
              <w:rPr>
                <w:rFonts w:eastAsiaTheme="minorEastAsia"/>
                <w:color w:val="000000" w:themeColor="text1"/>
                <w:sz w:val="20"/>
                <w:szCs w:val="20"/>
                <w:lang w:val="en-US"/>
              </w:rPr>
              <w:t>sroom</w:t>
            </w:r>
          </w:p>
        </w:tc>
        <w:tc>
          <w:tcPr>
            <w:tcW w:w="5386" w:type="dxa"/>
            <w:shd w:val="clear" w:color="auto" w:fill="auto"/>
          </w:tcPr>
          <w:p w14:paraId="2840F46C" w14:textId="77777777" w:rsidR="00085DD0" w:rsidRDefault="00085DD0" w:rsidP="00085DD0">
            <w:pPr>
              <w:pStyle w:val="ListParagraph"/>
              <w:numPr>
                <w:ilvl w:val="0"/>
                <w:numId w:val="9"/>
              </w:numPr>
              <w:ind w:left="306" w:hanging="284"/>
              <w:rPr>
                <w:rFonts w:eastAsiaTheme="minorEastAsia"/>
                <w:color w:val="000000" w:themeColor="text1"/>
                <w:sz w:val="20"/>
                <w:szCs w:val="20"/>
                <w:lang w:val="en-US"/>
              </w:rPr>
            </w:pPr>
            <w:r>
              <w:rPr>
                <w:rFonts w:eastAsiaTheme="minorEastAsia"/>
                <w:color w:val="000000" w:themeColor="text1"/>
                <w:sz w:val="20"/>
                <w:szCs w:val="20"/>
                <w:lang w:val="en-US"/>
              </w:rPr>
              <w:t xml:space="preserve">Sole subject teacher </w:t>
            </w:r>
          </w:p>
          <w:p w14:paraId="1053737D" w14:textId="77777777" w:rsidR="00085DD0" w:rsidRDefault="00085DD0" w:rsidP="00085DD0">
            <w:pPr>
              <w:pStyle w:val="ListParagraph"/>
              <w:numPr>
                <w:ilvl w:val="0"/>
                <w:numId w:val="9"/>
              </w:numPr>
              <w:ind w:left="306" w:hanging="284"/>
              <w:rPr>
                <w:rFonts w:eastAsiaTheme="minorEastAsia"/>
                <w:color w:val="000000" w:themeColor="text1"/>
                <w:sz w:val="20"/>
                <w:szCs w:val="20"/>
                <w:lang w:val="en-US"/>
              </w:rPr>
            </w:pPr>
            <w:r>
              <w:rPr>
                <w:rFonts w:eastAsiaTheme="minorEastAsia"/>
                <w:color w:val="000000" w:themeColor="text1"/>
                <w:sz w:val="20"/>
                <w:szCs w:val="20"/>
                <w:lang w:val="en-US"/>
              </w:rPr>
              <w:t>Regular teacher assessment</w:t>
            </w:r>
          </w:p>
          <w:p w14:paraId="7CEE56EC" w14:textId="2FB0C166" w:rsidR="00085DD0" w:rsidRDefault="23DD48D9" w:rsidP="03A317DB">
            <w:pPr>
              <w:pStyle w:val="ListParagraph"/>
              <w:numPr>
                <w:ilvl w:val="0"/>
                <w:numId w:val="9"/>
              </w:numPr>
              <w:ind w:left="306" w:hanging="284"/>
              <w:rPr>
                <w:rFonts w:eastAsiaTheme="minorEastAsia"/>
                <w:color w:val="000000" w:themeColor="text1"/>
                <w:sz w:val="20"/>
                <w:szCs w:val="20"/>
                <w:lang w:val="en-US"/>
              </w:rPr>
            </w:pPr>
            <w:r w:rsidRPr="03A317DB">
              <w:rPr>
                <w:rFonts w:eastAsiaTheme="minorEastAsia"/>
                <w:color w:val="000000" w:themeColor="text1"/>
                <w:sz w:val="20"/>
                <w:szCs w:val="20"/>
                <w:lang w:val="en-US"/>
              </w:rPr>
              <w:t>Catch-up curriculum implemented</w:t>
            </w:r>
            <w:r w:rsidR="62822E0A" w:rsidRPr="03A317DB">
              <w:rPr>
                <w:rFonts w:eastAsiaTheme="minorEastAsia"/>
                <w:color w:val="000000" w:themeColor="text1"/>
                <w:sz w:val="20"/>
                <w:szCs w:val="20"/>
                <w:lang w:val="en-US"/>
              </w:rPr>
              <w:t xml:space="preserve"> in the </w:t>
            </w:r>
            <w:r w:rsidRPr="03A317DB">
              <w:rPr>
                <w:rFonts w:eastAsiaTheme="minorEastAsia"/>
                <w:color w:val="000000" w:themeColor="text1"/>
                <w:sz w:val="20"/>
                <w:szCs w:val="20"/>
                <w:lang w:val="en-US"/>
              </w:rPr>
              <w:t>2021/22</w:t>
            </w:r>
            <w:r w:rsidR="4D3422C1" w:rsidRPr="03A317DB">
              <w:rPr>
                <w:rFonts w:eastAsiaTheme="minorEastAsia"/>
                <w:color w:val="000000" w:themeColor="text1"/>
                <w:sz w:val="20"/>
                <w:szCs w:val="20"/>
                <w:lang w:val="en-US"/>
              </w:rPr>
              <w:t xml:space="preserve"> </w:t>
            </w:r>
            <w:r w:rsidRPr="03A317DB">
              <w:rPr>
                <w:rFonts w:eastAsiaTheme="minorEastAsia"/>
                <w:color w:val="000000" w:themeColor="text1"/>
                <w:sz w:val="20"/>
                <w:szCs w:val="20"/>
                <w:lang w:val="en-US"/>
              </w:rPr>
              <w:t>academic year to back-fill topics unable to be taught remotely</w:t>
            </w:r>
            <w:r w:rsidR="5C1B97A6" w:rsidRPr="03A317DB">
              <w:rPr>
                <w:rFonts w:eastAsiaTheme="minorEastAsia"/>
                <w:color w:val="000000" w:themeColor="text1"/>
                <w:sz w:val="20"/>
                <w:szCs w:val="20"/>
                <w:lang w:val="en-US"/>
              </w:rPr>
              <w:t xml:space="preserve">. Elements of this were continued into 2022/23, and onwards into the current academic year, </w:t>
            </w:r>
            <w:r w:rsidR="1AC07CD8" w:rsidRPr="03A317DB">
              <w:rPr>
                <w:rFonts w:eastAsiaTheme="minorEastAsia"/>
                <w:color w:val="000000" w:themeColor="text1"/>
                <w:sz w:val="20"/>
                <w:szCs w:val="20"/>
                <w:lang w:val="en-US"/>
              </w:rPr>
              <w:t>to meet the needs of those who had extended periods of absence from school</w:t>
            </w:r>
          </w:p>
          <w:p w14:paraId="526BB071" w14:textId="77777777" w:rsidR="00085DD0" w:rsidRPr="00A02A6E" w:rsidRDefault="00085DD0" w:rsidP="00085DD0">
            <w:pPr>
              <w:pStyle w:val="ListParagraph"/>
              <w:numPr>
                <w:ilvl w:val="0"/>
                <w:numId w:val="9"/>
              </w:numPr>
              <w:ind w:left="306" w:hanging="284"/>
              <w:rPr>
                <w:rFonts w:eastAsiaTheme="minorEastAsia"/>
                <w:color w:val="000000" w:themeColor="text1"/>
                <w:sz w:val="20"/>
                <w:szCs w:val="20"/>
                <w:lang w:val="en-US"/>
              </w:rPr>
            </w:pPr>
            <w:r w:rsidRPr="00E97466">
              <w:rPr>
                <w:rFonts w:eastAsiaTheme="minorEastAsia"/>
                <w:color w:val="000000" w:themeColor="text1"/>
                <w:sz w:val="20"/>
                <w:szCs w:val="20"/>
                <w:lang w:val="en-US"/>
              </w:rPr>
              <w:t>Additional scaffolding and 1 to 1 support within the clas</w:t>
            </w:r>
            <w:r>
              <w:rPr>
                <w:rFonts w:eastAsiaTheme="minorEastAsia"/>
                <w:color w:val="000000" w:themeColor="text1"/>
                <w:sz w:val="20"/>
                <w:szCs w:val="20"/>
                <w:lang w:val="en-US"/>
              </w:rPr>
              <w:t>sroom</w:t>
            </w:r>
          </w:p>
        </w:tc>
      </w:tr>
    </w:tbl>
    <w:p w14:paraId="0E27B00A" w14:textId="77777777" w:rsidR="000A2587" w:rsidRDefault="000A2587" w:rsidP="000A2587"/>
    <w:sectPr w:rsidR="000A2587"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E//KEvb8MQgHw" int2:id="okjN1dOm">
      <int2:state int2:value="Rejected" int2:type="AugLoop_Text_Critique"/>
    </int2:textHash>
    <int2:textHash int2:hashCode="nRSox3TdiEm2GZ" int2:id="W5ryT3qI">
      <int2:state int2:value="Rejected" int2:type="AugLoop_Text_Critique"/>
    </int2:textHash>
    <int2:textHash int2:hashCode="XSUiEPxXFZ9tOg" int2:id="NxYzMC8T">
      <int2:state int2:value="Rejected" int2:type="AugLoop_Text_Critique"/>
    </int2:textHash>
    <int2:textHash int2:hashCode="xQy+KnIliT8rxm" int2:id="Q5kNN8tg">
      <int2:state int2:value="Rejected" int2:type="AugLoop_Text_Critique"/>
    </int2:textHash>
    <int2:bookmark int2:bookmarkName="_Int_WURZG12x" int2:invalidationBookmarkName="" int2:hashCode="eBeR9UzAhtDu87" int2:id="Tz9bNBPA">
      <int2:state int2:value="Rejected" int2:type="AugLoop_Text_Critique"/>
    </int2:bookmark>
    <int2:bookmark int2:bookmarkName="_Int_BMWPNLrS" int2:invalidationBookmarkName="" int2:hashCode="a2Elz8dU03M6CK" int2:id="bi5Jxjdx">
      <int2:state int2:value="Rejected" int2:type="AugLoop_Text_Critique"/>
    </int2:bookmark>
    <int2:bookmark int2:bookmarkName="_Int_shfCAAc0" int2:invalidationBookmarkName="" int2:hashCode="okacR4JFYPgFSr" int2:id="fkxukzk3">
      <int2:state int2:value="Rejected" int2:type="AugLoop_Acronyms_AcronymsCritique"/>
    </int2:bookmark>
    <int2:bookmark int2:bookmarkName="_Int_LdXFp2hS" int2:invalidationBookmarkName="" int2:hashCode="Q8SAd2TxE99D+4" int2:id="htMlvlnn">
      <int2:state int2:value="Rejected" int2:type="AugLoop_Text_Critique"/>
    </int2:bookmark>
    <int2:bookmark int2:bookmarkName="_Int_opXxfHmi" int2:invalidationBookmarkName="" int2:hashCode="0bFHrMEJYQFaNn" int2:id="6sgl7eQT">
      <int2:state int2:value="Rejected" int2:type="AugLoop_Text_Critique"/>
    </int2:bookmark>
    <int2:bookmark int2:bookmarkName="_Int_naLfOhbw" int2:invalidationBookmarkName="" int2:hashCode="g0s08W9FHgDyaN" int2:id="Uya1NUo3">
      <int2:state int2:value="Rejected" int2:type="AugLoop_Text_Critique"/>
    </int2:bookmark>
    <int2:bookmark int2:bookmarkName="_Int_oAqZi6L3" int2:invalidationBookmarkName="" int2:hashCode="mEissd1ramqObk" int2:id="4dASexEx">
      <int2:state int2:value="Rejected" int2:type="AugLoop_Text_Critique"/>
    </int2:bookmark>
    <int2:bookmark int2:bookmarkName="_Int_vjZcJPvS" int2:invalidationBookmarkName="" int2:hashCode="yIxiwsoLtgKuGw" int2:id="gZiOXGq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D04A7"/>
    <w:multiLevelType w:val="hybridMultilevel"/>
    <w:tmpl w:val="40324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7"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2946499">
    <w:abstractNumId w:val="1"/>
  </w:num>
  <w:num w:numId="2" w16cid:durableId="1841113243">
    <w:abstractNumId w:val="2"/>
  </w:num>
  <w:num w:numId="3" w16cid:durableId="936256480">
    <w:abstractNumId w:val="8"/>
  </w:num>
  <w:num w:numId="4" w16cid:durableId="1299263437">
    <w:abstractNumId w:val="4"/>
  </w:num>
  <w:num w:numId="5" w16cid:durableId="2130706954">
    <w:abstractNumId w:val="0"/>
  </w:num>
  <w:num w:numId="6" w16cid:durableId="1604149550">
    <w:abstractNumId w:val="7"/>
  </w:num>
  <w:num w:numId="7" w16cid:durableId="1097408366">
    <w:abstractNumId w:val="6"/>
  </w:num>
  <w:num w:numId="8" w16cid:durableId="64032336">
    <w:abstractNumId w:val="5"/>
  </w:num>
  <w:num w:numId="9" w16cid:durableId="292369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88"/>
    <w:rsid w:val="0006181D"/>
    <w:rsid w:val="000710E5"/>
    <w:rsid w:val="00071829"/>
    <w:rsid w:val="00071AFC"/>
    <w:rsid w:val="00085DD0"/>
    <w:rsid w:val="0009072B"/>
    <w:rsid w:val="000A1250"/>
    <w:rsid w:val="000A2587"/>
    <w:rsid w:val="000A4972"/>
    <w:rsid w:val="000C7779"/>
    <w:rsid w:val="000F1FD6"/>
    <w:rsid w:val="000F3B9D"/>
    <w:rsid w:val="000F60E0"/>
    <w:rsid w:val="000F6DB4"/>
    <w:rsid w:val="00112CB8"/>
    <w:rsid w:val="0014119E"/>
    <w:rsid w:val="00144AA8"/>
    <w:rsid w:val="0017686B"/>
    <w:rsid w:val="0019794E"/>
    <w:rsid w:val="001B218D"/>
    <w:rsid w:val="001B6668"/>
    <w:rsid w:val="00206978"/>
    <w:rsid w:val="00255B15"/>
    <w:rsid w:val="00276247"/>
    <w:rsid w:val="002940E6"/>
    <w:rsid w:val="002E14A2"/>
    <w:rsid w:val="002E50E5"/>
    <w:rsid w:val="00316E7C"/>
    <w:rsid w:val="00330E15"/>
    <w:rsid w:val="0035378F"/>
    <w:rsid w:val="003850B6"/>
    <w:rsid w:val="003A5129"/>
    <w:rsid w:val="003F62EF"/>
    <w:rsid w:val="00420DC4"/>
    <w:rsid w:val="00425679"/>
    <w:rsid w:val="00436C6D"/>
    <w:rsid w:val="00477CC2"/>
    <w:rsid w:val="0048160D"/>
    <w:rsid w:val="004864EE"/>
    <w:rsid w:val="004B4F3A"/>
    <w:rsid w:val="004C18DD"/>
    <w:rsid w:val="004D0F39"/>
    <w:rsid w:val="0050153B"/>
    <w:rsid w:val="005267A0"/>
    <w:rsid w:val="00567AE8"/>
    <w:rsid w:val="005A593A"/>
    <w:rsid w:val="005B38D4"/>
    <w:rsid w:val="005D01FC"/>
    <w:rsid w:val="005E054B"/>
    <w:rsid w:val="005E5305"/>
    <w:rsid w:val="005F45EC"/>
    <w:rsid w:val="00607766"/>
    <w:rsid w:val="006339E5"/>
    <w:rsid w:val="00645C51"/>
    <w:rsid w:val="006603E0"/>
    <w:rsid w:val="006C19A2"/>
    <w:rsid w:val="006D0E13"/>
    <w:rsid w:val="006D2C95"/>
    <w:rsid w:val="006E59F0"/>
    <w:rsid w:val="0071412A"/>
    <w:rsid w:val="0072041A"/>
    <w:rsid w:val="00740987"/>
    <w:rsid w:val="007647A2"/>
    <w:rsid w:val="0078652D"/>
    <w:rsid w:val="007985D5"/>
    <w:rsid w:val="007D0A82"/>
    <w:rsid w:val="007D1A76"/>
    <w:rsid w:val="007D62C5"/>
    <w:rsid w:val="007F6E8F"/>
    <w:rsid w:val="00820609"/>
    <w:rsid w:val="008255A0"/>
    <w:rsid w:val="00835B61"/>
    <w:rsid w:val="008516A5"/>
    <w:rsid w:val="008723FA"/>
    <w:rsid w:val="00882B8C"/>
    <w:rsid w:val="008B3F28"/>
    <w:rsid w:val="008D3A73"/>
    <w:rsid w:val="00945196"/>
    <w:rsid w:val="009858B3"/>
    <w:rsid w:val="00991F99"/>
    <w:rsid w:val="009B5739"/>
    <w:rsid w:val="009C135E"/>
    <w:rsid w:val="009C4CB7"/>
    <w:rsid w:val="009D41B8"/>
    <w:rsid w:val="009F24AA"/>
    <w:rsid w:val="00A02A6E"/>
    <w:rsid w:val="00A07098"/>
    <w:rsid w:val="00A33975"/>
    <w:rsid w:val="00A42981"/>
    <w:rsid w:val="00A74C20"/>
    <w:rsid w:val="00A84DDD"/>
    <w:rsid w:val="00A8760C"/>
    <w:rsid w:val="00AC4045"/>
    <w:rsid w:val="00B06FEA"/>
    <w:rsid w:val="00B14E8E"/>
    <w:rsid w:val="00B22DAE"/>
    <w:rsid w:val="00B348A0"/>
    <w:rsid w:val="00B66493"/>
    <w:rsid w:val="00B73DFC"/>
    <w:rsid w:val="00B74BEE"/>
    <w:rsid w:val="00BB57DB"/>
    <w:rsid w:val="00BB7DAA"/>
    <w:rsid w:val="00C000A2"/>
    <w:rsid w:val="00C1B2B5"/>
    <w:rsid w:val="00C4263F"/>
    <w:rsid w:val="00C429BC"/>
    <w:rsid w:val="00C51CAC"/>
    <w:rsid w:val="00C84AA7"/>
    <w:rsid w:val="00CB197B"/>
    <w:rsid w:val="00CB4539"/>
    <w:rsid w:val="00CD69BA"/>
    <w:rsid w:val="00CF6E9B"/>
    <w:rsid w:val="00D01AD9"/>
    <w:rsid w:val="00D17D21"/>
    <w:rsid w:val="00D24804"/>
    <w:rsid w:val="00D30E8A"/>
    <w:rsid w:val="00D32457"/>
    <w:rsid w:val="00D8165D"/>
    <w:rsid w:val="00D901CA"/>
    <w:rsid w:val="00D95206"/>
    <w:rsid w:val="00DF2FD7"/>
    <w:rsid w:val="00E22C86"/>
    <w:rsid w:val="00E51F81"/>
    <w:rsid w:val="00E54BE3"/>
    <w:rsid w:val="00E81AFA"/>
    <w:rsid w:val="00E921FB"/>
    <w:rsid w:val="00E97466"/>
    <w:rsid w:val="00EA7057"/>
    <w:rsid w:val="00EE1A0B"/>
    <w:rsid w:val="00EE7B74"/>
    <w:rsid w:val="00EF1542"/>
    <w:rsid w:val="00F12389"/>
    <w:rsid w:val="00F219BD"/>
    <w:rsid w:val="00F3399F"/>
    <w:rsid w:val="00F643EF"/>
    <w:rsid w:val="00F86068"/>
    <w:rsid w:val="00F90902"/>
    <w:rsid w:val="00FA5388"/>
    <w:rsid w:val="00FB2072"/>
    <w:rsid w:val="00FB7460"/>
    <w:rsid w:val="00FE3992"/>
    <w:rsid w:val="00FE6227"/>
    <w:rsid w:val="01597970"/>
    <w:rsid w:val="03A317DB"/>
    <w:rsid w:val="045D3137"/>
    <w:rsid w:val="06161442"/>
    <w:rsid w:val="0820511F"/>
    <w:rsid w:val="08EC91B1"/>
    <w:rsid w:val="09427095"/>
    <w:rsid w:val="0BF3CDEB"/>
    <w:rsid w:val="0BF5A7DF"/>
    <w:rsid w:val="0C326DB0"/>
    <w:rsid w:val="0D3E8975"/>
    <w:rsid w:val="0E14F038"/>
    <w:rsid w:val="0E212627"/>
    <w:rsid w:val="0E6EF66C"/>
    <w:rsid w:val="0ED9EC80"/>
    <w:rsid w:val="0EF314DD"/>
    <w:rsid w:val="0F24DE3D"/>
    <w:rsid w:val="108EE53E"/>
    <w:rsid w:val="109230C4"/>
    <w:rsid w:val="12095DB2"/>
    <w:rsid w:val="12DE7FDB"/>
    <w:rsid w:val="13C68600"/>
    <w:rsid w:val="15C282D0"/>
    <w:rsid w:val="16F11188"/>
    <w:rsid w:val="16FE26C2"/>
    <w:rsid w:val="198626AA"/>
    <w:rsid w:val="19C2879D"/>
    <w:rsid w:val="19DFD327"/>
    <w:rsid w:val="1AC07CD8"/>
    <w:rsid w:val="1BD197E5"/>
    <w:rsid w:val="1D512472"/>
    <w:rsid w:val="1D76B275"/>
    <w:rsid w:val="1E70DD9F"/>
    <w:rsid w:val="1EC8498C"/>
    <w:rsid w:val="223845CB"/>
    <w:rsid w:val="22F9803D"/>
    <w:rsid w:val="23262CEF"/>
    <w:rsid w:val="23DD48D9"/>
    <w:rsid w:val="247042C9"/>
    <w:rsid w:val="27FB0A82"/>
    <w:rsid w:val="28B8C6CD"/>
    <w:rsid w:val="297D2351"/>
    <w:rsid w:val="2A3F1BC5"/>
    <w:rsid w:val="2BD73F32"/>
    <w:rsid w:val="2BDD03C4"/>
    <w:rsid w:val="2DDA803D"/>
    <w:rsid w:val="2DEA51F4"/>
    <w:rsid w:val="2E5644B3"/>
    <w:rsid w:val="2F1A2091"/>
    <w:rsid w:val="321DF78D"/>
    <w:rsid w:val="32B6EB19"/>
    <w:rsid w:val="33972EDA"/>
    <w:rsid w:val="34917AD3"/>
    <w:rsid w:val="34B987D1"/>
    <w:rsid w:val="378ABFB0"/>
    <w:rsid w:val="37BDA978"/>
    <w:rsid w:val="3813196E"/>
    <w:rsid w:val="38B7D4A2"/>
    <w:rsid w:val="38E8CA90"/>
    <w:rsid w:val="38FEADCF"/>
    <w:rsid w:val="39A8C6D3"/>
    <w:rsid w:val="3B449734"/>
    <w:rsid w:val="3CE5FECD"/>
    <w:rsid w:val="3E243FDC"/>
    <w:rsid w:val="3F1E6B06"/>
    <w:rsid w:val="43CE8CAF"/>
    <w:rsid w:val="445CD912"/>
    <w:rsid w:val="46974BB8"/>
    <w:rsid w:val="46C55191"/>
    <w:rsid w:val="47410BDD"/>
    <w:rsid w:val="4A46DEA8"/>
    <w:rsid w:val="4B6366DE"/>
    <w:rsid w:val="4CB59833"/>
    <w:rsid w:val="4D3422C1"/>
    <w:rsid w:val="4E1FD41C"/>
    <w:rsid w:val="4F602254"/>
    <w:rsid w:val="5053C2EF"/>
    <w:rsid w:val="5079B8DC"/>
    <w:rsid w:val="51A46895"/>
    <w:rsid w:val="53802296"/>
    <w:rsid w:val="53A9F9CC"/>
    <w:rsid w:val="53E06D07"/>
    <w:rsid w:val="553F083A"/>
    <w:rsid w:val="5684A417"/>
    <w:rsid w:val="57262C24"/>
    <w:rsid w:val="57503D6C"/>
    <w:rsid w:val="583BDE2F"/>
    <w:rsid w:val="586B36DF"/>
    <w:rsid w:val="5A400E5B"/>
    <w:rsid w:val="5B517892"/>
    <w:rsid w:val="5C1B97A6"/>
    <w:rsid w:val="5C325101"/>
    <w:rsid w:val="5CC74838"/>
    <w:rsid w:val="5E4A7DF8"/>
    <w:rsid w:val="5E98030D"/>
    <w:rsid w:val="602B2B50"/>
    <w:rsid w:val="604C42F4"/>
    <w:rsid w:val="614B2A83"/>
    <w:rsid w:val="62822E0A"/>
    <w:rsid w:val="643D62E6"/>
    <w:rsid w:val="64C26A9F"/>
    <w:rsid w:val="64D94892"/>
    <w:rsid w:val="64EAA6E6"/>
    <w:rsid w:val="6512D5A4"/>
    <w:rsid w:val="65476504"/>
    <w:rsid w:val="65EFF2D0"/>
    <w:rsid w:val="677503A8"/>
    <w:rsid w:val="69EBC631"/>
    <w:rsid w:val="6A6665C2"/>
    <w:rsid w:val="6AACA46A"/>
    <w:rsid w:val="6C4874CB"/>
    <w:rsid w:val="6C506251"/>
    <w:rsid w:val="6D803BF8"/>
    <w:rsid w:val="6DEC32B2"/>
    <w:rsid w:val="6E2FA1A5"/>
    <w:rsid w:val="6F80158D"/>
    <w:rsid w:val="6F880313"/>
    <w:rsid w:val="70732E4E"/>
    <w:rsid w:val="711BE5EE"/>
    <w:rsid w:val="71B333B3"/>
    <w:rsid w:val="71D67049"/>
    <w:rsid w:val="7236A6D9"/>
    <w:rsid w:val="73CC6C89"/>
    <w:rsid w:val="73EDF1BD"/>
    <w:rsid w:val="745C3290"/>
    <w:rsid w:val="74D0C61F"/>
    <w:rsid w:val="75EC95A1"/>
    <w:rsid w:val="75F802F1"/>
    <w:rsid w:val="767D5037"/>
    <w:rsid w:val="767FFF47"/>
    <w:rsid w:val="7755C433"/>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0D5C"/>
  <w15:docId w15:val="{40FCF5F3-A9BF-454A-8EAD-CA75ED82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 w:type="paragraph" w:styleId="BalloonText">
    <w:name w:val="Balloon Text"/>
    <w:basedOn w:val="Normal"/>
    <w:link w:val="BalloonTextChar"/>
    <w:uiPriority w:val="99"/>
    <w:semiHidden/>
    <w:unhideWhenUsed/>
    <w:rsid w:val="00764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Williams01\Downloads\SUBJECT%20-%20Curriculum%20Intent%20On%20A%20Page%20-%202021-2%20-%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SharedWithUsers xmlns="5a32cb5b-f885-4374-af00-19c10683c860">
      <UserInfo>
        <DisplayName>Stuart Williams (Pine Green Staff)</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CED5A-960C-45E4-87A7-5877150C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customXml/itemProps3.xml><?xml version="1.0" encoding="utf-8"?>
<ds:datastoreItem xmlns:ds="http://schemas.openxmlformats.org/officeDocument/2006/customXml" ds:itemID="{D547598D-765B-4D37-9079-04585C8C6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SUBJECT - Curriculum Intent On A Page - 2021-2 - TEMPLATE (1)</Template>
  <TotalTime>0</TotalTime>
  <Pages>2</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STR.Williams01</dc:creator>
  <cp:keywords/>
  <dc:description/>
  <cp:lastModifiedBy>Stuart Williams (Pine Green Staff)</cp:lastModifiedBy>
  <cp:revision>8</cp:revision>
  <cp:lastPrinted>2022-02-17T16:01:00Z</cp:lastPrinted>
  <dcterms:created xsi:type="dcterms:W3CDTF">2022-02-25T15:52:00Z</dcterms:created>
  <dcterms:modified xsi:type="dcterms:W3CDTF">2024-11-26T12:35:00Z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