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63C06"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681BF930" wp14:editId="14338E84">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DB" w:rsidRPr="00F86068">
        <w:rPr>
          <w:b/>
          <w:bCs/>
          <w:sz w:val="24"/>
          <w:szCs w:val="24"/>
          <w:u w:val="single"/>
          <w:lang w:val="en-US"/>
        </w:rPr>
        <w:t xml:space="preserve">Curriculum Intent </w:t>
      </w:r>
      <w:r w:rsidR="00A42981" w:rsidRPr="00F86068">
        <w:rPr>
          <w:b/>
          <w:bCs/>
          <w:sz w:val="24"/>
          <w:szCs w:val="24"/>
          <w:u w:val="single"/>
          <w:lang w:val="en-US"/>
        </w:rPr>
        <w:t>o</w:t>
      </w:r>
      <w:r w:rsidR="00BB57DB" w:rsidRPr="00F86068">
        <w:rPr>
          <w:b/>
          <w:bCs/>
          <w:sz w:val="24"/>
          <w:szCs w:val="24"/>
          <w:u w:val="single"/>
          <w:lang w:val="en-US"/>
        </w:rPr>
        <w:t xml:space="preserve">n </w:t>
      </w:r>
      <w:r w:rsidR="00A42981" w:rsidRPr="00F86068">
        <w:rPr>
          <w:b/>
          <w:bCs/>
          <w:sz w:val="24"/>
          <w:szCs w:val="24"/>
          <w:u w:val="single"/>
          <w:lang w:val="en-US"/>
        </w:rPr>
        <w:t>a</w:t>
      </w:r>
      <w:r w:rsidR="00BB57DB" w:rsidRPr="00F86068">
        <w:rPr>
          <w:b/>
          <w:bCs/>
          <w:sz w:val="24"/>
          <w:szCs w:val="24"/>
          <w:u w:val="single"/>
          <w:lang w:val="en-US"/>
        </w:rPr>
        <w:t xml:space="preserve"> Page</w:t>
      </w:r>
      <w:r w:rsidRPr="000A2587">
        <w:rPr>
          <w:noProof/>
        </w:rPr>
        <w:t xml:space="preserve"> </w:t>
      </w:r>
    </w:p>
    <w:p w14:paraId="30D97DDC"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14:paraId="7498A95F" w14:textId="77777777" w:rsidTr="0072041A">
        <w:tc>
          <w:tcPr>
            <w:tcW w:w="1696" w:type="dxa"/>
            <w:shd w:val="clear" w:color="auto" w:fill="112B43"/>
          </w:tcPr>
          <w:p w14:paraId="22BE25EF" w14:textId="77777777" w:rsidR="00BB57DB" w:rsidRPr="00BB57DB" w:rsidRDefault="00BB57DB">
            <w:pPr>
              <w:rPr>
                <w:b/>
                <w:bCs/>
                <w:lang w:val="en-US"/>
              </w:rPr>
            </w:pPr>
            <w:r w:rsidRPr="00BB57DB">
              <w:rPr>
                <w:b/>
                <w:bCs/>
                <w:lang w:val="en-US"/>
              </w:rPr>
              <w:t>Subject</w:t>
            </w:r>
          </w:p>
        </w:tc>
        <w:tc>
          <w:tcPr>
            <w:tcW w:w="9214" w:type="dxa"/>
          </w:tcPr>
          <w:p w14:paraId="73C20076" w14:textId="77777777" w:rsidR="00BB57DB" w:rsidRPr="00EE1A0B" w:rsidRDefault="0045018E">
            <w:pPr>
              <w:rPr>
                <w:sz w:val="20"/>
                <w:szCs w:val="20"/>
                <w:lang w:val="en-US"/>
              </w:rPr>
            </w:pPr>
            <w:r>
              <w:rPr>
                <w:sz w:val="20"/>
                <w:szCs w:val="20"/>
                <w:lang w:val="en-US"/>
              </w:rPr>
              <w:t>Science</w:t>
            </w:r>
          </w:p>
        </w:tc>
      </w:tr>
      <w:tr w:rsidR="00BB57DB" w14:paraId="7D66314D" w14:textId="77777777" w:rsidTr="0072041A">
        <w:tc>
          <w:tcPr>
            <w:tcW w:w="1696" w:type="dxa"/>
            <w:shd w:val="clear" w:color="auto" w:fill="112B43"/>
          </w:tcPr>
          <w:p w14:paraId="1FA6A11E" w14:textId="77777777" w:rsidR="00BB57DB" w:rsidRPr="00BB57DB" w:rsidRDefault="00D17D21">
            <w:pPr>
              <w:rPr>
                <w:b/>
                <w:bCs/>
                <w:lang w:val="en-US"/>
              </w:rPr>
            </w:pPr>
            <w:r>
              <w:rPr>
                <w:b/>
                <w:bCs/>
                <w:lang w:val="en-US"/>
              </w:rPr>
              <w:t xml:space="preserve">Subject Teacher </w:t>
            </w:r>
          </w:p>
        </w:tc>
        <w:tc>
          <w:tcPr>
            <w:tcW w:w="9214" w:type="dxa"/>
          </w:tcPr>
          <w:p w14:paraId="567FBC43" w14:textId="77777777" w:rsidR="00BB57DB" w:rsidRPr="00EE1A0B" w:rsidRDefault="0045018E" w:rsidP="2BDD03C4">
            <w:pPr>
              <w:spacing w:line="259" w:lineRule="auto"/>
            </w:pPr>
            <w:r>
              <w:t>Ralette Service</w:t>
            </w:r>
          </w:p>
        </w:tc>
      </w:tr>
    </w:tbl>
    <w:p w14:paraId="547E4471"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2E35AF6A" w14:textId="77777777" w:rsidTr="24A20057">
        <w:tc>
          <w:tcPr>
            <w:tcW w:w="10910" w:type="dxa"/>
            <w:shd w:val="clear" w:color="auto" w:fill="112B43"/>
          </w:tcPr>
          <w:p w14:paraId="0B148B6E" w14:textId="77777777" w:rsidR="00BB57DB" w:rsidRPr="00BB57DB" w:rsidRDefault="00B74BEE" w:rsidP="00991F99">
            <w:pPr>
              <w:jc w:val="right"/>
              <w:rPr>
                <w:b/>
                <w:bCs/>
                <w:lang w:val="en-US"/>
              </w:rPr>
            </w:pPr>
            <w:r>
              <w:rPr>
                <w:b/>
                <w:bCs/>
                <w:lang w:val="en-US"/>
              </w:rPr>
              <w:t>I</w:t>
            </w:r>
            <w:r w:rsidR="00BB57DB" w:rsidRPr="00BB57DB">
              <w:rPr>
                <w:b/>
                <w:bCs/>
                <w:lang w:val="en-US"/>
              </w:rPr>
              <w:t xml:space="preserve">ntent </w:t>
            </w:r>
            <w:r>
              <w:rPr>
                <w:b/>
                <w:bCs/>
                <w:lang w:val="en-US"/>
              </w:rPr>
              <w:t>s</w:t>
            </w:r>
            <w:r w:rsidR="00BB57DB" w:rsidRPr="00BB57DB">
              <w:rPr>
                <w:b/>
                <w:bCs/>
                <w:lang w:val="en-US"/>
              </w:rPr>
              <w:t xml:space="preserve">tatement </w:t>
            </w:r>
            <w:r w:rsidR="00BB7DAA">
              <w:rPr>
                <w:b/>
                <w:bCs/>
                <w:lang w:val="en-US"/>
              </w:rPr>
              <w:t xml:space="preserve">– Our Curriculum Objectives </w:t>
            </w:r>
          </w:p>
        </w:tc>
      </w:tr>
      <w:tr w:rsidR="00BB57DB" w14:paraId="3E7A187A" w14:textId="77777777" w:rsidTr="24A20057">
        <w:tc>
          <w:tcPr>
            <w:tcW w:w="10910" w:type="dxa"/>
          </w:tcPr>
          <w:p w14:paraId="5C972EAD" w14:textId="77777777" w:rsidR="00BB57DB" w:rsidRPr="007D50F0" w:rsidRDefault="0070337E" w:rsidP="00613940">
            <w:pPr>
              <w:rPr>
                <w:rFonts w:eastAsia="Calibri" w:cstheme="minorHAnsi"/>
                <w:color w:val="000000" w:themeColor="text1"/>
                <w:sz w:val="20"/>
                <w:szCs w:val="20"/>
              </w:rPr>
            </w:pPr>
            <w:r w:rsidRPr="007D50F0">
              <w:rPr>
                <w:rFonts w:ascii="Calibri" w:eastAsia="Calibri" w:hAnsi="Calibri" w:cs="Calibri"/>
                <w:color w:val="000000" w:themeColor="text1"/>
                <w:sz w:val="20"/>
                <w:szCs w:val="20"/>
              </w:rPr>
              <w:t>At Pine Green our curriculum is broad and balanced to enable our students to have a wide knowledge and understanding about the world around them. It is rich in skills and knowledge,</w:t>
            </w:r>
            <w:r w:rsidRPr="007D50F0">
              <w:rPr>
                <w:rFonts w:ascii="Segoe UI" w:eastAsia="Times New Roman" w:hAnsi="Segoe UI" w:cs="Segoe UI"/>
                <w:bCs/>
                <w:color w:val="000000"/>
                <w:sz w:val="20"/>
                <w:szCs w:val="20"/>
                <w:lang w:eastAsia="en-GB"/>
              </w:rPr>
              <w:t xml:space="preserve"> </w:t>
            </w:r>
            <w:r w:rsidRPr="007D50F0">
              <w:rPr>
                <w:rFonts w:eastAsia="Times New Roman" w:cstheme="minorHAnsi"/>
                <w:bCs/>
                <w:color w:val="000000"/>
                <w:sz w:val="20"/>
                <w:szCs w:val="20"/>
                <w:lang w:eastAsia="en-GB"/>
              </w:rPr>
              <w:t>which ignites curiosity and prepares them well for future learning or employment.</w:t>
            </w:r>
          </w:p>
          <w:p w14:paraId="2EE69364" w14:textId="7326A150" w:rsidR="0070337E" w:rsidRPr="00926329" w:rsidRDefault="5CE8B915" w:rsidP="5CE8B915">
            <w:pPr>
              <w:pStyle w:val="has-blue-color"/>
              <w:shd w:val="clear" w:color="auto" w:fill="FFFFFF" w:themeFill="background1"/>
              <w:spacing w:before="0" w:beforeAutospacing="0" w:after="0" w:afterAutospacing="0"/>
              <w:rPr>
                <w:rFonts w:asciiTheme="minorHAnsi" w:hAnsiTheme="minorHAnsi" w:cstheme="minorBidi"/>
                <w:color w:val="0D0D0D" w:themeColor="text1" w:themeTint="F2"/>
                <w:sz w:val="22"/>
                <w:szCs w:val="22"/>
              </w:rPr>
            </w:pPr>
            <w:r w:rsidRPr="5CE8B915">
              <w:rPr>
                <w:rFonts w:asciiTheme="minorHAnsi" w:hAnsiTheme="minorHAnsi" w:cstheme="minorBidi"/>
                <w:color w:val="0D0D0D" w:themeColor="text1" w:themeTint="F2"/>
                <w:sz w:val="20"/>
                <w:szCs w:val="20"/>
              </w:rPr>
              <w:t>Our curriculum is designed to provide students with a deep understanding of the scientific knowledge and ideas that impact them as individuals within a local and globalised context. As they move through the curriculum, students will be increasingly made to develop their curiosity, provide insight into working scientifically and appreciate the value of science in their everyday lives.</w:t>
            </w:r>
            <w:r w:rsidRPr="5CE8B915">
              <w:rPr>
                <w:rFonts w:asciiTheme="minorHAnsi" w:hAnsiTheme="minorHAnsi" w:cstheme="minorBidi"/>
                <w:color w:val="0D0D0D" w:themeColor="text1" w:themeTint="F2"/>
                <w:sz w:val="22"/>
                <w:szCs w:val="22"/>
              </w:rPr>
              <w:t xml:space="preserve"> </w:t>
            </w:r>
          </w:p>
          <w:p w14:paraId="4F81B7EE" w14:textId="70EE89DF" w:rsidR="00255B15" w:rsidRPr="007D0A82" w:rsidRDefault="00255B15" w:rsidP="0014119E">
            <w:pPr>
              <w:rPr>
                <w:rFonts w:ascii="Calibri" w:eastAsia="Calibri" w:hAnsi="Calibri" w:cs="Calibri"/>
                <w:color w:val="000000" w:themeColor="text1"/>
                <w:sz w:val="19"/>
                <w:szCs w:val="19"/>
              </w:rPr>
            </w:pPr>
          </w:p>
        </w:tc>
      </w:tr>
      <w:tr w:rsidR="00BB57DB" w14:paraId="2CF7D498" w14:textId="77777777" w:rsidTr="24A20057">
        <w:tc>
          <w:tcPr>
            <w:tcW w:w="10910" w:type="dxa"/>
            <w:shd w:val="clear" w:color="auto" w:fill="112B43"/>
          </w:tcPr>
          <w:p w14:paraId="6D09D330" w14:textId="77777777" w:rsidR="00BB57DB" w:rsidRPr="00BB57DB" w:rsidRDefault="00BB7DAA" w:rsidP="00991F99">
            <w:pPr>
              <w:jc w:val="right"/>
              <w:rPr>
                <w:b/>
                <w:bCs/>
                <w:lang w:val="en-US"/>
              </w:rPr>
            </w:pPr>
            <w:r>
              <w:rPr>
                <w:b/>
                <w:bCs/>
                <w:lang w:val="en-US"/>
              </w:rPr>
              <w:t>Curriculum Sequencing</w:t>
            </w:r>
          </w:p>
        </w:tc>
      </w:tr>
      <w:tr w:rsidR="00BB57DB" w14:paraId="251C9116" w14:textId="77777777" w:rsidTr="24A20057">
        <w:tc>
          <w:tcPr>
            <w:tcW w:w="10910" w:type="dxa"/>
          </w:tcPr>
          <w:p w14:paraId="3AA3A44F" w14:textId="5157DB70" w:rsidR="00D51770" w:rsidRPr="007D50F0" w:rsidRDefault="00D51770" w:rsidP="007A4B7D">
            <w:pPr>
              <w:pStyle w:val="has-blue-color"/>
              <w:shd w:val="clear" w:color="auto" w:fill="FFFFFF"/>
              <w:spacing w:before="0" w:beforeAutospacing="0" w:after="0" w:afterAutospacing="0"/>
              <w:rPr>
                <w:rFonts w:asciiTheme="minorHAnsi" w:hAnsiTheme="minorHAnsi" w:cstheme="minorHAnsi"/>
                <w:color w:val="0D0D0D" w:themeColor="text1" w:themeTint="F2"/>
                <w:sz w:val="20"/>
                <w:szCs w:val="20"/>
              </w:rPr>
            </w:pPr>
            <w:r w:rsidRPr="007D50F0">
              <w:rPr>
                <w:rFonts w:asciiTheme="minorHAnsi" w:hAnsiTheme="minorHAnsi" w:cstheme="minorHAnsi"/>
                <w:color w:val="0D0D0D" w:themeColor="text1" w:themeTint="F2"/>
                <w:sz w:val="20"/>
                <w:szCs w:val="20"/>
              </w:rPr>
              <w:t xml:space="preserve">At </w:t>
            </w:r>
            <w:r w:rsidRPr="007D50F0">
              <w:rPr>
                <w:rFonts w:asciiTheme="minorHAnsi" w:hAnsiTheme="minorHAnsi" w:cstheme="minorHAnsi"/>
                <w:b/>
                <w:color w:val="0D0D0D" w:themeColor="text1" w:themeTint="F2"/>
                <w:sz w:val="20"/>
                <w:szCs w:val="20"/>
              </w:rPr>
              <w:t>KS3</w:t>
            </w:r>
            <w:r w:rsidRPr="007D50F0">
              <w:rPr>
                <w:rFonts w:asciiTheme="minorHAnsi" w:hAnsiTheme="minorHAnsi" w:cstheme="minorHAnsi"/>
                <w:color w:val="0D0D0D" w:themeColor="text1" w:themeTint="F2"/>
                <w:sz w:val="20"/>
                <w:szCs w:val="20"/>
              </w:rPr>
              <w:t xml:space="preserve"> we have a spiral curriculum with threshold concepts being revisited at the beginning of every topic. This gives students’ firm foundations upon which to build deeper knowledge. We have a focus on practical skills throughout KS3 to ensure these are fully embedded for further study. We also strive to give lots of real-life examples of science in action, this allows students to be able to communicate their learning with other people and to explore careers in the science industry.</w:t>
            </w:r>
          </w:p>
          <w:p w14:paraId="5874870C" w14:textId="6933E239" w:rsidR="00613940" w:rsidRPr="007D50F0" w:rsidRDefault="00613940" w:rsidP="04A5C530">
            <w:pPr>
              <w:shd w:val="clear" w:color="auto" w:fill="FFFFFF" w:themeFill="background1"/>
              <w:textAlignment w:val="baseline"/>
              <w:rPr>
                <w:rFonts w:eastAsia="Times New Roman"/>
                <w:color w:val="000000"/>
                <w:sz w:val="20"/>
                <w:szCs w:val="20"/>
                <w:lang w:eastAsia="en-GB"/>
              </w:rPr>
            </w:pPr>
            <w:r w:rsidRPr="04A5C530">
              <w:rPr>
                <w:rFonts w:eastAsia="Times New Roman"/>
                <w:color w:val="000000" w:themeColor="text1"/>
                <w:sz w:val="20"/>
                <w:szCs w:val="20"/>
                <w:lang w:eastAsia="en-GB"/>
              </w:rPr>
              <w:t xml:space="preserve">Pupils are given opportunities to plan and carry out investigations; areas where they struggle such as applying abstract ideas are reinforced by demonstrations; role </w:t>
            </w:r>
            <w:r w:rsidR="432B6856" w:rsidRPr="04A5C530">
              <w:rPr>
                <w:rFonts w:eastAsia="Times New Roman"/>
                <w:color w:val="000000" w:themeColor="text1"/>
                <w:sz w:val="20"/>
                <w:szCs w:val="20"/>
                <w:lang w:eastAsia="en-GB"/>
              </w:rPr>
              <w:t>play,</w:t>
            </w:r>
            <w:r w:rsidRPr="04A5C530">
              <w:rPr>
                <w:rFonts w:eastAsia="Times New Roman"/>
                <w:color w:val="000000" w:themeColor="text1"/>
                <w:sz w:val="20"/>
                <w:szCs w:val="20"/>
                <w:lang w:eastAsia="en-GB"/>
              </w:rPr>
              <w:t xml:space="preserve"> and activities designed to explain the abstract. Video clips also play an important role in delivering the key stage 3 curriculum as many pupils are visual learners and are more likely to connect with a screen. The use of ICT is encouraged throughout with pupils undertaking research tasks with the appropriate level of support.</w:t>
            </w:r>
          </w:p>
          <w:p w14:paraId="096DBC4B" w14:textId="77777777" w:rsidR="00613940" w:rsidRPr="007D50F0" w:rsidRDefault="00613940" w:rsidP="007A4B7D">
            <w:pPr>
              <w:rPr>
                <w:rFonts w:cstheme="minorHAnsi"/>
                <w:b/>
                <w:sz w:val="20"/>
                <w:szCs w:val="20"/>
              </w:rPr>
            </w:pPr>
            <w:r w:rsidRPr="007D50F0">
              <w:rPr>
                <w:rFonts w:eastAsia="Times New Roman" w:cstheme="minorHAnsi"/>
                <w:color w:val="000000"/>
                <w:sz w:val="20"/>
                <w:szCs w:val="20"/>
                <w:lang w:eastAsia="en-GB"/>
              </w:rPr>
              <w:t>As they progress through the curriculum themes are re-visited and understanding of topics and concepts are strengthened from AQA.</w:t>
            </w:r>
          </w:p>
          <w:p w14:paraId="32E3436A" w14:textId="01C53B09" w:rsidR="00D51770" w:rsidRPr="007D50F0" w:rsidRDefault="00D51770" w:rsidP="007A4B7D">
            <w:pPr>
              <w:pStyle w:val="has-blue-color"/>
              <w:shd w:val="clear" w:color="auto" w:fill="FFFFFF"/>
              <w:spacing w:before="0" w:beforeAutospacing="0" w:after="0" w:afterAutospacing="0"/>
              <w:rPr>
                <w:rFonts w:asciiTheme="minorHAnsi" w:hAnsiTheme="minorHAnsi" w:cs="Segoe UI"/>
                <w:color w:val="0D0D0D" w:themeColor="text1" w:themeTint="F2"/>
                <w:sz w:val="20"/>
                <w:szCs w:val="20"/>
              </w:rPr>
            </w:pPr>
            <w:r w:rsidRPr="007D50F0">
              <w:rPr>
                <w:rStyle w:val="Strong"/>
                <w:rFonts w:asciiTheme="minorHAnsi" w:hAnsiTheme="minorHAnsi" w:cs="Segoe UI"/>
                <w:color w:val="0D0D0D" w:themeColor="text1" w:themeTint="F2"/>
                <w:sz w:val="20"/>
                <w:szCs w:val="20"/>
              </w:rPr>
              <w:t>At GCSE</w:t>
            </w:r>
            <w:r w:rsidRPr="007D50F0">
              <w:rPr>
                <w:rFonts w:asciiTheme="minorHAnsi" w:hAnsiTheme="minorHAnsi" w:cs="Segoe UI"/>
                <w:color w:val="0D0D0D" w:themeColor="text1" w:themeTint="F2"/>
                <w:sz w:val="20"/>
                <w:szCs w:val="20"/>
              </w:rPr>
              <w:t xml:space="preserve"> we follow the AQA combined science route for </w:t>
            </w:r>
            <w:r w:rsidR="00613940" w:rsidRPr="007D50F0">
              <w:rPr>
                <w:rFonts w:asciiTheme="minorHAnsi" w:hAnsiTheme="minorHAnsi" w:cs="Segoe UI"/>
                <w:color w:val="0D0D0D" w:themeColor="text1" w:themeTint="F2"/>
                <w:sz w:val="20"/>
                <w:szCs w:val="20"/>
              </w:rPr>
              <w:t xml:space="preserve">some </w:t>
            </w:r>
            <w:r w:rsidRPr="007D50F0">
              <w:rPr>
                <w:rFonts w:asciiTheme="minorHAnsi" w:hAnsiTheme="minorHAnsi" w:cs="Segoe UI"/>
                <w:color w:val="0D0D0D" w:themeColor="text1" w:themeTint="F2"/>
                <w:sz w:val="20"/>
                <w:szCs w:val="20"/>
              </w:rPr>
              <w:t>students. The students will study topics that cover Biology, Chemistry and Physics knowledge. These topics build on the concepts first met at KS3 and develop understanding further to ensure students become fluent in their scientific understanding.</w:t>
            </w:r>
          </w:p>
          <w:p w14:paraId="539E15BE" w14:textId="77777777" w:rsidR="00D51770" w:rsidRPr="007D50F0" w:rsidRDefault="00D51770" w:rsidP="007A4B7D">
            <w:pPr>
              <w:pStyle w:val="has-blue-color"/>
              <w:shd w:val="clear" w:color="auto" w:fill="FFFFFF"/>
              <w:spacing w:before="0" w:beforeAutospacing="0" w:after="0" w:afterAutospacing="0"/>
              <w:rPr>
                <w:rFonts w:asciiTheme="minorHAnsi" w:hAnsiTheme="minorHAnsi" w:cs="Segoe UI"/>
                <w:color w:val="0D0D0D" w:themeColor="text1" w:themeTint="F2"/>
                <w:sz w:val="20"/>
                <w:szCs w:val="20"/>
              </w:rPr>
            </w:pPr>
            <w:r w:rsidRPr="007D50F0">
              <w:rPr>
                <w:rStyle w:val="Strong"/>
                <w:rFonts w:asciiTheme="minorHAnsi" w:hAnsiTheme="minorHAnsi" w:cs="Segoe UI"/>
                <w:color w:val="0D0D0D" w:themeColor="text1" w:themeTint="F2"/>
                <w:sz w:val="20"/>
                <w:szCs w:val="20"/>
              </w:rPr>
              <w:t>In Biology</w:t>
            </w:r>
            <w:r w:rsidRPr="007D50F0">
              <w:rPr>
                <w:rFonts w:asciiTheme="minorHAnsi" w:hAnsiTheme="minorHAnsi" w:cs="Segoe UI"/>
                <w:color w:val="0D0D0D" w:themeColor="text1" w:themeTint="F2"/>
                <w:sz w:val="20"/>
                <w:szCs w:val="20"/>
              </w:rPr>
              <w:t> we tackle core concepts such as cells, bioenergetics and ecology and these allow us to study recent developments in areas such as infection, inheritance and evolution. Working scientifically is an important skill for all students so we ensure we embed experiments throughout the biology topics.</w:t>
            </w:r>
          </w:p>
          <w:p w14:paraId="72B50ADD" w14:textId="77777777" w:rsidR="003254F7" w:rsidRPr="007D50F0" w:rsidRDefault="003254F7" w:rsidP="007A4B7D">
            <w:pPr>
              <w:pStyle w:val="has-blue-color"/>
              <w:shd w:val="clear" w:color="auto" w:fill="FFFFFF"/>
              <w:spacing w:before="0" w:beforeAutospacing="0" w:after="0" w:afterAutospacing="0"/>
              <w:rPr>
                <w:rFonts w:asciiTheme="minorHAnsi" w:hAnsiTheme="minorHAnsi" w:cs="Segoe UI"/>
                <w:color w:val="0D0D0D" w:themeColor="text1" w:themeTint="F2"/>
                <w:sz w:val="20"/>
                <w:szCs w:val="20"/>
              </w:rPr>
            </w:pPr>
            <w:r w:rsidRPr="007D50F0">
              <w:rPr>
                <w:rStyle w:val="Strong"/>
                <w:rFonts w:asciiTheme="minorHAnsi" w:hAnsiTheme="minorHAnsi" w:cs="Segoe UI"/>
                <w:color w:val="0D0D0D" w:themeColor="text1" w:themeTint="F2"/>
                <w:sz w:val="20"/>
                <w:szCs w:val="20"/>
              </w:rPr>
              <w:t>In Chemistry</w:t>
            </w:r>
            <w:r w:rsidRPr="007D50F0">
              <w:rPr>
                <w:rFonts w:asciiTheme="minorHAnsi" w:hAnsiTheme="minorHAnsi" w:cs="Segoe UI"/>
                <w:color w:val="0D0D0D" w:themeColor="text1" w:themeTint="F2"/>
                <w:sz w:val="20"/>
                <w:szCs w:val="20"/>
              </w:rPr>
              <w:t> we begin by developing a deep knowledge and understanding across the three key building blocks of Chemistry: the atom, the periodic table, and chemical reactions. We use these concepts as a starting point for all chemical knowledge and students are able to find answers through investigation and an understanding of developing scientific models. Our aim is for students to be able to work like an expert chemist.</w:t>
            </w:r>
          </w:p>
          <w:p w14:paraId="41E8B509" w14:textId="6BE3D65C" w:rsidR="00255B15" w:rsidRPr="007D50F0" w:rsidRDefault="003254F7" w:rsidP="007A4B7D">
            <w:pPr>
              <w:pStyle w:val="has-blue-color"/>
              <w:shd w:val="clear" w:color="auto" w:fill="FFFFFF"/>
              <w:spacing w:before="0" w:beforeAutospacing="0" w:after="0" w:afterAutospacing="0"/>
              <w:rPr>
                <w:rFonts w:asciiTheme="minorHAnsi" w:hAnsiTheme="minorHAnsi" w:cs="Segoe UI"/>
                <w:color w:val="0D0D0D" w:themeColor="text1" w:themeTint="F2"/>
                <w:sz w:val="20"/>
                <w:szCs w:val="20"/>
              </w:rPr>
            </w:pPr>
            <w:r w:rsidRPr="007D50F0">
              <w:rPr>
                <w:rStyle w:val="Strong"/>
                <w:rFonts w:asciiTheme="minorHAnsi" w:hAnsiTheme="minorHAnsi" w:cs="Segoe UI"/>
                <w:color w:val="0D0D0D" w:themeColor="text1" w:themeTint="F2"/>
                <w:sz w:val="20"/>
                <w:szCs w:val="20"/>
              </w:rPr>
              <w:t>In Physics</w:t>
            </w:r>
            <w:r w:rsidRPr="007D50F0">
              <w:rPr>
                <w:rFonts w:asciiTheme="minorHAnsi" w:hAnsiTheme="minorHAnsi" w:cs="Segoe UI"/>
                <w:color w:val="0D0D0D" w:themeColor="text1" w:themeTint="F2"/>
                <w:sz w:val="20"/>
                <w:szCs w:val="20"/>
              </w:rPr>
              <w:t> our curriculum revolves around the central themes of Energy, Particles and Forces. Through the study of these larger themes, other associated fields are interwoven and provide practical context. Magnetism, particles, states of matter, waves and electricity are presented cyclically throughout KS3 and return in at GCSE. These topics provide insight and knowledge about the cornerstones of our everyday world and the role of our common day technology. They also provide insight about larger-scale phenomena and the grandeur and power of mankind’s most sophisticated technological achievements.</w:t>
            </w:r>
          </w:p>
          <w:p w14:paraId="1776014C" w14:textId="77777777" w:rsidR="00255B15" w:rsidRPr="007D50F0" w:rsidRDefault="00255B15" w:rsidP="007A4B7D">
            <w:pPr>
              <w:rPr>
                <w:rFonts w:ascii="Calibri" w:eastAsia="Calibri" w:hAnsi="Calibri" w:cs="Calibri"/>
                <w:color w:val="000000" w:themeColor="text1"/>
                <w:sz w:val="20"/>
                <w:szCs w:val="20"/>
                <w:lang w:val="en-US"/>
              </w:rPr>
            </w:pPr>
          </w:p>
        </w:tc>
      </w:tr>
      <w:tr w:rsidR="00BB57DB" w14:paraId="39BC03D6" w14:textId="77777777" w:rsidTr="24A20057">
        <w:tc>
          <w:tcPr>
            <w:tcW w:w="10910" w:type="dxa"/>
            <w:shd w:val="clear" w:color="auto" w:fill="112B43"/>
          </w:tcPr>
          <w:p w14:paraId="53F6AF9D" w14:textId="77777777" w:rsidR="00BB57DB" w:rsidRPr="00BB57DB" w:rsidRDefault="00D17D21" w:rsidP="00991F99">
            <w:pPr>
              <w:jc w:val="right"/>
              <w:rPr>
                <w:b/>
                <w:bCs/>
                <w:lang w:val="en-US"/>
              </w:rPr>
            </w:pPr>
            <w:r>
              <w:rPr>
                <w:b/>
                <w:bCs/>
                <w:lang w:val="en-US"/>
              </w:rPr>
              <w:t xml:space="preserve">Our Long-Term Plan </w:t>
            </w:r>
          </w:p>
        </w:tc>
      </w:tr>
      <w:tr w:rsidR="00BB57DB" w14:paraId="1357D13D" w14:textId="77777777" w:rsidTr="24A20057">
        <w:tc>
          <w:tcPr>
            <w:tcW w:w="10910" w:type="dxa"/>
          </w:tcPr>
          <w:p w14:paraId="7CEBEE7F" w14:textId="2AC6960B" w:rsidR="00255B15" w:rsidRPr="007D50F0" w:rsidRDefault="003254F7" w:rsidP="2BDD03C4">
            <w:pPr>
              <w:rPr>
                <w:rFonts w:cstheme="minorHAnsi"/>
                <w:b/>
                <w:bCs/>
                <w:sz w:val="20"/>
                <w:szCs w:val="20"/>
                <w:lang w:val="en-US"/>
              </w:rPr>
            </w:pPr>
            <w:r w:rsidRPr="007D50F0">
              <w:rPr>
                <w:rFonts w:cstheme="minorHAnsi"/>
                <w:b/>
                <w:bCs/>
                <w:sz w:val="20"/>
                <w:szCs w:val="20"/>
                <w:lang w:val="en-US"/>
              </w:rPr>
              <w:t>Year 7 -</w:t>
            </w:r>
            <w:r w:rsidR="00613940" w:rsidRPr="007D50F0">
              <w:rPr>
                <w:rFonts w:cstheme="minorHAnsi"/>
                <w:b/>
                <w:bCs/>
                <w:sz w:val="20"/>
                <w:szCs w:val="20"/>
                <w:lang w:val="en-US"/>
              </w:rPr>
              <w:t>8</w:t>
            </w:r>
          </w:p>
          <w:p w14:paraId="7A6DD697" w14:textId="0115A835" w:rsidR="00613940" w:rsidRPr="007D50F0" w:rsidRDefault="00613940" w:rsidP="00613940">
            <w:pPr>
              <w:spacing w:after="225"/>
              <w:rPr>
                <w:rFonts w:eastAsia="Times New Roman" w:cstheme="minorHAnsi"/>
                <w:color w:val="000000"/>
                <w:sz w:val="20"/>
                <w:szCs w:val="20"/>
                <w:lang w:eastAsia="en-GB"/>
              </w:rPr>
            </w:pPr>
            <w:r w:rsidRPr="007D50F0">
              <w:rPr>
                <w:rFonts w:eastAsia="Times New Roman" w:cstheme="minorHAnsi"/>
                <w:color w:val="000000"/>
                <w:sz w:val="20"/>
                <w:szCs w:val="20"/>
                <w:lang w:eastAsia="en-GB"/>
              </w:rPr>
              <w:t>Pupils should be able to plan different types of scientific enquiries to answer questions, including recognising variables. They should develop the skills to take measurements and use a range of scientific equipment. Pupils should record data and results using diagrams and labels, keys and tables and bar and line graphs. Report findings including writing conclusions, identifying relationships and trust in results.</w:t>
            </w:r>
          </w:p>
          <w:p w14:paraId="354649EE" w14:textId="77777777" w:rsidR="007A4B7D" w:rsidRPr="007A4B7D" w:rsidRDefault="00613940" w:rsidP="007A4B7D">
            <w:pPr>
              <w:pStyle w:val="NoSpacing"/>
              <w:rPr>
                <w:b/>
                <w:bCs/>
                <w:sz w:val="20"/>
                <w:szCs w:val="20"/>
                <w:lang w:eastAsia="en-GB"/>
              </w:rPr>
            </w:pPr>
            <w:r w:rsidRPr="007A4B7D">
              <w:rPr>
                <w:b/>
                <w:bCs/>
                <w:sz w:val="20"/>
                <w:szCs w:val="20"/>
                <w:lang w:eastAsia="en-GB"/>
              </w:rPr>
              <w:t>Year 9</w:t>
            </w:r>
          </w:p>
          <w:p w14:paraId="4D5858D5" w14:textId="33288A16" w:rsidR="00613940" w:rsidRPr="007A4B7D" w:rsidRDefault="5CE8B915" w:rsidP="5CE8B915">
            <w:pPr>
              <w:spacing w:after="225"/>
              <w:rPr>
                <w:rFonts w:eastAsia="Times New Roman" w:cstheme="minorHAnsi"/>
                <w:b/>
                <w:color w:val="000000"/>
                <w:sz w:val="20"/>
                <w:szCs w:val="20"/>
                <w:lang w:eastAsia="en-GB"/>
              </w:rPr>
            </w:pPr>
            <w:r w:rsidRPr="5CE8B915">
              <w:rPr>
                <w:color w:val="000000" w:themeColor="text1"/>
                <w:sz w:val="20"/>
                <w:szCs w:val="20"/>
              </w:rPr>
              <w:t>Students begin a course of study to gain an Entry Level Certificate in science. The AQA two-tier Entry-Level scheme is followed whereby pupils can gain either a single or double award. To prepare the more academic to access GCSE, Entry Level scheme is linked with AQA Foundation GCSE Synergy.</w:t>
            </w:r>
          </w:p>
          <w:p w14:paraId="3ACC4070" w14:textId="228B2C3C" w:rsidR="00613940" w:rsidRPr="007D50F0" w:rsidRDefault="5CE8B915" w:rsidP="5CE8B915">
            <w:pPr>
              <w:pStyle w:val="NormalWeb"/>
              <w:shd w:val="clear" w:color="auto" w:fill="FFFFFF" w:themeFill="background1"/>
              <w:spacing w:before="0" w:beforeAutospacing="0" w:after="0" w:afterAutospacing="0"/>
              <w:textAlignment w:val="baseline"/>
              <w:rPr>
                <w:rFonts w:asciiTheme="minorHAnsi" w:hAnsiTheme="minorHAnsi" w:cstheme="minorBidi"/>
                <w:color w:val="000000"/>
                <w:sz w:val="20"/>
                <w:szCs w:val="20"/>
              </w:rPr>
            </w:pPr>
            <w:r w:rsidRPr="5CE8B915">
              <w:rPr>
                <w:rFonts w:asciiTheme="minorHAnsi" w:hAnsiTheme="minorHAnsi" w:cstheme="minorBidi"/>
                <w:color w:val="000000" w:themeColor="text1"/>
                <w:sz w:val="20"/>
                <w:szCs w:val="20"/>
              </w:rPr>
              <w:t>Students are assessed on practical assessments for each of the six components which rely on the student’s ability to plan; execute and analyse investigations; these assessments are designed by the teacher and can be modified to suit pupils needs. There are also six externally set examinations which are completed when students are ready and undertaken during class time with the support pupils usually have in lessons.</w:t>
            </w:r>
          </w:p>
          <w:p w14:paraId="69C79A19" w14:textId="296F908B" w:rsidR="00613940" w:rsidRPr="007D50F0" w:rsidRDefault="00613940" w:rsidP="00613940">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14:paraId="3808E7B5" w14:textId="195B98D0" w:rsidR="00613940" w:rsidRPr="007D50F0" w:rsidRDefault="00613940" w:rsidP="00613940">
            <w:pPr>
              <w:pStyle w:val="NormalWeb"/>
              <w:shd w:val="clear" w:color="auto" w:fill="FFFFFF"/>
              <w:spacing w:before="0" w:beforeAutospacing="0" w:after="0" w:afterAutospacing="0"/>
              <w:textAlignment w:val="baseline"/>
              <w:rPr>
                <w:rFonts w:asciiTheme="minorHAnsi" w:hAnsiTheme="minorHAnsi" w:cstheme="minorHAnsi"/>
                <w:b/>
                <w:color w:val="000000"/>
                <w:sz w:val="20"/>
                <w:szCs w:val="20"/>
              </w:rPr>
            </w:pPr>
            <w:r w:rsidRPr="007D50F0">
              <w:rPr>
                <w:rFonts w:asciiTheme="minorHAnsi" w:hAnsiTheme="minorHAnsi" w:cstheme="minorHAnsi"/>
                <w:b/>
                <w:color w:val="000000"/>
                <w:sz w:val="20"/>
                <w:szCs w:val="20"/>
              </w:rPr>
              <w:t>Year 10 &amp;11</w:t>
            </w:r>
          </w:p>
          <w:p w14:paraId="67D29900" w14:textId="4F6D5666" w:rsidR="00613940" w:rsidRPr="007D50F0" w:rsidRDefault="5CE8B915" w:rsidP="5CE8B915">
            <w:pPr>
              <w:pStyle w:val="NormalWeb"/>
              <w:shd w:val="clear" w:color="auto" w:fill="FFFFFF" w:themeFill="background1"/>
              <w:spacing w:before="0" w:beforeAutospacing="0" w:after="0" w:afterAutospacing="0"/>
              <w:textAlignment w:val="baseline"/>
              <w:rPr>
                <w:rFonts w:asciiTheme="minorHAnsi" w:hAnsiTheme="minorHAnsi" w:cstheme="minorBidi"/>
                <w:color w:val="000000"/>
                <w:sz w:val="20"/>
                <w:szCs w:val="20"/>
              </w:rPr>
            </w:pPr>
            <w:r w:rsidRPr="5CE8B915">
              <w:rPr>
                <w:rFonts w:asciiTheme="minorHAnsi" w:hAnsiTheme="minorHAnsi" w:cstheme="minorBidi"/>
                <w:color w:val="000000" w:themeColor="text1"/>
                <w:sz w:val="20"/>
                <w:szCs w:val="20"/>
              </w:rPr>
              <w:t>Students who are more able will assess the AQA foundation or higher GCSE Synergy. Students will be able to show and demonstrate knowledge in assessment objective one and two.</w:t>
            </w:r>
          </w:p>
          <w:p w14:paraId="4D177B0F"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AO1: Show knowledge and understanding of science, and how it works, and apply it where appropriate. Students should be able to:</w:t>
            </w:r>
          </w:p>
          <w:p w14:paraId="18D8CEA9" w14:textId="77777777" w:rsidR="00613940" w:rsidRPr="007D50F0" w:rsidRDefault="00613940" w:rsidP="00613940">
            <w:pPr>
              <w:rPr>
                <w:rFonts w:eastAsia="Times New Roman" w:cstheme="minorHAnsi"/>
                <w:color w:val="000000"/>
                <w:sz w:val="20"/>
                <w:szCs w:val="20"/>
                <w:lang w:eastAsia="en-GB"/>
              </w:rPr>
            </w:pPr>
            <w:r w:rsidRPr="007D50F0">
              <w:rPr>
                <w:rFonts w:eastAsia="Times New Roman" w:cstheme="minorHAnsi"/>
                <w:color w:val="000000"/>
                <w:sz w:val="20"/>
                <w:szCs w:val="20"/>
                <w:lang w:eastAsia="en-GB"/>
              </w:rPr>
              <w:t>•  recall scientific facts</w:t>
            </w:r>
          </w:p>
          <w:p w14:paraId="507CE590" w14:textId="77777777" w:rsidR="00613940" w:rsidRPr="007D50F0" w:rsidRDefault="00613940" w:rsidP="00613940">
            <w:pPr>
              <w:rPr>
                <w:rFonts w:eastAsia="Times New Roman" w:cstheme="minorHAnsi"/>
                <w:color w:val="000000"/>
                <w:sz w:val="20"/>
                <w:szCs w:val="20"/>
                <w:lang w:eastAsia="en-GB"/>
              </w:rPr>
            </w:pPr>
            <w:r w:rsidRPr="007D50F0">
              <w:rPr>
                <w:rFonts w:eastAsia="Times New Roman" w:cstheme="minorHAnsi"/>
                <w:color w:val="000000"/>
                <w:sz w:val="20"/>
                <w:szCs w:val="20"/>
                <w:lang w:eastAsia="en-GB"/>
              </w:rPr>
              <w:t xml:space="preserve"> • apply scientific ideas</w:t>
            </w:r>
          </w:p>
          <w:p w14:paraId="627F99AE"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AO2: Demonstrate the ability to design an investigation, take measurements, present data and identify patterns and relationships. Students should be able to:</w:t>
            </w:r>
          </w:p>
          <w:p w14:paraId="54379648"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lastRenderedPageBreak/>
              <w:t>•  plan a simple investigation, identifying the techniques or equipment needed and the method to be followed</w:t>
            </w:r>
          </w:p>
          <w:p w14:paraId="738D1B79"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make a simple prediction about the outcome of the investigation</w:t>
            </w:r>
          </w:p>
          <w:p w14:paraId="0763F090"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use equipment and materials safely to take simple measurements or observations that are meaningful and valid</w:t>
            </w:r>
          </w:p>
          <w:p w14:paraId="201084AE"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record the results in an appropriate way</w:t>
            </w:r>
          </w:p>
          <w:p w14:paraId="34BEBBD0"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display the data using an appropriate method</w:t>
            </w:r>
          </w:p>
          <w:p w14:paraId="1437E1AC"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state what has been found out during the investigation (drawing a conclusion) and describe simple relationships in the data</w:t>
            </w:r>
          </w:p>
          <w:p w14:paraId="3ED9456C"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simply evaluate the investigation for its success in justifying the initial prediction.</w:t>
            </w:r>
          </w:p>
          <w:p w14:paraId="30491415" w14:textId="77777777" w:rsidR="00613940" w:rsidRPr="007D50F0" w:rsidRDefault="00613940" w:rsidP="00613940">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 </w:t>
            </w:r>
          </w:p>
          <w:p w14:paraId="3C2E0A92" w14:textId="4CA33D5A" w:rsidR="00613940" w:rsidRPr="007D50F0" w:rsidRDefault="00613940" w:rsidP="00926329">
            <w:pPr>
              <w:textAlignment w:val="baseline"/>
              <w:rPr>
                <w:rFonts w:eastAsia="Times New Roman" w:cstheme="minorHAnsi"/>
                <w:color w:val="000000"/>
                <w:sz w:val="20"/>
                <w:szCs w:val="20"/>
                <w:lang w:eastAsia="en-GB"/>
              </w:rPr>
            </w:pPr>
            <w:r w:rsidRPr="007D50F0">
              <w:rPr>
                <w:rFonts w:eastAsia="Times New Roman" w:cstheme="minorHAnsi"/>
                <w:color w:val="000000"/>
                <w:sz w:val="20"/>
                <w:szCs w:val="20"/>
                <w:lang w:eastAsia="en-GB"/>
              </w:rPr>
              <w:t>For those unable to access the accreditation criteria the unit award scheme will be used to record their achievements.</w:t>
            </w:r>
          </w:p>
          <w:p w14:paraId="51BE79E9" w14:textId="19876B79" w:rsidR="00BB57DB" w:rsidRPr="007D50F0" w:rsidRDefault="00BB57DB" w:rsidP="2BDD03C4">
            <w:pPr>
              <w:rPr>
                <w:rFonts w:cstheme="minorHAnsi"/>
                <w:sz w:val="20"/>
                <w:szCs w:val="20"/>
                <w:lang w:val="en-US"/>
              </w:rPr>
            </w:pPr>
          </w:p>
        </w:tc>
      </w:tr>
      <w:tr w:rsidR="00BB7DAA" w14:paraId="265ADA93" w14:textId="77777777" w:rsidTr="24A20057">
        <w:tc>
          <w:tcPr>
            <w:tcW w:w="10910" w:type="dxa"/>
            <w:shd w:val="clear" w:color="auto" w:fill="112B43"/>
          </w:tcPr>
          <w:p w14:paraId="2B02D2B9"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lastRenderedPageBreak/>
              <w:t xml:space="preserve">Assessment Opportunities </w:t>
            </w:r>
          </w:p>
        </w:tc>
      </w:tr>
      <w:tr w:rsidR="00BB7DAA" w14:paraId="6C36D664" w14:textId="77777777" w:rsidTr="24A20057">
        <w:tc>
          <w:tcPr>
            <w:tcW w:w="10910" w:type="dxa"/>
          </w:tcPr>
          <w:p w14:paraId="019C197B" w14:textId="2855141B" w:rsidR="001A70A1" w:rsidRDefault="001A70A1" w:rsidP="2BDD03C4">
            <w:pPr>
              <w:rPr>
                <w:rFonts w:ascii="Calibri" w:hAnsi="Calibri" w:cs="Calibri"/>
                <w:sz w:val="20"/>
                <w:szCs w:val="20"/>
                <w:lang w:val="en-US"/>
              </w:rPr>
            </w:pPr>
            <w:r w:rsidRPr="24A20057">
              <w:rPr>
                <w:rFonts w:ascii="Calibri" w:hAnsi="Calibri" w:cs="Calibri"/>
                <w:sz w:val="20"/>
                <w:szCs w:val="20"/>
                <w:lang w:val="en-US"/>
              </w:rPr>
              <w:t xml:space="preserve">Regular progress tasks involve formative </w:t>
            </w:r>
            <w:r w:rsidR="00B138F9" w:rsidRPr="24A20057">
              <w:rPr>
                <w:rFonts w:ascii="Calibri" w:hAnsi="Calibri" w:cs="Calibri"/>
                <w:sz w:val="20"/>
                <w:szCs w:val="20"/>
                <w:lang w:val="en-US"/>
              </w:rPr>
              <w:t>assessment of</w:t>
            </w:r>
            <w:r w:rsidRPr="24A20057">
              <w:rPr>
                <w:rFonts w:ascii="Calibri" w:hAnsi="Calibri" w:cs="Calibri"/>
                <w:sz w:val="20"/>
                <w:szCs w:val="20"/>
                <w:lang w:val="en-US"/>
              </w:rPr>
              <w:t xml:space="preserve"> scientific skills and required subject knowledge at the end of each topic. </w:t>
            </w:r>
            <w:r w:rsidR="15C5C435" w:rsidRPr="24A20057">
              <w:rPr>
                <w:rFonts w:ascii="Calibri" w:hAnsi="Calibri" w:cs="Calibri"/>
                <w:sz w:val="20"/>
                <w:szCs w:val="20"/>
                <w:lang w:val="en-US"/>
              </w:rPr>
              <w:t>Fortnightly tasks</w:t>
            </w:r>
            <w:r w:rsidRPr="24A20057">
              <w:rPr>
                <w:rFonts w:ascii="Calibri" w:hAnsi="Calibri" w:cs="Calibri"/>
                <w:sz w:val="20"/>
                <w:szCs w:val="20"/>
                <w:lang w:val="en-US"/>
              </w:rPr>
              <w:t xml:space="preserve"> are given to assess objectives and promote confidence. Summative assessments are made to identify pupil progress using realistic exam style questions</w:t>
            </w:r>
            <w:r w:rsidR="00B138F9" w:rsidRPr="24A20057">
              <w:rPr>
                <w:rFonts w:ascii="Calibri" w:hAnsi="Calibri" w:cs="Calibri"/>
                <w:sz w:val="20"/>
                <w:szCs w:val="20"/>
                <w:lang w:val="en-US"/>
              </w:rPr>
              <w:t xml:space="preserve"> past paper questions are you extensively to address all specification Aos for years 10-11</w:t>
            </w:r>
            <w:r w:rsidRPr="24A20057">
              <w:rPr>
                <w:rFonts w:ascii="Calibri" w:hAnsi="Calibri" w:cs="Calibri"/>
                <w:sz w:val="20"/>
                <w:szCs w:val="20"/>
                <w:lang w:val="en-US"/>
              </w:rPr>
              <w:t>. This helps to identify areas of weakness and act on using our school intervention staff.</w:t>
            </w:r>
          </w:p>
          <w:p w14:paraId="3A879331" w14:textId="77777777" w:rsidR="001A70A1" w:rsidRDefault="001A70A1" w:rsidP="2BDD03C4">
            <w:pPr>
              <w:rPr>
                <w:rFonts w:ascii="Calibri" w:hAnsi="Calibri" w:cs="Calibri"/>
                <w:sz w:val="20"/>
                <w:szCs w:val="20"/>
                <w:lang w:val="en-US"/>
              </w:rPr>
            </w:pPr>
          </w:p>
          <w:p w14:paraId="342A2150" w14:textId="50E2FB5E" w:rsidR="00613940" w:rsidRPr="007D50F0" w:rsidRDefault="00613940" w:rsidP="2BDD03C4">
            <w:pPr>
              <w:rPr>
                <w:rFonts w:ascii="Calibri" w:hAnsi="Calibri" w:cs="Calibri"/>
                <w:sz w:val="20"/>
                <w:szCs w:val="20"/>
                <w:lang w:val="en-US"/>
              </w:rPr>
            </w:pPr>
          </w:p>
          <w:p w14:paraId="793E50E7" w14:textId="77777777" w:rsidR="00255B15" w:rsidRDefault="00255B15" w:rsidP="2BDD03C4">
            <w:pPr>
              <w:rPr>
                <w:rFonts w:ascii="Calibri" w:hAnsi="Calibri" w:cs="Calibri"/>
                <w:sz w:val="20"/>
                <w:szCs w:val="20"/>
                <w:lang w:val="en-US"/>
              </w:rPr>
            </w:pPr>
          </w:p>
          <w:p w14:paraId="66B29624" w14:textId="77777777" w:rsidR="00BB7DAA" w:rsidRPr="005267A0" w:rsidRDefault="005267A0" w:rsidP="2BDD03C4">
            <w:pPr>
              <w:rPr>
                <w:rFonts w:ascii="Calibri" w:hAnsi="Calibri" w:cs="Calibri"/>
                <w:sz w:val="20"/>
                <w:szCs w:val="20"/>
                <w:lang w:val="en-US"/>
              </w:rPr>
            </w:pPr>
            <w:r>
              <w:rPr>
                <w:rFonts w:ascii="Calibri" w:hAnsi="Calibri" w:cs="Calibri"/>
                <w:sz w:val="20"/>
                <w:szCs w:val="20"/>
                <w:lang w:val="en-US"/>
              </w:rPr>
              <w:t xml:space="preserve">. </w:t>
            </w:r>
          </w:p>
        </w:tc>
      </w:tr>
    </w:tbl>
    <w:p w14:paraId="0ECBA913"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838"/>
        <w:gridCol w:w="9072"/>
      </w:tblGrid>
      <w:tr w:rsidR="00F643EF" w14:paraId="51E7C8DF" w14:textId="77777777" w:rsidTr="24A20057">
        <w:tc>
          <w:tcPr>
            <w:tcW w:w="10910" w:type="dxa"/>
            <w:gridSpan w:val="2"/>
            <w:shd w:val="clear" w:color="auto" w:fill="112B43"/>
          </w:tcPr>
          <w:p w14:paraId="3622035D" w14:textId="77777777" w:rsidR="00F643EF" w:rsidRPr="00BB57DB" w:rsidRDefault="00991F99" w:rsidP="00991F99">
            <w:pPr>
              <w:jc w:val="right"/>
              <w:rPr>
                <w:b/>
                <w:bCs/>
                <w:lang w:val="en-US"/>
              </w:rPr>
            </w:pPr>
            <w:r>
              <w:rPr>
                <w:b/>
                <w:bCs/>
                <w:lang w:val="en-US"/>
              </w:rPr>
              <w:t xml:space="preserve">Pine Green Curriculum </w:t>
            </w:r>
          </w:p>
        </w:tc>
      </w:tr>
      <w:tr w:rsidR="00D17D21" w14:paraId="25924E73" w14:textId="77777777" w:rsidTr="24A20057">
        <w:tc>
          <w:tcPr>
            <w:tcW w:w="1838" w:type="dxa"/>
            <w:shd w:val="clear" w:color="auto" w:fill="112B43"/>
          </w:tcPr>
          <w:p w14:paraId="4411F4CB" w14:textId="77777777" w:rsidR="00D17D21" w:rsidRPr="00BB57DB" w:rsidRDefault="00991F99" w:rsidP="00991F99">
            <w:pPr>
              <w:jc w:val="right"/>
              <w:rPr>
                <w:b/>
                <w:bCs/>
                <w:lang w:val="en-US"/>
              </w:rPr>
            </w:pPr>
            <w:r>
              <w:rPr>
                <w:b/>
                <w:bCs/>
                <w:lang w:val="en-US"/>
              </w:rPr>
              <w:t xml:space="preserve">Our Curriculum </w:t>
            </w:r>
          </w:p>
        </w:tc>
        <w:tc>
          <w:tcPr>
            <w:tcW w:w="9072" w:type="dxa"/>
            <w:shd w:val="clear" w:color="auto" w:fill="112B43"/>
          </w:tcPr>
          <w:p w14:paraId="7FE8EB28"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D17D21" w14:paraId="4AAE70F3" w14:textId="77777777" w:rsidTr="24A20057">
        <w:tc>
          <w:tcPr>
            <w:tcW w:w="1838" w:type="dxa"/>
            <w:shd w:val="clear" w:color="auto" w:fill="auto"/>
          </w:tcPr>
          <w:p w14:paraId="78D8616C" w14:textId="77777777" w:rsidR="00D17D21" w:rsidRPr="007D0A82" w:rsidRDefault="00D17D21" w:rsidP="0014119E">
            <w:pPr>
              <w:rPr>
                <w:b/>
                <w:bCs/>
                <w:sz w:val="19"/>
                <w:szCs w:val="19"/>
                <w:lang w:val="en-US"/>
              </w:rPr>
            </w:pPr>
            <w:r w:rsidRPr="007D0A82">
              <w:rPr>
                <w:b/>
                <w:bCs/>
                <w:sz w:val="19"/>
                <w:szCs w:val="19"/>
                <w:lang w:val="en-US"/>
              </w:rPr>
              <w:t>Confidence, Independence &amp; Resilience</w:t>
            </w:r>
          </w:p>
        </w:tc>
        <w:tc>
          <w:tcPr>
            <w:tcW w:w="9072" w:type="dxa"/>
            <w:shd w:val="clear" w:color="auto" w:fill="auto"/>
          </w:tcPr>
          <w:p w14:paraId="2B7C6055" w14:textId="4B865D03" w:rsidR="00FD66FA" w:rsidRPr="007D50F0" w:rsidRDefault="00B138F9" w:rsidP="24A20057">
            <w:pPr>
              <w:shd w:val="clear" w:color="auto" w:fill="FFFFFF" w:themeFill="background1"/>
              <w:rPr>
                <w:rFonts w:eastAsia="Times New Roman" w:cs="Segoe UI"/>
                <w:color w:val="000000"/>
                <w:sz w:val="20"/>
                <w:szCs w:val="20"/>
                <w:lang w:eastAsia="en-GB"/>
              </w:rPr>
            </w:pPr>
            <w:r>
              <w:rPr>
                <w:sz w:val="20"/>
                <w:szCs w:val="20"/>
              </w:rPr>
              <w:t xml:space="preserve">We expect students to become </w:t>
            </w:r>
            <w:r w:rsidR="2DE8F0D7">
              <w:rPr>
                <w:sz w:val="20"/>
                <w:szCs w:val="20"/>
              </w:rPr>
              <w:t>increasingly independent</w:t>
            </w:r>
            <w:r>
              <w:rPr>
                <w:sz w:val="20"/>
                <w:szCs w:val="20"/>
              </w:rPr>
              <w:t xml:space="preserve"> building confidence in practical, data handling skills,</w:t>
            </w:r>
            <w:r w:rsidR="00613940" w:rsidRPr="007D50F0">
              <w:rPr>
                <w:sz w:val="20"/>
                <w:szCs w:val="20"/>
              </w:rPr>
              <w:t xml:space="preserve"> consolidation tasks, knowledge tests</w:t>
            </w:r>
            <w:r w:rsidR="33CB5519" w:rsidRPr="007D50F0">
              <w:rPr>
                <w:sz w:val="20"/>
                <w:szCs w:val="20"/>
              </w:rPr>
              <w:t xml:space="preserve">, and </w:t>
            </w:r>
            <w:r w:rsidR="0992891E">
              <w:rPr>
                <w:sz w:val="20"/>
                <w:szCs w:val="20"/>
              </w:rPr>
              <w:t>teamwork</w:t>
            </w:r>
            <w:r>
              <w:rPr>
                <w:sz w:val="20"/>
                <w:szCs w:val="20"/>
              </w:rPr>
              <w:t>.</w:t>
            </w:r>
            <w:r w:rsidR="00613940" w:rsidRPr="007D50F0">
              <w:rPr>
                <w:sz w:val="20"/>
                <w:szCs w:val="20"/>
              </w:rPr>
              <w:t xml:space="preserve"> </w:t>
            </w:r>
            <w:r w:rsidR="3A55683D" w:rsidRPr="007D50F0">
              <w:rPr>
                <w:sz w:val="20"/>
                <w:szCs w:val="20"/>
              </w:rPr>
              <w:t xml:space="preserve"> We strive to create an atmosphere for learning </w:t>
            </w:r>
            <w:r w:rsidR="2FB69CA9" w:rsidRPr="007D50F0">
              <w:rPr>
                <w:sz w:val="20"/>
                <w:szCs w:val="20"/>
              </w:rPr>
              <w:t>using</w:t>
            </w:r>
            <w:r w:rsidR="3A55683D" w:rsidRPr="007D50F0">
              <w:rPr>
                <w:sz w:val="20"/>
                <w:szCs w:val="20"/>
              </w:rPr>
              <w:t xml:space="preserve"> praise, positive comments and texts home, rewards</w:t>
            </w:r>
            <w:r w:rsidR="36931016" w:rsidRPr="007D50F0">
              <w:rPr>
                <w:sz w:val="20"/>
                <w:szCs w:val="20"/>
              </w:rPr>
              <w:t>, and certificates in assembly. We</w:t>
            </w:r>
            <w:r w:rsidR="0AA73FBC" w:rsidRPr="007D50F0">
              <w:rPr>
                <w:rFonts w:cs="Segoe UI"/>
                <w:color w:val="000000"/>
                <w:sz w:val="20"/>
                <w:szCs w:val="20"/>
                <w:shd w:val="clear" w:color="auto" w:fill="FFFFFF"/>
              </w:rPr>
              <w:t xml:space="preserve"> give students regular opportunities to challenge concepts and ideas</w:t>
            </w:r>
            <w:r w:rsidR="473347BF" w:rsidRPr="007D50F0">
              <w:rPr>
                <w:rFonts w:cs="Segoe UI"/>
                <w:color w:val="000000"/>
                <w:sz w:val="20"/>
                <w:szCs w:val="20"/>
                <w:shd w:val="clear" w:color="auto" w:fill="FFFFFF"/>
              </w:rPr>
              <w:t>, a</w:t>
            </w:r>
            <w:r w:rsidR="0AA73FBC" w:rsidRPr="007D50F0">
              <w:rPr>
                <w:rFonts w:cs="Segoe UI"/>
                <w:color w:val="000000"/>
                <w:sz w:val="20"/>
                <w:szCs w:val="20"/>
                <w:shd w:val="clear" w:color="auto" w:fill="FFFFFF"/>
              </w:rPr>
              <w:t>llowing students</w:t>
            </w:r>
            <w:r w:rsidR="5815CCA6" w:rsidRPr="007D50F0">
              <w:rPr>
                <w:rFonts w:cs="Segoe UI"/>
                <w:color w:val="000000"/>
                <w:sz w:val="20"/>
                <w:szCs w:val="20"/>
                <w:shd w:val="clear" w:color="auto" w:fill="FFFFFF"/>
              </w:rPr>
              <w:t xml:space="preserve"> </w:t>
            </w:r>
            <w:r w:rsidR="0AA73FBC" w:rsidRPr="007D50F0">
              <w:rPr>
                <w:rFonts w:cs="Segoe UI"/>
                <w:color w:val="000000"/>
                <w:sz w:val="20"/>
                <w:szCs w:val="20"/>
                <w:shd w:val="clear" w:color="auto" w:fill="FFFFFF"/>
              </w:rPr>
              <w:t xml:space="preserve">the opportunities to discuss and articulate views of science in </w:t>
            </w:r>
            <w:r w:rsidR="2473B6D4" w:rsidRPr="007D50F0">
              <w:rPr>
                <w:rFonts w:cs="Segoe UI"/>
                <w:color w:val="000000"/>
                <w:sz w:val="20"/>
                <w:szCs w:val="20"/>
                <w:shd w:val="clear" w:color="auto" w:fill="FFFFFF"/>
              </w:rPr>
              <w:t xml:space="preserve">a </w:t>
            </w:r>
            <w:r w:rsidR="0AA73FBC" w:rsidRPr="007D50F0">
              <w:rPr>
                <w:rFonts w:cs="Segoe UI"/>
                <w:color w:val="000000"/>
                <w:sz w:val="20"/>
                <w:szCs w:val="20"/>
                <w:shd w:val="clear" w:color="auto" w:fill="FFFFFF"/>
              </w:rPr>
              <w:t>real-life context</w:t>
            </w:r>
            <w:r w:rsidR="1BD1BBB0">
              <w:rPr>
                <w:rFonts w:cs="Segoe UI"/>
                <w:color w:val="000000"/>
                <w:sz w:val="20"/>
                <w:szCs w:val="20"/>
                <w:shd w:val="clear" w:color="auto" w:fill="FFFFFF"/>
              </w:rPr>
              <w:t>.</w:t>
            </w:r>
          </w:p>
          <w:p w14:paraId="201E6FA9" w14:textId="29E8641F" w:rsidR="00D17D21" w:rsidRPr="007D0A82" w:rsidRDefault="00D17D21" w:rsidP="0014119E">
            <w:pPr>
              <w:rPr>
                <w:rFonts w:eastAsiaTheme="minorEastAsia"/>
                <w:color w:val="000000" w:themeColor="text1"/>
                <w:sz w:val="19"/>
                <w:szCs w:val="19"/>
                <w:lang w:val="en-US"/>
              </w:rPr>
            </w:pPr>
          </w:p>
        </w:tc>
      </w:tr>
      <w:tr w:rsidR="00D17D21" w14:paraId="0068B369" w14:textId="77777777" w:rsidTr="24A20057">
        <w:tc>
          <w:tcPr>
            <w:tcW w:w="1838" w:type="dxa"/>
            <w:shd w:val="clear" w:color="auto" w:fill="auto"/>
          </w:tcPr>
          <w:p w14:paraId="212FE9DA" w14:textId="77777777" w:rsidR="00D17D21" w:rsidRPr="007D0A82" w:rsidRDefault="00D17D21" w:rsidP="0014119E">
            <w:pPr>
              <w:rPr>
                <w:b/>
                <w:bCs/>
                <w:sz w:val="19"/>
                <w:szCs w:val="19"/>
                <w:lang w:val="en-US"/>
              </w:rPr>
            </w:pPr>
            <w:r w:rsidRPr="007D0A82">
              <w:rPr>
                <w:b/>
                <w:bCs/>
                <w:sz w:val="19"/>
                <w:szCs w:val="19"/>
                <w:lang w:val="en-US"/>
              </w:rPr>
              <w:t xml:space="preserve">Be Kind: Empathy &amp; Compassion whilst valuing diversity </w:t>
            </w:r>
          </w:p>
        </w:tc>
        <w:tc>
          <w:tcPr>
            <w:tcW w:w="9072" w:type="dxa"/>
            <w:shd w:val="clear" w:color="auto" w:fill="auto"/>
          </w:tcPr>
          <w:p w14:paraId="784B39A4" w14:textId="480B5845" w:rsidR="000B5292" w:rsidRPr="000B5292" w:rsidRDefault="000B5292" w:rsidP="00A53606">
            <w:pPr>
              <w:shd w:val="clear" w:color="auto" w:fill="FFFFFF"/>
              <w:rPr>
                <w:rFonts w:cs="Segoe UI"/>
                <w:color w:val="000000"/>
                <w:sz w:val="20"/>
                <w:szCs w:val="20"/>
                <w:shd w:val="clear" w:color="auto" w:fill="FFFFFF"/>
              </w:rPr>
            </w:pPr>
            <w:r w:rsidRPr="000B5292">
              <w:rPr>
                <w:rFonts w:cs="Segoe UI"/>
                <w:color w:val="000000"/>
                <w:sz w:val="20"/>
                <w:szCs w:val="20"/>
                <w:shd w:val="clear" w:color="auto" w:fill="FFFFFF"/>
              </w:rPr>
              <w:t>Build on their understanding of the importance of British values, including</w:t>
            </w:r>
            <w:r w:rsidR="00A53606" w:rsidRPr="007D50F0">
              <w:rPr>
                <w:rFonts w:cs="Segoe UI"/>
                <w:color w:val="000000"/>
                <w:sz w:val="20"/>
                <w:szCs w:val="20"/>
                <w:shd w:val="clear" w:color="auto" w:fill="FFFFFF"/>
              </w:rPr>
              <w:t xml:space="preserve"> </w:t>
            </w:r>
            <w:r w:rsidRPr="000B5292">
              <w:rPr>
                <w:rFonts w:cs="Segoe UI"/>
                <w:color w:val="000000"/>
                <w:sz w:val="20"/>
                <w:szCs w:val="20"/>
                <w:shd w:val="clear" w:color="auto" w:fill="FFFFFF"/>
              </w:rPr>
              <w:t xml:space="preserve">democracy, the rule of law, individual liberty and tolerance and respect. </w:t>
            </w:r>
          </w:p>
          <w:p w14:paraId="78EF487A" w14:textId="41167829" w:rsidR="000B5292" w:rsidRPr="000B5292" w:rsidRDefault="000B5292" w:rsidP="000B5292">
            <w:pPr>
              <w:shd w:val="clear" w:color="auto" w:fill="FFFFFF"/>
              <w:ind w:left="720"/>
              <w:rPr>
                <w:rFonts w:cs="Segoe UI"/>
                <w:color w:val="000000"/>
                <w:sz w:val="20"/>
                <w:szCs w:val="20"/>
                <w:shd w:val="clear" w:color="auto" w:fill="FFFFFF"/>
              </w:rPr>
            </w:pPr>
            <w:r w:rsidRPr="000B5292">
              <w:rPr>
                <w:rFonts w:cs="Segoe UI"/>
                <w:color w:val="000000"/>
                <w:sz w:val="20"/>
                <w:szCs w:val="20"/>
                <w:shd w:val="clear" w:color="auto" w:fill="FFFFFF"/>
              </w:rPr>
              <w:t>   </w:t>
            </w:r>
          </w:p>
          <w:p w14:paraId="462B264A" w14:textId="77777777" w:rsidR="00D17D21" w:rsidRPr="007D0A82" w:rsidRDefault="00D17D21" w:rsidP="0014119E">
            <w:pPr>
              <w:rPr>
                <w:rFonts w:ascii="Calibri" w:eastAsia="Calibri" w:hAnsi="Calibri" w:cs="Calibri"/>
                <w:color w:val="000000" w:themeColor="text1"/>
                <w:sz w:val="19"/>
                <w:szCs w:val="19"/>
                <w:lang w:val="en-US"/>
              </w:rPr>
            </w:pPr>
          </w:p>
        </w:tc>
      </w:tr>
      <w:tr w:rsidR="00D17D21" w14:paraId="19B13CFC" w14:textId="77777777" w:rsidTr="24A20057">
        <w:trPr>
          <w:trHeight w:val="724"/>
        </w:trPr>
        <w:tc>
          <w:tcPr>
            <w:tcW w:w="1838" w:type="dxa"/>
            <w:shd w:val="clear" w:color="auto" w:fill="auto"/>
          </w:tcPr>
          <w:p w14:paraId="4BB78468" w14:textId="77777777" w:rsidR="00D17D21" w:rsidRPr="007D0A82" w:rsidRDefault="00D17D21" w:rsidP="0014119E">
            <w:pPr>
              <w:rPr>
                <w:b/>
                <w:bCs/>
                <w:sz w:val="19"/>
                <w:szCs w:val="19"/>
                <w:lang w:val="en-US"/>
              </w:rPr>
            </w:pPr>
            <w:r w:rsidRPr="007D0A82">
              <w:rPr>
                <w:b/>
                <w:bCs/>
                <w:sz w:val="19"/>
                <w:szCs w:val="19"/>
                <w:lang w:val="en-US"/>
              </w:rPr>
              <w:t>Cultural Awareness</w:t>
            </w:r>
          </w:p>
        </w:tc>
        <w:tc>
          <w:tcPr>
            <w:tcW w:w="9072" w:type="dxa"/>
            <w:shd w:val="clear" w:color="auto" w:fill="auto"/>
          </w:tcPr>
          <w:p w14:paraId="70650CA6" w14:textId="43F37A98" w:rsidR="00E20079" w:rsidRPr="007D50F0" w:rsidRDefault="00BF1692" w:rsidP="00BF1692">
            <w:pPr>
              <w:shd w:val="clear" w:color="auto" w:fill="FFFFFF"/>
              <w:rPr>
                <w:rFonts w:ascii="Calibri" w:hAnsi="Calibri" w:cs="Segoe UI"/>
                <w:color w:val="000000"/>
                <w:sz w:val="20"/>
                <w:szCs w:val="20"/>
                <w:shd w:val="clear" w:color="auto" w:fill="FFFFFF"/>
              </w:rPr>
            </w:pPr>
            <w:r w:rsidRPr="007D50F0">
              <w:rPr>
                <w:rFonts w:ascii="Calibri" w:eastAsia="Calibri" w:hAnsi="Calibri" w:cs="Calibri"/>
                <w:color w:val="000000" w:themeColor="text1"/>
                <w:sz w:val="20"/>
                <w:szCs w:val="20"/>
                <w:lang w:val="en-US"/>
              </w:rPr>
              <w:t>Purposeful opportunities have been crafted into our schemes to provide opportunities for students to think deeply and articulate their thinking</w:t>
            </w:r>
            <w:r w:rsidRPr="007D50F0">
              <w:rPr>
                <w:rFonts w:ascii="Calibri" w:hAnsi="Calibri" w:cs="Segoe UI"/>
                <w:color w:val="000000"/>
                <w:sz w:val="20"/>
                <w:szCs w:val="20"/>
                <w:shd w:val="clear" w:color="auto" w:fill="FFFFFF"/>
              </w:rPr>
              <w:t>, i</w:t>
            </w:r>
            <w:r w:rsidR="00E20079" w:rsidRPr="007D50F0">
              <w:rPr>
                <w:rFonts w:ascii="Calibri" w:hAnsi="Calibri" w:cs="Segoe UI"/>
                <w:color w:val="000000"/>
                <w:sz w:val="20"/>
                <w:szCs w:val="20"/>
                <w:shd w:val="clear" w:color="auto" w:fill="FFFFFF"/>
              </w:rPr>
              <w:t xml:space="preserve">mprove their spiritual, social, moral, and cultural understanding by using cultural capital experiences throughout the year. </w:t>
            </w:r>
            <w:r w:rsidRPr="007D50F0">
              <w:rPr>
                <w:rFonts w:ascii="Calibri" w:hAnsi="Calibri" w:cs="Segoe UI"/>
                <w:color w:val="000000"/>
                <w:sz w:val="20"/>
                <w:szCs w:val="20"/>
                <w:shd w:val="clear" w:color="auto" w:fill="FFFFFF"/>
              </w:rPr>
              <w:t>Encouraging students to contribute to the life of the school and the community, including charity work, and use these ‘real’ contexts to develop their skills and knowledge. Developing partnerships with external providers that extend children’s opportunities for learning.</w:t>
            </w:r>
          </w:p>
          <w:p w14:paraId="6FA325F3" w14:textId="77777777" w:rsidR="00E20079" w:rsidRPr="007D50F0" w:rsidRDefault="00E20079" w:rsidP="00E20079">
            <w:pPr>
              <w:shd w:val="clear" w:color="auto" w:fill="FFFFFF"/>
              <w:ind w:left="720"/>
              <w:rPr>
                <w:rFonts w:ascii="Segoe UI" w:hAnsi="Segoe UI" w:cs="Segoe UI"/>
                <w:color w:val="000000"/>
                <w:sz w:val="20"/>
                <w:szCs w:val="20"/>
                <w:shd w:val="clear" w:color="auto" w:fill="FFFFFF"/>
              </w:rPr>
            </w:pPr>
          </w:p>
          <w:p w14:paraId="5A5F6BA3" w14:textId="77777777" w:rsidR="00D17D21" w:rsidRPr="005267A0" w:rsidRDefault="00D17D21" w:rsidP="0014119E">
            <w:pPr>
              <w:rPr>
                <w:rFonts w:ascii="Calibri" w:eastAsia="Calibri" w:hAnsi="Calibri" w:cs="Calibri"/>
                <w:color w:val="000000" w:themeColor="text1"/>
                <w:sz w:val="18"/>
                <w:szCs w:val="18"/>
                <w:lang w:val="en-US"/>
              </w:rPr>
            </w:pPr>
          </w:p>
        </w:tc>
      </w:tr>
      <w:tr w:rsidR="00D17D21" w14:paraId="331FC7EC" w14:textId="77777777" w:rsidTr="24A20057">
        <w:trPr>
          <w:trHeight w:val="706"/>
        </w:trPr>
        <w:tc>
          <w:tcPr>
            <w:tcW w:w="1838" w:type="dxa"/>
            <w:shd w:val="clear" w:color="auto" w:fill="auto"/>
          </w:tcPr>
          <w:p w14:paraId="3F7D512F" w14:textId="77777777" w:rsidR="00D17D21" w:rsidRPr="007D0A82" w:rsidRDefault="00D17D21">
            <w:pPr>
              <w:rPr>
                <w:b/>
                <w:bCs/>
                <w:sz w:val="19"/>
                <w:szCs w:val="19"/>
                <w:lang w:val="en-US"/>
              </w:rPr>
            </w:pPr>
            <w:r w:rsidRPr="007D0A82">
              <w:rPr>
                <w:b/>
                <w:bCs/>
                <w:sz w:val="19"/>
                <w:szCs w:val="19"/>
                <w:lang w:val="en-US"/>
              </w:rPr>
              <w:t xml:space="preserve">Aspirations </w:t>
            </w:r>
          </w:p>
        </w:tc>
        <w:tc>
          <w:tcPr>
            <w:tcW w:w="9072" w:type="dxa"/>
            <w:shd w:val="clear" w:color="auto" w:fill="auto"/>
          </w:tcPr>
          <w:p w14:paraId="6D8FC7F8" w14:textId="6B1DDA98" w:rsidR="00BF1692" w:rsidRPr="007D50F0" w:rsidRDefault="00BF1692" w:rsidP="000B5292">
            <w:pPr>
              <w:shd w:val="clear" w:color="auto" w:fill="FFFFFF"/>
              <w:rPr>
                <w:rFonts w:cs="Segoe UI"/>
                <w:color w:val="000000"/>
                <w:sz w:val="20"/>
                <w:szCs w:val="20"/>
                <w:shd w:val="clear" w:color="auto" w:fill="FFFFFF"/>
              </w:rPr>
            </w:pPr>
            <w:r w:rsidRPr="007D50F0">
              <w:rPr>
                <w:rFonts w:cs="Segoe UI"/>
                <w:color w:val="000000"/>
                <w:sz w:val="20"/>
                <w:szCs w:val="20"/>
                <w:shd w:val="clear" w:color="auto" w:fill="FFFFFF"/>
              </w:rPr>
              <w:t xml:space="preserve">Develop new skills through a variety of interesting contexts to foster enjoyment, develop a rich and deep subject knowledge, build on their understanding of the importance of British values, including democracy, the rule of law, individual liberty and tolerance and respect, improve their spiritual, social, moral, and cultural understanding.       </w:t>
            </w:r>
          </w:p>
          <w:p w14:paraId="3E134851" w14:textId="77777777" w:rsidR="00BF1692" w:rsidRPr="00BF1692" w:rsidRDefault="00BF1692" w:rsidP="00BF1692">
            <w:pPr>
              <w:shd w:val="clear" w:color="auto" w:fill="FFFFFF"/>
              <w:ind w:left="720"/>
              <w:rPr>
                <w:rFonts w:cs="Segoe UI"/>
                <w:color w:val="000000"/>
                <w:shd w:val="clear" w:color="auto" w:fill="FFFFFF"/>
              </w:rPr>
            </w:pPr>
            <w:r w:rsidRPr="00BF1692">
              <w:rPr>
                <w:rFonts w:cs="Segoe UI"/>
                <w:color w:val="000000"/>
                <w:shd w:val="clear" w:color="auto" w:fill="FFFFFF"/>
              </w:rPr>
              <w:t>       </w:t>
            </w:r>
          </w:p>
          <w:p w14:paraId="45A05669" w14:textId="77777777" w:rsidR="00D17D21" w:rsidRPr="0072041A" w:rsidRDefault="00D17D21">
            <w:pPr>
              <w:rPr>
                <w:b/>
                <w:bCs/>
                <w:color w:val="00B050"/>
                <w:sz w:val="18"/>
                <w:szCs w:val="18"/>
                <w:lang w:val="en-US"/>
              </w:rPr>
            </w:pPr>
          </w:p>
        </w:tc>
      </w:tr>
      <w:tr w:rsidR="00D17D21" w14:paraId="291ECEE1" w14:textId="77777777" w:rsidTr="24A20057">
        <w:trPr>
          <w:trHeight w:val="688"/>
        </w:trPr>
        <w:tc>
          <w:tcPr>
            <w:tcW w:w="1838" w:type="dxa"/>
            <w:shd w:val="clear" w:color="auto" w:fill="auto"/>
          </w:tcPr>
          <w:p w14:paraId="6545710A" w14:textId="77777777" w:rsidR="00D17D21" w:rsidRPr="007D0A82" w:rsidRDefault="00D17D21">
            <w:pPr>
              <w:rPr>
                <w:b/>
                <w:bCs/>
                <w:sz w:val="19"/>
                <w:szCs w:val="19"/>
                <w:lang w:val="en-US"/>
              </w:rPr>
            </w:pPr>
            <w:r w:rsidRPr="007D0A82">
              <w:rPr>
                <w:b/>
                <w:bCs/>
                <w:sz w:val="19"/>
                <w:szCs w:val="19"/>
                <w:lang w:val="en-US"/>
              </w:rPr>
              <w:t xml:space="preserve">Preparedness for the future </w:t>
            </w:r>
          </w:p>
        </w:tc>
        <w:tc>
          <w:tcPr>
            <w:tcW w:w="9072" w:type="dxa"/>
            <w:shd w:val="clear" w:color="auto" w:fill="auto"/>
          </w:tcPr>
          <w:p w14:paraId="26E172E1" w14:textId="6FE91038" w:rsidR="000B5292" w:rsidRPr="000B5292" w:rsidRDefault="38425096" w:rsidP="000B5292">
            <w:pPr>
              <w:rPr>
                <w:rFonts w:ascii="Calibri" w:eastAsia="Times New Roman" w:hAnsi="Calibri" w:cs="Segoe UI"/>
                <w:color w:val="000000"/>
                <w:lang w:eastAsia="en-GB"/>
              </w:rPr>
            </w:pPr>
            <w:r w:rsidRPr="24A20057">
              <w:rPr>
                <w:rFonts w:ascii="Calibri" w:eastAsia="Times New Roman" w:hAnsi="Calibri" w:cs="Segoe UI"/>
                <w:color w:val="000000" w:themeColor="text1"/>
                <w:sz w:val="20"/>
                <w:szCs w:val="20"/>
                <w:lang w:eastAsia="en-GB"/>
              </w:rPr>
              <w:t xml:space="preserve">Understanding the uses and implications of science today and for the future, to challenge received wisdom by </w:t>
            </w:r>
            <w:r w:rsidR="4E3D1899" w:rsidRPr="24A20057">
              <w:rPr>
                <w:rFonts w:ascii="Calibri" w:eastAsia="Times New Roman" w:hAnsi="Calibri" w:cs="Segoe UI"/>
                <w:color w:val="000000" w:themeColor="text1"/>
                <w:sz w:val="20"/>
                <w:szCs w:val="20"/>
                <w:lang w:eastAsia="en-GB"/>
              </w:rPr>
              <w:t>considering</w:t>
            </w:r>
            <w:r w:rsidRPr="24A20057">
              <w:rPr>
                <w:rFonts w:ascii="Calibri" w:eastAsia="Times New Roman" w:hAnsi="Calibri" w:cs="Segoe UI"/>
                <w:color w:val="000000" w:themeColor="text1"/>
                <w:sz w:val="20"/>
                <w:szCs w:val="20"/>
                <w:lang w:eastAsia="en-GB"/>
              </w:rPr>
              <w:t xml:space="preserve"> new evidence and ideas, to use problem solving skills and numeracy within scientific concepts.</w:t>
            </w:r>
            <w:r w:rsidR="0AA73FBC" w:rsidRPr="24A20057">
              <w:rPr>
                <w:rFonts w:ascii="Calibri" w:eastAsia="Times New Roman" w:hAnsi="Calibri" w:cs="Segoe UI"/>
                <w:color w:val="000000" w:themeColor="text1"/>
                <w:sz w:val="20"/>
                <w:szCs w:val="20"/>
                <w:lang w:eastAsia="en-GB"/>
              </w:rPr>
              <w:t xml:space="preserve"> Give students opportunities to evaluate social,</w:t>
            </w:r>
            <w:r w:rsidR="1BD1BBB0" w:rsidRPr="24A20057">
              <w:rPr>
                <w:rFonts w:ascii="Calibri" w:eastAsia="Times New Roman" w:hAnsi="Calibri" w:cs="Segoe UI"/>
                <w:color w:val="000000" w:themeColor="text1"/>
                <w:sz w:val="20"/>
                <w:szCs w:val="20"/>
                <w:lang w:eastAsia="en-GB"/>
              </w:rPr>
              <w:t xml:space="preserve"> </w:t>
            </w:r>
            <w:r w:rsidR="0AA73FBC" w:rsidRPr="24A20057">
              <w:rPr>
                <w:rFonts w:ascii="Calibri" w:eastAsia="Times New Roman" w:hAnsi="Calibri" w:cs="Segoe UI"/>
                <w:color w:val="000000" w:themeColor="text1"/>
                <w:sz w:val="20"/>
                <w:szCs w:val="20"/>
                <w:lang w:eastAsia="en-GB"/>
              </w:rPr>
              <w:t>economic and ethical issues relating to science as well as other issues</w:t>
            </w:r>
            <w:r w:rsidR="0AA73FBC" w:rsidRPr="24A20057">
              <w:rPr>
                <w:rFonts w:ascii="Calibri" w:eastAsia="Times New Roman" w:hAnsi="Calibri" w:cs="Segoe UI"/>
                <w:color w:val="000000" w:themeColor="text1"/>
                <w:lang w:eastAsia="en-GB"/>
              </w:rPr>
              <w:t>.</w:t>
            </w:r>
          </w:p>
          <w:p w14:paraId="340E7156" w14:textId="5658680A" w:rsidR="000B5292" w:rsidRPr="000B5292" w:rsidRDefault="000B5292">
            <w:pPr>
              <w:rPr>
                <w:rFonts w:ascii="Calibri" w:hAnsi="Calibri"/>
                <w:b/>
                <w:bCs/>
                <w:color w:val="00B050"/>
                <w:lang w:val="en-US"/>
              </w:rPr>
            </w:pPr>
          </w:p>
        </w:tc>
      </w:tr>
    </w:tbl>
    <w:p w14:paraId="1DF35107" w14:textId="77777777" w:rsidR="00E54BE3" w:rsidRPr="00C429BC" w:rsidRDefault="00E54BE3">
      <w:pPr>
        <w:rPr>
          <w:sz w:val="6"/>
          <w:szCs w:val="6"/>
          <w:lang w:val="en-US"/>
        </w:rPr>
      </w:pPr>
    </w:p>
    <w:tbl>
      <w:tblPr>
        <w:tblStyle w:val="TableGrid"/>
        <w:tblW w:w="10910" w:type="dxa"/>
        <w:tblLook w:val="04A0" w:firstRow="1" w:lastRow="0" w:firstColumn="1" w:lastColumn="0" w:noHBand="0" w:noVBand="1"/>
      </w:tblPr>
      <w:tblGrid>
        <w:gridCol w:w="5665"/>
        <w:gridCol w:w="5245"/>
      </w:tblGrid>
      <w:tr w:rsidR="00F3399F" w14:paraId="100AA2FE" w14:textId="77777777" w:rsidTr="24A20057">
        <w:tc>
          <w:tcPr>
            <w:tcW w:w="10910" w:type="dxa"/>
            <w:gridSpan w:val="2"/>
            <w:shd w:val="clear" w:color="auto" w:fill="112B43"/>
          </w:tcPr>
          <w:p w14:paraId="1A78315E" w14:textId="77777777" w:rsidR="00F3399F" w:rsidRPr="00F3399F" w:rsidRDefault="00F3399F" w:rsidP="00991F99">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w:rsidR="00991F99" w14:paraId="321EDE2F" w14:textId="77777777" w:rsidTr="24A20057">
        <w:tc>
          <w:tcPr>
            <w:tcW w:w="5665" w:type="dxa"/>
            <w:shd w:val="clear" w:color="auto" w:fill="112B43"/>
          </w:tcPr>
          <w:p w14:paraId="031B9476" w14:textId="77777777" w:rsidR="00991F99" w:rsidRPr="00F3399F" w:rsidRDefault="00991F99" w:rsidP="00991F99">
            <w:pPr>
              <w:jc w:val="center"/>
              <w:rPr>
                <w:b/>
                <w:bCs/>
                <w:lang w:val="en-US"/>
              </w:rPr>
            </w:pPr>
            <w:r w:rsidRPr="00F3399F">
              <w:rPr>
                <w:b/>
                <w:bCs/>
                <w:lang w:val="en-US"/>
              </w:rPr>
              <w:t>SEND</w:t>
            </w:r>
          </w:p>
        </w:tc>
        <w:tc>
          <w:tcPr>
            <w:tcW w:w="5245" w:type="dxa"/>
            <w:shd w:val="clear" w:color="auto" w:fill="112B43"/>
          </w:tcPr>
          <w:p w14:paraId="541B3075" w14:textId="77777777" w:rsidR="00991F99" w:rsidRPr="00F3399F" w:rsidRDefault="00991F99" w:rsidP="00991F99">
            <w:pPr>
              <w:jc w:val="center"/>
              <w:rPr>
                <w:b/>
                <w:bCs/>
                <w:lang w:val="en-US"/>
              </w:rPr>
            </w:pPr>
            <w:r>
              <w:rPr>
                <w:b/>
                <w:bCs/>
                <w:lang w:val="en-US"/>
              </w:rPr>
              <w:t>PP</w:t>
            </w:r>
          </w:p>
        </w:tc>
      </w:tr>
      <w:tr w:rsidR="00991F99" w14:paraId="582CE1F9" w14:textId="77777777" w:rsidTr="24A20057">
        <w:tc>
          <w:tcPr>
            <w:tcW w:w="5665" w:type="dxa"/>
          </w:tcPr>
          <w:p w14:paraId="4AB63278" w14:textId="4DB44A19" w:rsidR="00A53606" w:rsidRPr="00A53606" w:rsidRDefault="00A53606" w:rsidP="00A53606">
            <w:pPr>
              <w:pStyle w:val="ListParagraph"/>
              <w:numPr>
                <w:ilvl w:val="0"/>
                <w:numId w:val="10"/>
              </w:numPr>
              <w:rPr>
                <w:rFonts w:eastAsia="Times New Roman"/>
                <w:sz w:val="19"/>
                <w:szCs w:val="19"/>
              </w:rPr>
            </w:pPr>
            <w:r w:rsidRPr="00A53606">
              <w:rPr>
                <w:rFonts w:eastAsia="Times New Roman"/>
                <w:sz w:val="19"/>
                <w:szCs w:val="19"/>
              </w:rPr>
              <w:t>Strategies for students with Dyslexia, including graphic organisers and task breakdown sheets</w:t>
            </w:r>
          </w:p>
          <w:p w14:paraId="4ABB0055" w14:textId="77777777" w:rsidR="00A53606" w:rsidRPr="00A53606" w:rsidRDefault="00A53606" w:rsidP="00A53606">
            <w:pPr>
              <w:pStyle w:val="ListParagraph"/>
              <w:numPr>
                <w:ilvl w:val="0"/>
                <w:numId w:val="10"/>
              </w:numPr>
              <w:rPr>
                <w:rFonts w:ascii="Calibri" w:eastAsiaTheme="minorEastAsia" w:hAnsi="Calibri" w:cs="Calibri"/>
                <w:sz w:val="19"/>
                <w:szCs w:val="19"/>
                <w:lang w:eastAsia="en-GB"/>
              </w:rPr>
            </w:pPr>
            <w:r w:rsidRPr="00A53606">
              <w:rPr>
                <w:rFonts w:ascii="Calibri" w:eastAsia="Times New Roman" w:hAnsi="Calibri" w:cs="Calibri"/>
                <w:sz w:val="19"/>
                <w:szCs w:val="19"/>
                <w:lang w:eastAsia="en-GB"/>
              </w:rPr>
              <w:t xml:space="preserve">Strategies to support individual students identified in IEPs </w:t>
            </w:r>
          </w:p>
          <w:p w14:paraId="03089573" w14:textId="77777777" w:rsidR="00A53606" w:rsidRPr="00A53606" w:rsidRDefault="00A53606" w:rsidP="00A53606">
            <w:pPr>
              <w:pStyle w:val="ListParagraph"/>
              <w:numPr>
                <w:ilvl w:val="0"/>
                <w:numId w:val="10"/>
              </w:numPr>
              <w:rPr>
                <w:rFonts w:ascii="Calibri" w:eastAsia="Times New Roman" w:hAnsi="Calibri" w:cs="Calibri"/>
                <w:sz w:val="19"/>
                <w:szCs w:val="19"/>
                <w:lang w:eastAsia="en-GB"/>
              </w:rPr>
            </w:pPr>
            <w:r w:rsidRPr="00A53606">
              <w:rPr>
                <w:rFonts w:ascii="Calibri" w:eastAsia="Times New Roman" w:hAnsi="Calibri" w:cs="Calibri"/>
                <w:sz w:val="19"/>
                <w:szCs w:val="19"/>
                <w:lang w:eastAsia="en-GB"/>
              </w:rPr>
              <w:t>Coloured overlays/paper provided for students with identified need</w:t>
            </w:r>
          </w:p>
          <w:p w14:paraId="2BE27EFE" w14:textId="5334321C" w:rsidR="00255B15" w:rsidRPr="007D0A82" w:rsidRDefault="00A53606" w:rsidP="00A53606">
            <w:pPr>
              <w:pStyle w:val="xmsolistparagraph"/>
              <w:numPr>
                <w:ilvl w:val="0"/>
                <w:numId w:val="10"/>
              </w:numPr>
              <w:rPr>
                <w:rFonts w:eastAsia="Times New Roman"/>
                <w:sz w:val="19"/>
                <w:szCs w:val="19"/>
              </w:rPr>
            </w:pPr>
            <w:r w:rsidRPr="00A53606">
              <w:rPr>
                <w:rFonts w:asciiTheme="minorHAnsi" w:eastAsia="Times New Roman" w:hAnsiTheme="minorHAnsi" w:cstheme="minorBidi"/>
                <w:sz w:val="19"/>
                <w:szCs w:val="19"/>
                <w:lang w:eastAsia="en-US"/>
              </w:rPr>
              <w:t xml:space="preserve">Quality-first teaching strategies employed in lessons, providing </w:t>
            </w:r>
            <w:r w:rsidR="007E15A7">
              <w:rPr>
                <w:rFonts w:asciiTheme="minorHAnsi" w:eastAsia="Times New Roman" w:hAnsiTheme="minorHAnsi" w:cstheme="minorBidi"/>
                <w:sz w:val="19"/>
                <w:szCs w:val="19"/>
                <w:lang w:eastAsia="en-US"/>
              </w:rPr>
              <w:t>adaptation</w:t>
            </w:r>
            <w:r w:rsidRPr="00A53606">
              <w:rPr>
                <w:rFonts w:asciiTheme="minorHAnsi" w:eastAsia="Times New Roman" w:hAnsiTheme="minorHAnsi" w:cstheme="minorBidi"/>
                <w:sz w:val="19"/>
                <w:szCs w:val="19"/>
                <w:lang w:eastAsia="en-US"/>
              </w:rPr>
              <w:t xml:space="preserve"> and structure, sensitive to student need</w:t>
            </w:r>
          </w:p>
        </w:tc>
        <w:tc>
          <w:tcPr>
            <w:tcW w:w="5245" w:type="dxa"/>
          </w:tcPr>
          <w:p w14:paraId="2693DCAA" w14:textId="77777777" w:rsidR="00A53606" w:rsidRPr="00A53606" w:rsidRDefault="00255B15" w:rsidP="00A53606">
            <w:pPr>
              <w:pStyle w:val="ListParagraph"/>
              <w:numPr>
                <w:ilvl w:val="0"/>
                <w:numId w:val="8"/>
              </w:numPr>
              <w:tabs>
                <w:tab w:val="left" w:pos="2918"/>
              </w:tabs>
              <w:rPr>
                <w:sz w:val="19"/>
                <w:szCs w:val="19"/>
                <w:lang w:val="en-US"/>
              </w:rPr>
            </w:pPr>
            <w:r>
              <w:rPr>
                <w:sz w:val="19"/>
                <w:szCs w:val="19"/>
                <w:lang w:val="en-US"/>
              </w:rPr>
              <w:t xml:space="preserve"> </w:t>
            </w:r>
            <w:r w:rsidR="00A53606" w:rsidRPr="00A53606">
              <w:rPr>
                <w:sz w:val="19"/>
                <w:szCs w:val="19"/>
                <w:lang w:val="en-US"/>
              </w:rPr>
              <w:t>Revision guides and other essential materials</w:t>
            </w:r>
          </w:p>
          <w:p w14:paraId="2B2E93CB" w14:textId="1F85DB61" w:rsidR="00991F99" w:rsidRDefault="00A53606" w:rsidP="00E22C86">
            <w:pPr>
              <w:pStyle w:val="ListParagraph"/>
              <w:numPr>
                <w:ilvl w:val="0"/>
                <w:numId w:val="8"/>
              </w:numPr>
              <w:tabs>
                <w:tab w:val="left" w:pos="2918"/>
              </w:tabs>
              <w:rPr>
                <w:sz w:val="19"/>
                <w:szCs w:val="19"/>
                <w:lang w:val="en-US"/>
              </w:rPr>
            </w:pPr>
            <w:r>
              <w:rPr>
                <w:sz w:val="19"/>
                <w:szCs w:val="19"/>
                <w:lang w:val="en-US"/>
              </w:rPr>
              <w:t>Subsidized trips</w:t>
            </w:r>
          </w:p>
          <w:p w14:paraId="63002D9B" w14:textId="7C6FA539" w:rsidR="00255B15" w:rsidRPr="007D0A82" w:rsidRDefault="76FBE5E9" w:rsidP="00E22C86">
            <w:pPr>
              <w:pStyle w:val="ListParagraph"/>
              <w:numPr>
                <w:ilvl w:val="0"/>
                <w:numId w:val="8"/>
              </w:numPr>
              <w:tabs>
                <w:tab w:val="left" w:pos="2918"/>
              </w:tabs>
              <w:rPr>
                <w:sz w:val="19"/>
                <w:szCs w:val="19"/>
                <w:lang w:val="en-US"/>
              </w:rPr>
            </w:pPr>
            <w:r w:rsidRPr="24A20057">
              <w:rPr>
                <w:sz w:val="19"/>
                <w:szCs w:val="19"/>
                <w:lang w:val="en-US"/>
              </w:rPr>
              <w:t>Lunch provided</w:t>
            </w:r>
          </w:p>
          <w:p w14:paraId="34E88B18" w14:textId="559F7E4A" w:rsidR="00255B15" w:rsidRPr="007D0A82" w:rsidRDefault="119E9895" w:rsidP="00E22C86">
            <w:pPr>
              <w:pStyle w:val="ListParagraph"/>
              <w:numPr>
                <w:ilvl w:val="0"/>
                <w:numId w:val="8"/>
              </w:numPr>
              <w:tabs>
                <w:tab w:val="left" w:pos="2918"/>
              </w:tabs>
              <w:rPr>
                <w:sz w:val="19"/>
                <w:szCs w:val="19"/>
                <w:lang w:val="en-US"/>
              </w:rPr>
            </w:pPr>
            <w:r w:rsidRPr="24A20057">
              <w:rPr>
                <w:sz w:val="19"/>
                <w:szCs w:val="19"/>
                <w:lang w:val="en-US"/>
              </w:rPr>
              <w:t>Cultural enrichment trips</w:t>
            </w:r>
          </w:p>
        </w:tc>
      </w:tr>
    </w:tbl>
    <w:p w14:paraId="4CE5E785" w14:textId="77777777" w:rsidR="005267A0" w:rsidRDefault="005267A0" w:rsidP="00BB7DAA">
      <w:pPr>
        <w:pStyle w:val="NoSpacing"/>
      </w:pPr>
    </w:p>
    <w:tbl>
      <w:tblPr>
        <w:tblStyle w:val="TableGrid"/>
        <w:tblW w:w="10910" w:type="dxa"/>
        <w:tblLook w:val="04A0" w:firstRow="1" w:lastRow="0" w:firstColumn="1" w:lastColumn="0" w:noHBand="0" w:noVBand="1"/>
      </w:tblPr>
      <w:tblGrid>
        <w:gridCol w:w="5665"/>
        <w:gridCol w:w="5245"/>
      </w:tblGrid>
      <w:tr w:rsidR="00BB7DAA" w:rsidRPr="000A2587" w14:paraId="4AA18138" w14:textId="77777777" w:rsidTr="24A20057">
        <w:tc>
          <w:tcPr>
            <w:tcW w:w="10910" w:type="dxa"/>
            <w:gridSpan w:val="2"/>
            <w:shd w:val="clear" w:color="auto" w:fill="112B43"/>
          </w:tcPr>
          <w:p w14:paraId="2AEFBFE5"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3EE9AF15" w14:textId="77777777" w:rsidTr="24A20057">
        <w:tc>
          <w:tcPr>
            <w:tcW w:w="5665" w:type="dxa"/>
            <w:shd w:val="clear" w:color="auto" w:fill="112B43"/>
          </w:tcPr>
          <w:p w14:paraId="30E710B2"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Pr>
          <w:p w14:paraId="2B783DDA"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6603E0" w:rsidRPr="00EE1A0B" w14:paraId="170E6168" w14:textId="77777777" w:rsidTr="24A20057">
        <w:tc>
          <w:tcPr>
            <w:tcW w:w="5665" w:type="dxa"/>
            <w:shd w:val="clear" w:color="auto" w:fill="auto"/>
          </w:tcPr>
          <w:p w14:paraId="25EE9F22" w14:textId="77777777" w:rsidR="006603E0" w:rsidRDefault="006603E0" w:rsidP="00645C51">
            <w:pPr>
              <w:rPr>
                <w:rFonts w:eastAsiaTheme="minorEastAsia"/>
                <w:color w:val="000000" w:themeColor="text1"/>
                <w:sz w:val="20"/>
                <w:szCs w:val="20"/>
                <w:lang w:val="en-US"/>
              </w:rPr>
            </w:pPr>
          </w:p>
          <w:p w14:paraId="4E5BA169" w14:textId="77777777" w:rsidR="006603E0" w:rsidRDefault="005267A0" w:rsidP="00645C51">
            <w:pPr>
              <w:rPr>
                <w:rFonts w:eastAsiaTheme="minorEastAsia"/>
                <w:color w:val="000000" w:themeColor="text1"/>
                <w:sz w:val="20"/>
                <w:szCs w:val="20"/>
                <w:lang w:val="en-US"/>
              </w:rPr>
            </w:pPr>
            <w:r>
              <w:rPr>
                <w:rFonts w:eastAsiaTheme="minorEastAsia"/>
                <w:color w:val="000000" w:themeColor="text1"/>
                <w:sz w:val="20"/>
                <w:szCs w:val="20"/>
                <w:lang w:val="en-US"/>
              </w:rPr>
              <w:t xml:space="preserve">What </w:t>
            </w:r>
            <w:r w:rsidRPr="005267A0">
              <w:rPr>
                <w:rFonts w:eastAsiaTheme="minorEastAsia"/>
                <w:b/>
                <w:bCs/>
                <w:color w:val="000000" w:themeColor="text1"/>
                <w:sz w:val="20"/>
                <w:szCs w:val="20"/>
                <w:lang w:val="en-US"/>
              </w:rPr>
              <w:t>skills</w:t>
            </w:r>
            <w:r>
              <w:rPr>
                <w:rFonts w:eastAsiaTheme="minorEastAsia"/>
                <w:color w:val="000000" w:themeColor="text1"/>
                <w:sz w:val="20"/>
                <w:szCs w:val="20"/>
                <w:lang w:val="en-US"/>
              </w:rPr>
              <w:t xml:space="preserve"> students have missed out on in your subject and </w:t>
            </w:r>
            <w:r w:rsidRPr="005267A0">
              <w:rPr>
                <w:rFonts w:eastAsiaTheme="minorEastAsia"/>
                <w:b/>
                <w:bCs/>
                <w:color w:val="000000" w:themeColor="text1"/>
                <w:sz w:val="20"/>
                <w:szCs w:val="20"/>
                <w:lang w:val="en-US"/>
              </w:rPr>
              <w:t>what we’re going to do about it.</w:t>
            </w:r>
            <w:r>
              <w:rPr>
                <w:rFonts w:eastAsiaTheme="minorEastAsia"/>
                <w:color w:val="000000" w:themeColor="text1"/>
                <w:sz w:val="20"/>
                <w:szCs w:val="20"/>
                <w:lang w:val="en-US"/>
              </w:rPr>
              <w:t xml:space="preserve"> </w:t>
            </w:r>
          </w:p>
          <w:p w14:paraId="332D9465" w14:textId="374BAD81" w:rsidR="00C264E2" w:rsidRPr="00C264E2" w:rsidRDefault="00C264E2" w:rsidP="00C264E2">
            <w:pPr>
              <w:shd w:val="clear" w:color="auto" w:fill="FFFFFF"/>
              <w:rPr>
                <w:rFonts w:ascii="Calibri" w:eastAsia="Times New Roman" w:hAnsi="Calibri" w:cs="Segoe UI"/>
                <w:color w:val="000000"/>
                <w:sz w:val="20"/>
                <w:szCs w:val="20"/>
                <w:lang w:eastAsia="en-GB"/>
              </w:rPr>
            </w:pPr>
            <w:r w:rsidRPr="00C264E2">
              <w:rPr>
                <w:rFonts w:ascii="Calibri" w:eastAsia="Times New Roman" w:hAnsi="Calibri" w:cs="Segoe UI"/>
                <w:color w:val="000000"/>
                <w:sz w:val="20"/>
                <w:szCs w:val="20"/>
                <w:lang w:eastAsia="en-GB"/>
              </w:rPr>
              <w:t>Develop practical s</w:t>
            </w:r>
            <w:r w:rsidRPr="003439A9">
              <w:rPr>
                <w:rFonts w:ascii="Calibri" w:eastAsia="Times New Roman" w:hAnsi="Calibri" w:cs="Segoe UI"/>
                <w:color w:val="000000"/>
                <w:sz w:val="20"/>
                <w:szCs w:val="20"/>
                <w:lang w:eastAsia="en-GB"/>
              </w:rPr>
              <w:t>kills by working scientifically</w:t>
            </w:r>
          </w:p>
          <w:p w14:paraId="2C4C0C9E" w14:textId="36FA80A1" w:rsidR="006603E0" w:rsidRPr="003439A9" w:rsidRDefault="00C264E2" w:rsidP="00C264E2">
            <w:pPr>
              <w:rPr>
                <w:rFonts w:ascii="Calibri" w:eastAsia="Times New Roman" w:hAnsi="Calibri" w:cs="Segoe UI"/>
                <w:color w:val="000000"/>
                <w:sz w:val="20"/>
                <w:szCs w:val="20"/>
                <w:lang w:eastAsia="en-GB"/>
              </w:rPr>
            </w:pPr>
            <w:r w:rsidRPr="003439A9">
              <w:rPr>
                <w:rFonts w:ascii="Calibri" w:eastAsia="Times New Roman" w:hAnsi="Calibri" w:cs="Segoe UI"/>
                <w:color w:val="000000"/>
                <w:sz w:val="20"/>
                <w:szCs w:val="20"/>
                <w:lang w:eastAsia="en-GB"/>
              </w:rPr>
              <w:t xml:space="preserve">Utilise practical </w:t>
            </w:r>
            <w:r w:rsidR="0010132A" w:rsidRPr="003439A9">
              <w:rPr>
                <w:rFonts w:ascii="Calibri" w:eastAsia="Times New Roman" w:hAnsi="Calibri" w:cs="Segoe UI"/>
                <w:color w:val="000000"/>
                <w:sz w:val="20"/>
                <w:szCs w:val="20"/>
                <w:lang w:eastAsia="en-GB"/>
              </w:rPr>
              <w:t xml:space="preserve">workbook and providing more opportunities </w:t>
            </w:r>
            <w:r w:rsidR="003439A9">
              <w:rPr>
                <w:rFonts w:ascii="Calibri" w:eastAsia="Times New Roman" w:hAnsi="Calibri" w:cs="Segoe UI"/>
                <w:color w:val="000000"/>
                <w:sz w:val="20"/>
                <w:szCs w:val="20"/>
                <w:lang w:eastAsia="en-GB"/>
              </w:rPr>
              <w:t>for students</w:t>
            </w:r>
            <w:r w:rsidR="0010132A" w:rsidRPr="003439A9">
              <w:rPr>
                <w:rFonts w:ascii="Calibri" w:eastAsia="Times New Roman" w:hAnsi="Calibri" w:cs="Segoe UI"/>
                <w:color w:val="000000"/>
                <w:sz w:val="20"/>
                <w:szCs w:val="20"/>
                <w:lang w:eastAsia="en-GB"/>
              </w:rPr>
              <w:t xml:space="preserve"> to work scientifically </w:t>
            </w:r>
            <w:r w:rsidR="003439A9" w:rsidRPr="003439A9">
              <w:rPr>
                <w:rFonts w:ascii="Calibri" w:eastAsia="Times New Roman" w:hAnsi="Calibri" w:cs="Segoe UI"/>
                <w:color w:val="000000"/>
                <w:sz w:val="20"/>
                <w:szCs w:val="20"/>
                <w:lang w:eastAsia="en-GB"/>
              </w:rPr>
              <w:t xml:space="preserve">and independently </w:t>
            </w:r>
            <w:r w:rsidR="0010132A" w:rsidRPr="003439A9">
              <w:rPr>
                <w:rFonts w:ascii="Calibri" w:eastAsia="Times New Roman" w:hAnsi="Calibri" w:cs="Segoe UI"/>
                <w:color w:val="000000"/>
                <w:sz w:val="20"/>
                <w:szCs w:val="20"/>
                <w:lang w:eastAsia="en-GB"/>
              </w:rPr>
              <w:t>in the lab</w:t>
            </w:r>
          </w:p>
          <w:p w14:paraId="0939E507" w14:textId="48A644E8" w:rsidR="003439A9" w:rsidRPr="003439A9" w:rsidRDefault="003439A9" w:rsidP="00C264E2">
            <w:pPr>
              <w:rPr>
                <w:rFonts w:ascii="Calibri" w:eastAsia="Times New Roman" w:hAnsi="Calibri" w:cs="Segoe UI"/>
                <w:color w:val="000000"/>
                <w:sz w:val="20"/>
                <w:szCs w:val="20"/>
                <w:lang w:eastAsia="en-GB"/>
              </w:rPr>
            </w:pPr>
            <w:r w:rsidRPr="003439A9">
              <w:rPr>
                <w:rFonts w:ascii="Calibri" w:eastAsia="Times New Roman" w:hAnsi="Calibri" w:cs="Segoe UI"/>
                <w:color w:val="000000"/>
                <w:sz w:val="20"/>
                <w:szCs w:val="20"/>
                <w:lang w:eastAsia="en-GB"/>
              </w:rPr>
              <w:t>Repeating core skills</w:t>
            </w:r>
          </w:p>
          <w:p w14:paraId="2DAE532C" w14:textId="05C265CA" w:rsidR="003439A9" w:rsidRPr="003439A9" w:rsidRDefault="34ADD04F" w:rsidP="00C264E2">
            <w:pPr>
              <w:rPr>
                <w:rFonts w:ascii="Calibri" w:eastAsiaTheme="minorEastAsia" w:hAnsi="Calibri"/>
                <w:color w:val="000000" w:themeColor="text1"/>
                <w:sz w:val="20"/>
                <w:szCs w:val="20"/>
                <w:lang w:val="en-US"/>
              </w:rPr>
            </w:pPr>
            <w:r w:rsidRPr="24A20057">
              <w:rPr>
                <w:rFonts w:ascii="Calibri" w:eastAsia="Times New Roman" w:hAnsi="Calibri" w:cs="Segoe UI"/>
                <w:color w:val="000000" w:themeColor="text1"/>
                <w:sz w:val="20"/>
                <w:szCs w:val="20"/>
                <w:lang w:eastAsia="en-GB"/>
              </w:rPr>
              <w:t>Develop scientific vocabulary</w:t>
            </w:r>
          </w:p>
          <w:p w14:paraId="1579EEF0" w14:textId="161061EA" w:rsidR="1142DCED" w:rsidRDefault="1142DCED" w:rsidP="24A20057">
            <w:pPr>
              <w:rPr>
                <w:rFonts w:ascii="Calibri" w:eastAsia="Times New Roman" w:hAnsi="Calibri" w:cs="Segoe UI"/>
                <w:color w:val="000000" w:themeColor="text1"/>
                <w:sz w:val="20"/>
                <w:szCs w:val="20"/>
                <w:lang w:eastAsia="en-GB"/>
              </w:rPr>
            </w:pPr>
            <w:r w:rsidRPr="24A20057">
              <w:rPr>
                <w:rFonts w:ascii="Calibri" w:eastAsia="Times New Roman" w:hAnsi="Calibri" w:cs="Segoe UI"/>
                <w:color w:val="000000" w:themeColor="text1"/>
                <w:sz w:val="20"/>
                <w:szCs w:val="20"/>
                <w:lang w:eastAsia="en-GB"/>
              </w:rPr>
              <w:t>Utilising Kerboodle</w:t>
            </w:r>
          </w:p>
          <w:p w14:paraId="7C8CCA35" w14:textId="77777777" w:rsidR="006603E0" w:rsidRPr="00EE1A0B" w:rsidRDefault="006603E0" w:rsidP="00645C51">
            <w:pPr>
              <w:rPr>
                <w:rFonts w:eastAsiaTheme="minorEastAsia"/>
                <w:color w:val="000000" w:themeColor="text1"/>
                <w:sz w:val="20"/>
                <w:szCs w:val="20"/>
                <w:lang w:val="en-US"/>
              </w:rPr>
            </w:pPr>
          </w:p>
        </w:tc>
        <w:tc>
          <w:tcPr>
            <w:tcW w:w="5245" w:type="dxa"/>
            <w:shd w:val="clear" w:color="auto" w:fill="auto"/>
          </w:tcPr>
          <w:p w14:paraId="40365807" w14:textId="77777777" w:rsidR="006603E0" w:rsidRDefault="006603E0" w:rsidP="00645C51">
            <w:pPr>
              <w:rPr>
                <w:rFonts w:eastAsiaTheme="minorEastAsia"/>
                <w:color w:val="000000" w:themeColor="text1"/>
                <w:sz w:val="20"/>
                <w:szCs w:val="20"/>
                <w:lang w:val="en-US"/>
              </w:rPr>
            </w:pPr>
          </w:p>
          <w:p w14:paraId="7FDBD949" w14:textId="77777777" w:rsidR="005267A0" w:rsidRDefault="005267A0" w:rsidP="005267A0">
            <w:pPr>
              <w:rPr>
                <w:rFonts w:eastAsiaTheme="minorEastAsia"/>
                <w:color w:val="000000" w:themeColor="text1"/>
                <w:sz w:val="20"/>
                <w:szCs w:val="20"/>
                <w:lang w:val="en-US"/>
              </w:rPr>
            </w:pPr>
            <w:r>
              <w:rPr>
                <w:rFonts w:eastAsiaTheme="minorEastAsia"/>
                <w:color w:val="000000" w:themeColor="text1"/>
                <w:sz w:val="20"/>
                <w:szCs w:val="20"/>
                <w:lang w:val="en-US"/>
              </w:rPr>
              <w:t xml:space="preserve">What </w:t>
            </w:r>
            <w:r w:rsidRPr="005267A0">
              <w:rPr>
                <w:rFonts w:eastAsiaTheme="minorEastAsia"/>
                <w:b/>
                <w:bCs/>
                <w:color w:val="000000" w:themeColor="text1"/>
                <w:sz w:val="20"/>
                <w:szCs w:val="20"/>
                <w:lang w:val="en-US"/>
              </w:rPr>
              <w:t>knowledge</w:t>
            </w:r>
            <w:r>
              <w:rPr>
                <w:rFonts w:eastAsiaTheme="minorEastAsia"/>
                <w:color w:val="000000" w:themeColor="text1"/>
                <w:sz w:val="20"/>
                <w:szCs w:val="20"/>
                <w:lang w:val="en-US"/>
              </w:rPr>
              <w:t xml:space="preserve"> students have missed out on in your subject and what </w:t>
            </w:r>
            <w:r w:rsidRPr="005267A0">
              <w:rPr>
                <w:rFonts w:eastAsiaTheme="minorEastAsia"/>
                <w:b/>
                <w:bCs/>
                <w:color w:val="000000" w:themeColor="text1"/>
                <w:sz w:val="20"/>
                <w:szCs w:val="20"/>
                <w:lang w:val="en-US"/>
              </w:rPr>
              <w:t>we’re going to do about it.</w:t>
            </w:r>
            <w:r>
              <w:rPr>
                <w:rFonts w:eastAsiaTheme="minorEastAsia"/>
                <w:color w:val="000000" w:themeColor="text1"/>
                <w:sz w:val="20"/>
                <w:szCs w:val="20"/>
                <w:lang w:val="en-US"/>
              </w:rPr>
              <w:t xml:space="preserve"> </w:t>
            </w:r>
          </w:p>
          <w:p w14:paraId="15FDDA87" w14:textId="43F60070" w:rsidR="00C264E2" w:rsidRPr="003439A9" w:rsidRDefault="003439A9" w:rsidP="00C264E2">
            <w:pPr>
              <w:rPr>
                <w:rFonts w:ascii="Calibri" w:eastAsiaTheme="minorEastAsia" w:hAnsi="Calibri"/>
                <w:color w:val="000000" w:themeColor="text1"/>
                <w:sz w:val="20"/>
                <w:szCs w:val="20"/>
                <w:lang w:val="en-US"/>
              </w:rPr>
            </w:pPr>
            <w:r>
              <w:rPr>
                <w:rFonts w:ascii="Calibri" w:eastAsia="Times New Roman" w:hAnsi="Calibri" w:cs="Segoe UI"/>
                <w:color w:val="000000"/>
                <w:sz w:val="20"/>
                <w:szCs w:val="20"/>
                <w:lang w:eastAsia="en-GB"/>
              </w:rPr>
              <w:t>Depth in a</w:t>
            </w:r>
            <w:r w:rsidRPr="003439A9">
              <w:rPr>
                <w:rFonts w:ascii="Calibri" w:eastAsia="Times New Roman" w:hAnsi="Calibri" w:cs="Segoe UI"/>
                <w:color w:val="000000"/>
                <w:sz w:val="20"/>
                <w:szCs w:val="20"/>
                <w:lang w:eastAsia="en-GB"/>
              </w:rPr>
              <w:t>rticulating</w:t>
            </w:r>
            <w:r w:rsidR="00C264E2" w:rsidRPr="003439A9">
              <w:rPr>
                <w:rFonts w:ascii="Calibri" w:eastAsia="Times New Roman" w:hAnsi="Calibri" w:cs="Segoe UI"/>
                <w:color w:val="000000"/>
                <w:sz w:val="20"/>
                <w:szCs w:val="20"/>
                <w:lang w:eastAsia="en-GB"/>
              </w:rPr>
              <w:t xml:space="preserve"> scientific concepts clearly and precisely</w:t>
            </w:r>
          </w:p>
          <w:p w14:paraId="3490DE4E" w14:textId="77777777" w:rsidR="005267A0" w:rsidRDefault="003439A9" w:rsidP="00645C51">
            <w:pPr>
              <w:rPr>
                <w:rFonts w:eastAsiaTheme="minorEastAsia"/>
                <w:color w:val="000000" w:themeColor="text1"/>
                <w:sz w:val="20"/>
                <w:szCs w:val="20"/>
                <w:lang w:val="en-US"/>
              </w:rPr>
            </w:pPr>
            <w:r>
              <w:rPr>
                <w:rFonts w:eastAsiaTheme="minorEastAsia"/>
                <w:color w:val="000000" w:themeColor="text1"/>
                <w:sz w:val="20"/>
                <w:szCs w:val="20"/>
                <w:lang w:val="en-US"/>
              </w:rPr>
              <w:t>Baseline tests</w:t>
            </w:r>
          </w:p>
          <w:p w14:paraId="5B8756F6" w14:textId="013D8BD9" w:rsidR="003439A9" w:rsidRDefault="34ADD04F" w:rsidP="24A20057">
            <w:pPr>
              <w:rPr>
                <w:rFonts w:eastAsiaTheme="minorEastAsia"/>
                <w:color w:val="000000" w:themeColor="text1"/>
                <w:sz w:val="20"/>
                <w:szCs w:val="20"/>
                <w:lang w:val="en-US"/>
              </w:rPr>
            </w:pPr>
            <w:r w:rsidRPr="24A20057">
              <w:rPr>
                <w:rFonts w:eastAsiaTheme="minorEastAsia"/>
                <w:color w:val="000000" w:themeColor="text1"/>
                <w:sz w:val="20"/>
                <w:szCs w:val="20"/>
                <w:lang w:val="en-US"/>
              </w:rPr>
              <w:t xml:space="preserve">Use of formative </w:t>
            </w:r>
            <w:r w:rsidR="241FDAA1" w:rsidRPr="24A20057">
              <w:rPr>
                <w:rFonts w:eastAsiaTheme="minorEastAsia"/>
                <w:color w:val="000000" w:themeColor="text1"/>
                <w:sz w:val="20"/>
                <w:szCs w:val="20"/>
                <w:lang w:val="en-US"/>
              </w:rPr>
              <w:t xml:space="preserve">and summative </w:t>
            </w:r>
            <w:r w:rsidRPr="24A20057">
              <w:rPr>
                <w:rFonts w:eastAsiaTheme="minorEastAsia"/>
                <w:color w:val="000000" w:themeColor="text1"/>
                <w:sz w:val="20"/>
                <w:szCs w:val="20"/>
                <w:lang w:val="en-US"/>
              </w:rPr>
              <w:t>assessments</w:t>
            </w:r>
          </w:p>
          <w:p w14:paraId="6D849114" w14:textId="0DC7B553" w:rsidR="003439A9" w:rsidRDefault="003439A9" w:rsidP="00645C51">
            <w:pPr>
              <w:rPr>
                <w:rFonts w:eastAsiaTheme="minorEastAsia"/>
                <w:color w:val="000000" w:themeColor="text1"/>
                <w:sz w:val="20"/>
                <w:szCs w:val="20"/>
                <w:lang w:val="en-US"/>
              </w:rPr>
            </w:pPr>
            <w:r>
              <w:rPr>
                <w:rFonts w:eastAsiaTheme="minorEastAsia"/>
                <w:color w:val="000000" w:themeColor="text1"/>
                <w:sz w:val="20"/>
                <w:szCs w:val="20"/>
                <w:lang w:val="en-US"/>
              </w:rPr>
              <w:t>Focused intervention</w:t>
            </w:r>
          </w:p>
          <w:p w14:paraId="4183FACF" w14:textId="432565F2" w:rsidR="003439A9" w:rsidRDefault="003439A9" w:rsidP="00645C51">
            <w:pPr>
              <w:rPr>
                <w:rFonts w:eastAsiaTheme="minorEastAsia"/>
                <w:color w:val="000000" w:themeColor="text1"/>
                <w:sz w:val="20"/>
                <w:szCs w:val="20"/>
                <w:lang w:val="en-US"/>
              </w:rPr>
            </w:pPr>
            <w:r>
              <w:rPr>
                <w:rFonts w:eastAsiaTheme="minorEastAsia"/>
                <w:color w:val="000000" w:themeColor="text1"/>
                <w:sz w:val="20"/>
                <w:szCs w:val="20"/>
                <w:lang w:val="en-US"/>
              </w:rPr>
              <w:t>Support students to retain and retrieve knowledge</w:t>
            </w:r>
          </w:p>
          <w:p w14:paraId="0CC4DD5E" w14:textId="785D8F7D" w:rsidR="003439A9" w:rsidRDefault="003439A9" w:rsidP="00645C51">
            <w:pPr>
              <w:rPr>
                <w:rFonts w:eastAsiaTheme="minorEastAsia"/>
                <w:color w:val="000000" w:themeColor="text1"/>
                <w:sz w:val="20"/>
                <w:szCs w:val="20"/>
                <w:lang w:val="en-US"/>
              </w:rPr>
            </w:pPr>
            <w:r>
              <w:rPr>
                <w:rFonts w:eastAsiaTheme="minorEastAsia"/>
                <w:color w:val="000000" w:themeColor="text1"/>
                <w:sz w:val="20"/>
                <w:szCs w:val="20"/>
                <w:lang w:val="en-US"/>
              </w:rPr>
              <w:t>Help students to direct their own learning</w:t>
            </w:r>
          </w:p>
          <w:p w14:paraId="302BB012" w14:textId="75962D2B" w:rsidR="003439A9" w:rsidRPr="00EE1A0B" w:rsidRDefault="003439A9" w:rsidP="00645C51">
            <w:pPr>
              <w:rPr>
                <w:rFonts w:eastAsiaTheme="minorEastAsia"/>
                <w:color w:val="000000" w:themeColor="text1"/>
                <w:sz w:val="20"/>
                <w:szCs w:val="20"/>
                <w:lang w:val="en-US"/>
              </w:rPr>
            </w:pPr>
            <w:r>
              <w:rPr>
                <w:rFonts w:eastAsiaTheme="minorEastAsia"/>
                <w:color w:val="000000" w:themeColor="text1"/>
                <w:sz w:val="20"/>
                <w:szCs w:val="20"/>
                <w:lang w:val="en-US"/>
              </w:rPr>
              <w:t>To use Seneca learning platform as a whole school approach</w:t>
            </w:r>
          </w:p>
        </w:tc>
      </w:tr>
    </w:tbl>
    <w:p w14:paraId="1DBB9578" w14:textId="77777777" w:rsidR="00255B15" w:rsidRDefault="00255B15">
      <w:pPr>
        <w:rPr>
          <w:b/>
          <w:bCs/>
          <w:u w:val="single"/>
          <w:vertAlign w:val="superscript"/>
          <w:lang w:val="en-US"/>
        </w:rPr>
      </w:pPr>
    </w:p>
    <w:p w14:paraId="4061E965" w14:textId="7C5334EC" w:rsidR="00255B15" w:rsidRDefault="00255B15">
      <w:pPr>
        <w:rPr>
          <w:b/>
          <w:bCs/>
          <w:u w:val="single"/>
          <w:vertAlign w:val="superscript"/>
          <w:lang w:val="en-US"/>
        </w:rPr>
      </w:pPr>
    </w:p>
    <w:sectPr w:rsidR="00255B15"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03FDD"/>
    <w:multiLevelType w:val="hybridMultilevel"/>
    <w:tmpl w:val="75F497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7"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A7122"/>
    <w:multiLevelType w:val="multilevel"/>
    <w:tmpl w:val="E7B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46481040">
    <w:abstractNumId w:val="1"/>
  </w:num>
  <w:num w:numId="2" w16cid:durableId="1250851802">
    <w:abstractNumId w:val="2"/>
  </w:num>
  <w:num w:numId="3" w16cid:durableId="629745974">
    <w:abstractNumId w:val="9"/>
  </w:num>
  <w:num w:numId="4" w16cid:durableId="1612274012">
    <w:abstractNumId w:val="4"/>
  </w:num>
  <w:num w:numId="5" w16cid:durableId="1942568083">
    <w:abstractNumId w:val="0"/>
  </w:num>
  <w:num w:numId="6" w16cid:durableId="1412267636">
    <w:abstractNumId w:val="7"/>
  </w:num>
  <w:num w:numId="7" w16cid:durableId="1418091217">
    <w:abstractNumId w:val="6"/>
  </w:num>
  <w:num w:numId="8" w16cid:durableId="1054621925">
    <w:abstractNumId w:val="5"/>
  </w:num>
  <w:num w:numId="9" w16cid:durableId="1651863118">
    <w:abstractNumId w:val="8"/>
  </w:num>
  <w:num w:numId="10" w16cid:durableId="164288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51"/>
    <w:rsid w:val="00047AC8"/>
    <w:rsid w:val="0006181D"/>
    <w:rsid w:val="000710E5"/>
    <w:rsid w:val="00071829"/>
    <w:rsid w:val="00071AFC"/>
    <w:rsid w:val="0009072B"/>
    <w:rsid w:val="000A2587"/>
    <w:rsid w:val="000B5292"/>
    <w:rsid w:val="000C7779"/>
    <w:rsid w:val="000F3B9D"/>
    <w:rsid w:val="000F6DB4"/>
    <w:rsid w:val="0010132A"/>
    <w:rsid w:val="00112CB8"/>
    <w:rsid w:val="0014119E"/>
    <w:rsid w:val="00144AA8"/>
    <w:rsid w:val="0017686B"/>
    <w:rsid w:val="001A70A1"/>
    <w:rsid w:val="001B6668"/>
    <w:rsid w:val="00206978"/>
    <w:rsid w:val="00255B15"/>
    <w:rsid w:val="002940E6"/>
    <w:rsid w:val="002E14A2"/>
    <w:rsid w:val="002E50E5"/>
    <w:rsid w:val="00316E7C"/>
    <w:rsid w:val="003254F7"/>
    <w:rsid w:val="00330E15"/>
    <w:rsid w:val="003439A9"/>
    <w:rsid w:val="0035378F"/>
    <w:rsid w:val="003850B6"/>
    <w:rsid w:val="003A5129"/>
    <w:rsid w:val="003F62EF"/>
    <w:rsid w:val="00420DC4"/>
    <w:rsid w:val="00425679"/>
    <w:rsid w:val="00436C6D"/>
    <w:rsid w:val="0045018E"/>
    <w:rsid w:val="00477CC2"/>
    <w:rsid w:val="0048160D"/>
    <w:rsid w:val="004864EE"/>
    <w:rsid w:val="004B4F3A"/>
    <w:rsid w:val="004C18DD"/>
    <w:rsid w:val="004D0F39"/>
    <w:rsid w:val="0050153B"/>
    <w:rsid w:val="005267A0"/>
    <w:rsid w:val="00567AE8"/>
    <w:rsid w:val="005A593A"/>
    <w:rsid w:val="005D01FC"/>
    <w:rsid w:val="005E5305"/>
    <w:rsid w:val="005F45EC"/>
    <w:rsid w:val="00613940"/>
    <w:rsid w:val="006339E5"/>
    <w:rsid w:val="00645C51"/>
    <w:rsid w:val="006603E0"/>
    <w:rsid w:val="006D2C95"/>
    <w:rsid w:val="006E59F0"/>
    <w:rsid w:val="0070337E"/>
    <w:rsid w:val="0071412A"/>
    <w:rsid w:val="0072041A"/>
    <w:rsid w:val="00740987"/>
    <w:rsid w:val="0078652D"/>
    <w:rsid w:val="007A4B7D"/>
    <w:rsid w:val="007D0A82"/>
    <w:rsid w:val="007D1A76"/>
    <w:rsid w:val="007D226B"/>
    <w:rsid w:val="007D50F0"/>
    <w:rsid w:val="007E15A7"/>
    <w:rsid w:val="007F6E8F"/>
    <w:rsid w:val="008255A0"/>
    <w:rsid w:val="008723FA"/>
    <w:rsid w:val="00882B8C"/>
    <w:rsid w:val="008B3F28"/>
    <w:rsid w:val="008D3A73"/>
    <w:rsid w:val="00926329"/>
    <w:rsid w:val="00945196"/>
    <w:rsid w:val="009858B3"/>
    <w:rsid w:val="00991F99"/>
    <w:rsid w:val="009C135E"/>
    <w:rsid w:val="009C7493"/>
    <w:rsid w:val="009D41B8"/>
    <w:rsid w:val="00A07098"/>
    <w:rsid w:val="00A33975"/>
    <w:rsid w:val="00A42981"/>
    <w:rsid w:val="00A53606"/>
    <w:rsid w:val="00A74C20"/>
    <w:rsid w:val="00A84DDD"/>
    <w:rsid w:val="00A8760C"/>
    <w:rsid w:val="00AC4045"/>
    <w:rsid w:val="00B06FEA"/>
    <w:rsid w:val="00B138F9"/>
    <w:rsid w:val="00B14E8E"/>
    <w:rsid w:val="00B22DAE"/>
    <w:rsid w:val="00B348A0"/>
    <w:rsid w:val="00B66493"/>
    <w:rsid w:val="00B74BEE"/>
    <w:rsid w:val="00BB57DB"/>
    <w:rsid w:val="00BB7DAA"/>
    <w:rsid w:val="00BF1692"/>
    <w:rsid w:val="00C000A2"/>
    <w:rsid w:val="00C264E2"/>
    <w:rsid w:val="00C4263F"/>
    <w:rsid w:val="00C429BC"/>
    <w:rsid w:val="00C51CAC"/>
    <w:rsid w:val="00CB197B"/>
    <w:rsid w:val="00CB4539"/>
    <w:rsid w:val="00CD69BA"/>
    <w:rsid w:val="00CF6E9B"/>
    <w:rsid w:val="00D01AD9"/>
    <w:rsid w:val="00D17D21"/>
    <w:rsid w:val="00D24804"/>
    <w:rsid w:val="00D32457"/>
    <w:rsid w:val="00D51770"/>
    <w:rsid w:val="00D8165D"/>
    <w:rsid w:val="00D901CA"/>
    <w:rsid w:val="00E11251"/>
    <w:rsid w:val="00E20079"/>
    <w:rsid w:val="00E22C86"/>
    <w:rsid w:val="00E51F81"/>
    <w:rsid w:val="00E54BE3"/>
    <w:rsid w:val="00E81AFA"/>
    <w:rsid w:val="00E921FB"/>
    <w:rsid w:val="00EA7057"/>
    <w:rsid w:val="00EE1A0B"/>
    <w:rsid w:val="00EE7B74"/>
    <w:rsid w:val="00EF1542"/>
    <w:rsid w:val="00F12389"/>
    <w:rsid w:val="00F219BD"/>
    <w:rsid w:val="00F3399F"/>
    <w:rsid w:val="00F643EF"/>
    <w:rsid w:val="00F86068"/>
    <w:rsid w:val="00F90902"/>
    <w:rsid w:val="00FB7460"/>
    <w:rsid w:val="00FD66FA"/>
    <w:rsid w:val="00FE3992"/>
    <w:rsid w:val="00FE6227"/>
    <w:rsid w:val="01597970"/>
    <w:rsid w:val="04A5C530"/>
    <w:rsid w:val="051CE1EF"/>
    <w:rsid w:val="0820511F"/>
    <w:rsid w:val="09427095"/>
    <w:rsid w:val="0992891E"/>
    <w:rsid w:val="0AA73FBC"/>
    <w:rsid w:val="0C326DB0"/>
    <w:rsid w:val="0E6EF66C"/>
    <w:rsid w:val="1142DCED"/>
    <w:rsid w:val="119E9895"/>
    <w:rsid w:val="12DE7FDB"/>
    <w:rsid w:val="13B83263"/>
    <w:rsid w:val="15C282D0"/>
    <w:rsid w:val="15C5C435"/>
    <w:rsid w:val="198626AA"/>
    <w:rsid w:val="19DFD327"/>
    <w:rsid w:val="1BD1BBB0"/>
    <w:rsid w:val="2342A1E7"/>
    <w:rsid w:val="241FDAA1"/>
    <w:rsid w:val="2473B6D4"/>
    <w:rsid w:val="24A20057"/>
    <w:rsid w:val="27FB0A82"/>
    <w:rsid w:val="2A3F1BC5"/>
    <w:rsid w:val="2BDD03C4"/>
    <w:rsid w:val="2DDA803D"/>
    <w:rsid w:val="2DE8F0D7"/>
    <w:rsid w:val="2E5644B3"/>
    <w:rsid w:val="2FB69CA9"/>
    <w:rsid w:val="33972EDA"/>
    <w:rsid w:val="33CB5519"/>
    <w:rsid w:val="34ADD04F"/>
    <w:rsid w:val="36931016"/>
    <w:rsid w:val="3813196E"/>
    <w:rsid w:val="38425096"/>
    <w:rsid w:val="3886977A"/>
    <w:rsid w:val="38E8CA90"/>
    <w:rsid w:val="3A55683D"/>
    <w:rsid w:val="3D60F909"/>
    <w:rsid w:val="3E4EC7AF"/>
    <w:rsid w:val="432B6856"/>
    <w:rsid w:val="43CE8CAF"/>
    <w:rsid w:val="445CD912"/>
    <w:rsid w:val="46C55191"/>
    <w:rsid w:val="473347BF"/>
    <w:rsid w:val="49B750CC"/>
    <w:rsid w:val="4A46DEA8"/>
    <w:rsid w:val="4E3D1899"/>
    <w:rsid w:val="4F602254"/>
    <w:rsid w:val="5079B8DC"/>
    <w:rsid w:val="51A46895"/>
    <w:rsid w:val="53802296"/>
    <w:rsid w:val="53A9F9CC"/>
    <w:rsid w:val="5684A417"/>
    <w:rsid w:val="5815CCA6"/>
    <w:rsid w:val="583BDE2F"/>
    <w:rsid w:val="5A400E5B"/>
    <w:rsid w:val="5CC74838"/>
    <w:rsid w:val="5CE8B915"/>
    <w:rsid w:val="5DF54F4A"/>
    <w:rsid w:val="5E4A7DF8"/>
    <w:rsid w:val="604C42F4"/>
    <w:rsid w:val="6239DB5C"/>
    <w:rsid w:val="64D94892"/>
    <w:rsid w:val="64EAA6E6"/>
    <w:rsid w:val="65EFF2D0"/>
    <w:rsid w:val="6A6665C2"/>
    <w:rsid w:val="6D803BF8"/>
    <w:rsid w:val="71B333B3"/>
    <w:rsid w:val="73EDF1BD"/>
    <w:rsid w:val="767D5037"/>
    <w:rsid w:val="767FFF47"/>
    <w:rsid w:val="76FBE5E9"/>
    <w:rsid w:val="7755C433"/>
    <w:rsid w:val="79EC4E60"/>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46D9"/>
  <w15:docId w15:val="{7D561446-5A12-48E8-9437-44A6F2D0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 w:type="paragraph" w:customStyle="1" w:styleId="has-blue-color">
    <w:name w:val="has-blue-color"/>
    <w:basedOn w:val="Normal"/>
    <w:rsid w:val="00703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1770"/>
    <w:rPr>
      <w:b/>
      <w:bCs/>
    </w:rPr>
  </w:style>
  <w:style w:type="paragraph" w:styleId="NormalWeb">
    <w:name w:val="Normal (Web)"/>
    <w:basedOn w:val="Normal"/>
    <w:uiPriority w:val="99"/>
    <w:semiHidden/>
    <w:unhideWhenUsed/>
    <w:rsid w:val="00613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29D85-938B-4370-B365-9C209EDD2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customXml/itemProps3.xml><?xml version="1.0" encoding="utf-8"?>
<ds:datastoreItem xmlns:ds="http://schemas.openxmlformats.org/officeDocument/2006/customXml" ds:itemID="{D547598D-765B-4D37-9079-04585C8C6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Ralette Service</dc:creator>
  <cp:keywords/>
  <dc:description/>
  <cp:lastModifiedBy>Stuart Williams (Pine Green Staff)</cp:lastModifiedBy>
  <cp:revision>4</cp:revision>
  <cp:lastPrinted>2022-01-31T13:03:00Z</cp:lastPrinted>
  <dcterms:created xsi:type="dcterms:W3CDTF">2023-10-27T15:01:00Z</dcterms:created>
  <dcterms:modified xsi:type="dcterms:W3CDTF">2024-11-26T12:33:00Z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y fmtid="{D5CDD505-2E9C-101B-9397-08002B2CF9AE}" pid="4" name="_DocHome">
    <vt:i4>1632365151</vt:i4>
  </property>
</Properties>
</file>