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FBB6" w14:textId="16B258D3" w:rsidR="00243962" w:rsidRDefault="00243962" w:rsidP="0011503F">
      <w:pPr>
        <w:jc w:val="right"/>
      </w:pPr>
      <w:r>
        <w:rPr>
          <w:noProof/>
          <w:lang w:eastAsia="en-GB"/>
        </w:rPr>
        <w:drawing>
          <wp:inline distT="0" distB="0" distL="0" distR="0" wp14:anchorId="0E9F9891" wp14:editId="1BACB7C3">
            <wp:extent cx="2609850" cy="5570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S Blue on Wh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998" cy="56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A71DF" w14:textId="77777777" w:rsidR="00243962" w:rsidRPr="0011503F" w:rsidRDefault="00243962" w:rsidP="0011503F">
      <w:pPr>
        <w:spacing w:after="0"/>
        <w:jc w:val="center"/>
        <w:rPr>
          <w:rFonts w:cstheme="minorHAnsi"/>
          <w:sz w:val="36"/>
          <w:szCs w:val="36"/>
        </w:rPr>
      </w:pPr>
      <w:r w:rsidRPr="0011503F">
        <w:rPr>
          <w:rFonts w:cstheme="minorHAnsi"/>
          <w:sz w:val="36"/>
          <w:szCs w:val="36"/>
        </w:rPr>
        <w:t xml:space="preserve">Gender Pay Gap </w:t>
      </w:r>
      <w:r w:rsidR="006B7E95" w:rsidRPr="0011503F">
        <w:rPr>
          <w:rFonts w:cstheme="minorHAnsi"/>
          <w:sz w:val="36"/>
          <w:szCs w:val="36"/>
        </w:rPr>
        <w:t>Report</w:t>
      </w:r>
    </w:p>
    <w:p w14:paraId="73CF627B" w14:textId="77777777" w:rsidR="00243962" w:rsidRDefault="00B74C0B" w:rsidP="0011503F">
      <w:pPr>
        <w:spacing w:after="0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March 20</w:t>
      </w:r>
      <w:r w:rsidR="004C597B">
        <w:rPr>
          <w:rFonts w:cstheme="minorHAnsi"/>
          <w:sz w:val="36"/>
          <w:szCs w:val="36"/>
        </w:rPr>
        <w:t>2</w:t>
      </w:r>
      <w:r w:rsidR="0008442C">
        <w:rPr>
          <w:rFonts w:cstheme="minorHAnsi"/>
          <w:sz w:val="36"/>
          <w:szCs w:val="36"/>
        </w:rPr>
        <w:t>2</w:t>
      </w:r>
    </w:p>
    <w:p w14:paraId="76020D27" w14:textId="77777777" w:rsidR="0011503F" w:rsidRPr="0011503F" w:rsidRDefault="0011503F" w:rsidP="0011503F">
      <w:pPr>
        <w:spacing w:after="0"/>
        <w:jc w:val="center"/>
        <w:rPr>
          <w:rFonts w:cstheme="minorHAnsi"/>
          <w:sz w:val="36"/>
          <w:szCs w:val="36"/>
        </w:rPr>
      </w:pPr>
    </w:p>
    <w:p w14:paraId="47BF96C4" w14:textId="77777777" w:rsidR="00243962" w:rsidRDefault="00243962" w:rsidP="0011503F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What is gender pay gap reporting?</w:t>
      </w:r>
    </w:p>
    <w:p w14:paraId="1C07B1F3" w14:textId="77777777" w:rsidR="00243962" w:rsidRDefault="00243962" w:rsidP="001150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From 2017, organisations with over 250 employees has to publicly report on it</w:t>
      </w:r>
      <w:r w:rsidR="00C111C8">
        <w:rPr>
          <w:sz w:val="24"/>
          <w:szCs w:val="24"/>
        </w:rPr>
        <w:t>s gender pay gap.  The gender pay gap shows the difference in the average earnings between all men and women in an organisation.</w:t>
      </w:r>
    </w:p>
    <w:p w14:paraId="6E427B76" w14:textId="77777777" w:rsidR="0011503F" w:rsidRDefault="0011503F" w:rsidP="0011503F">
      <w:pPr>
        <w:spacing w:after="0"/>
        <w:jc w:val="both"/>
        <w:rPr>
          <w:sz w:val="24"/>
          <w:szCs w:val="24"/>
        </w:rPr>
      </w:pPr>
    </w:p>
    <w:p w14:paraId="078742F3" w14:textId="77777777" w:rsidR="00C111C8" w:rsidRDefault="00C111C8" w:rsidP="001150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report shows the gender pay gap in six different ways:</w:t>
      </w:r>
    </w:p>
    <w:p w14:paraId="6B201919" w14:textId="77777777" w:rsidR="0011503F" w:rsidRDefault="0011503F" w:rsidP="0011503F">
      <w:pPr>
        <w:spacing w:after="0"/>
        <w:jc w:val="both"/>
        <w:rPr>
          <w:sz w:val="24"/>
          <w:szCs w:val="24"/>
        </w:rPr>
      </w:pPr>
    </w:p>
    <w:p w14:paraId="496FD675" w14:textId="77777777" w:rsidR="00C111C8" w:rsidRDefault="00C111C8" w:rsidP="0011503F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Average gender pay gap as a mean average</w:t>
      </w:r>
    </w:p>
    <w:p w14:paraId="62832270" w14:textId="77777777" w:rsidR="00C111C8" w:rsidRDefault="00C111C8" w:rsidP="0011503F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Average gender pay gap as a median average</w:t>
      </w:r>
    </w:p>
    <w:p w14:paraId="5BCD1E05" w14:textId="77777777" w:rsidR="00C111C8" w:rsidRDefault="00C111C8" w:rsidP="0011503F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Average bonus gender pay gap as a mean average</w:t>
      </w:r>
    </w:p>
    <w:p w14:paraId="67057EE7" w14:textId="77777777" w:rsidR="00C111C8" w:rsidRDefault="00C111C8" w:rsidP="0011503F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Average bonus gender pay gap as a median average</w:t>
      </w:r>
    </w:p>
    <w:p w14:paraId="58E262FF" w14:textId="77777777" w:rsidR="00C111C8" w:rsidRDefault="00C111C8" w:rsidP="0011503F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Proportion of males receiving a bonus payment and proportion of females receiving a bonus payment</w:t>
      </w:r>
    </w:p>
    <w:p w14:paraId="7FFCACDF" w14:textId="77777777" w:rsidR="00C111C8" w:rsidRPr="00C111C8" w:rsidRDefault="00C111C8" w:rsidP="0011503F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Proportion of males and females when divided into four group ordered from lowest to highest pay</w:t>
      </w:r>
    </w:p>
    <w:p w14:paraId="1B80D7DB" w14:textId="77777777" w:rsidR="00C111C8" w:rsidRDefault="00C111C8" w:rsidP="0011503F">
      <w:pPr>
        <w:spacing w:after="0"/>
        <w:jc w:val="both"/>
        <w:rPr>
          <w:sz w:val="24"/>
          <w:szCs w:val="24"/>
        </w:rPr>
      </w:pPr>
    </w:p>
    <w:p w14:paraId="38E5B551" w14:textId="77777777" w:rsidR="00C111C8" w:rsidRDefault="00C111C8" w:rsidP="001150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C111C8">
        <w:rPr>
          <w:b/>
          <w:sz w:val="24"/>
          <w:szCs w:val="24"/>
        </w:rPr>
        <w:t>mean</w:t>
      </w:r>
      <w:r>
        <w:rPr>
          <w:sz w:val="24"/>
          <w:szCs w:val="24"/>
        </w:rPr>
        <w:t xml:space="preserve"> gender pay gap is the </w:t>
      </w:r>
      <w:r w:rsidR="005A5E03">
        <w:rPr>
          <w:sz w:val="24"/>
          <w:szCs w:val="24"/>
        </w:rPr>
        <w:t xml:space="preserve">difference </w:t>
      </w:r>
      <w:r>
        <w:rPr>
          <w:sz w:val="24"/>
          <w:szCs w:val="24"/>
        </w:rPr>
        <w:t xml:space="preserve">between the </w:t>
      </w:r>
      <w:r w:rsidR="005A5E03">
        <w:rPr>
          <w:sz w:val="24"/>
          <w:szCs w:val="24"/>
        </w:rPr>
        <w:t>average</w:t>
      </w:r>
      <w:r>
        <w:rPr>
          <w:sz w:val="24"/>
          <w:szCs w:val="24"/>
        </w:rPr>
        <w:t xml:space="preserve"> hourly rate of pay of male full pay employees and that of female full pay employees.</w:t>
      </w:r>
    </w:p>
    <w:p w14:paraId="5F69A636" w14:textId="77777777" w:rsidR="0011503F" w:rsidRDefault="0011503F" w:rsidP="0011503F">
      <w:pPr>
        <w:spacing w:after="0"/>
        <w:jc w:val="both"/>
        <w:rPr>
          <w:sz w:val="24"/>
          <w:szCs w:val="24"/>
        </w:rPr>
      </w:pPr>
    </w:p>
    <w:p w14:paraId="731A51E3" w14:textId="77777777" w:rsidR="00C111C8" w:rsidRDefault="00C111C8" w:rsidP="001150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C111C8">
        <w:rPr>
          <w:b/>
          <w:sz w:val="24"/>
          <w:szCs w:val="24"/>
        </w:rPr>
        <w:t>median</w:t>
      </w:r>
      <w:r>
        <w:rPr>
          <w:sz w:val="24"/>
          <w:szCs w:val="24"/>
        </w:rPr>
        <w:t xml:space="preserve"> gender pay gap is the difference between the hourly rate of pay of male full-pay employees and that of female full-pay employees.</w:t>
      </w:r>
    </w:p>
    <w:p w14:paraId="53C45D5C" w14:textId="77777777" w:rsidR="00C111C8" w:rsidRDefault="00C111C8" w:rsidP="0011503F">
      <w:pPr>
        <w:spacing w:after="0"/>
        <w:jc w:val="both"/>
        <w:rPr>
          <w:sz w:val="24"/>
          <w:szCs w:val="24"/>
        </w:rPr>
      </w:pPr>
    </w:p>
    <w:p w14:paraId="2F3E81D7" w14:textId="77777777" w:rsidR="00B95898" w:rsidRDefault="00C111C8" w:rsidP="001150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collected our </w:t>
      </w:r>
      <w:r w:rsidR="004525C8">
        <w:rPr>
          <w:sz w:val="24"/>
          <w:szCs w:val="24"/>
        </w:rPr>
        <w:t>data on 31</w:t>
      </w:r>
      <w:r w:rsidR="004525C8" w:rsidRPr="004525C8">
        <w:rPr>
          <w:sz w:val="24"/>
          <w:szCs w:val="24"/>
          <w:vertAlign w:val="superscript"/>
        </w:rPr>
        <w:t>st</w:t>
      </w:r>
      <w:r w:rsidR="004525C8">
        <w:rPr>
          <w:sz w:val="24"/>
          <w:szCs w:val="24"/>
        </w:rPr>
        <w:t xml:space="preserve"> </w:t>
      </w:r>
      <w:r w:rsidR="001B70F2">
        <w:rPr>
          <w:sz w:val="24"/>
          <w:szCs w:val="24"/>
        </w:rPr>
        <w:t>March 20</w:t>
      </w:r>
      <w:r w:rsidR="00564C2C">
        <w:rPr>
          <w:sz w:val="24"/>
          <w:szCs w:val="24"/>
        </w:rPr>
        <w:t>20</w:t>
      </w:r>
      <w:r>
        <w:rPr>
          <w:sz w:val="24"/>
          <w:szCs w:val="24"/>
        </w:rPr>
        <w:t xml:space="preserve">, </w:t>
      </w:r>
      <w:r w:rsidR="001B70F2">
        <w:rPr>
          <w:sz w:val="24"/>
          <w:szCs w:val="24"/>
        </w:rPr>
        <w:t>our workforce consisted of 188 females and 7</w:t>
      </w:r>
      <w:r w:rsidR="00240DA4">
        <w:rPr>
          <w:sz w:val="24"/>
          <w:szCs w:val="24"/>
        </w:rPr>
        <w:t>2</w:t>
      </w:r>
      <w:r w:rsidR="00C62FE7">
        <w:rPr>
          <w:sz w:val="24"/>
          <w:szCs w:val="24"/>
        </w:rPr>
        <w:t xml:space="preserve"> males</w:t>
      </w:r>
      <w:r w:rsidR="00CB2A6C">
        <w:rPr>
          <w:sz w:val="24"/>
          <w:szCs w:val="24"/>
        </w:rPr>
        <w:t xml:space="preserve">.  Our figures show that Poole High School has a mean gender pay gap of </w:t>
      </w:r>
      <w:r w:rsidR="00564C2C">
        <w:rPr>
          <w:sz w:val="24"/>
          <w:szCs w:val="24"/>
        </w:rPr>
        <w:t>14.74</w:t>
      </w:r>
      <w:r w:rsidR="00CB2A6C">
        <w:rPr>
          <w:sz w:val="24"/>
          <w:szCs w:val="24"/>
        </w:rPr>
        <w:t xml:space="preserve">% and </w:t>
      </w:r>
      <w:r w:rsidR="0030549C">
        <w:rPr>
          <w:sz w:val="24"/>
          <w:szCs w:val="24"/>
        </w:rPr>
        <w:t xml:space="preserve">a median gender pay gap of </w:t>
      </w:r>
      <w:r w:rsidR="00564C2C">
        <w:rPr>
          <w:sz w:val="24"/>
          <w:szCs w:val="24"/>
        </w:rPr>
        <w:t>24.12</w:t>
      </w:r>
      <w:r w:rsidR="00CB2A6C">
        <w:rPr>
          <w:sz w:val="24"/>
          <w:szCs w:val="24"/>
        </w:rPr>
        <w:t>%</w:t>
      </w:r>
      <w:r w:rsidR="00352C9C">
        <w:rPr>
          <w:sz w:val="24"/>
          <w:szCs w:val="24"/>
        </w:rPr>
        <w:t xml:space="preserve">.  </w:t>
      </w:r>
    </w:p>
    <w:p w14:paraId="0C07F2C5" w14:textId="77777777" w:rsidR="00B95898" w:rsidRDefault="00B95898" w:rsidP="0011503F">
      <w:pPr>
        <w:spacing w:after="0"/>
        <w:jc w:val="both"/>
        <w:rPr>
          <w:sz w:val="24"/>
          <w:szCs w:val="24"/>
        </w:rPr>
      </w:pPr>
    </w:p>
    <w:p w14:paraId="27F924FE" w14:textId="77777777" w:rsidR="00C111C8" w:rsidRDefault="00352C9C" w:rsidP="001150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Poole High School staff do not receive bonuses.</w:t>
      </w:r>
    </w:p>
    <w:p w14:paraId="1C0CEB4F" w14:textId="77777777" w:rsidR="00B95898" w:rsidRDefault="00B95898" w:rsidP="0011503F">
      <w:pPr>
        <w:spacing w:after="0"/>
        <w:jc w:val="both"/>
        <w:rPr>
          <w:sz w:val="24"/>
          <w:szCs w:val="24"/>
        </w:rPr>
      </w:pPr>
    </w:p>
    <w:tbl>
      <w:tblPr>
        <w:tblW w:w="6000" w:type="dxa"/>
        <w:tblInd w:w="-5" w:type="dxa"/>
        <w:tblLook w:val="04A0" w:firstRow="1" w:lastRow="0" w:firstColumn="1" w:lastColumn="0" w:noHBand="0" w:noVBand="1"/>
      </w:tblPr>
      <w:tblGrid>
        <w:gridCol w:w="3740"/>
        <w:gridCol w:w="2260"/>
      </w:tblGrid>
      <w:tr w:rsidR="005B499D" w:rsidRPr="005B499D" w14:paraId="1B093746" w14:textId="77777777" w:rsidTr="0092655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F0AB" w14:textId="77777777" w:rsidR="005B499D" w:rsidRPr="005B499D" w:rsidRDefault="005B499D" w:rsidP="005B4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49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Mean</w:t>
            </w:r>
            <w:r w:rsidRPr="005B49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gender pay gap in hourly pay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A815" w14:textId="175DCC91" w:rsidR="005B499D" w:rsidRPr="005B499D" w:rsidRDefault="00FC6A37" w:rsidP="005B4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A37">
              <w:rPr>
                <w:rFonts w:ascii="Calibri" w:eastAsia="Times New Roman" w:hAnsi="Calibri" w:cs="Calibri"/>
                <w:color w:val="000000"/>
                <w:lang w:eastAsia="en-GB"/>
              </w:rPr>
              <w:t>12.9</w:t>
            </w:r>
            <w:r w:rsidR="005B499D" w:rsidRPr="005B49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% </w:t>
            </w:r>
          </w:p>
        </w:tc>
      </w:tr>
      <w:tr w:rsidR="005B499D" w:rsidRPr="005B499D" w14:paraId="598E6C33" w14:textId="77777777" w:rsidTr="0092655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45D5" w14:textId="77777777" w:rsidR="005B499D" w:rsidRPr="005B499D" w:rsidRDefault="005B499D" w:rsidP="005B4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49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Median</w:t>
            </w:r>
            <w:r w:rsidR="003E0D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gender pay gap in </w:t>
            </w:r>
            <w:r w:rsidRPr="005B499D">
              <w:rPr>
                <w:rFonts w:ascii="Calibri" w:eastAsia="Times New Roman" w:hAnsi="Calibri" w:cs="Calibri"/>
                <w:color w:val="000000"/>
                <w:lang w:eastAsia="en-GB"/>
              </w:rPr>
              <w:t>hourly pay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C834" w14:textId="6EE307E2" w:rsidR="005B499D" w:rsidRPr="005B499D" w:rsidRDefault="00FC6A37" w:rsidP="005B4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6A37">
              <w:rPr>
                <w:rFonts w:ascii="Calibri" w:eastAsia="Times New Roman" w:hAnsi="Calibri" w:cs="Calibri"/>
                <w:color w:val="000000"/>
                <w:lang w:eastAsia="en-GB"/>
              </w:rPr>
              <w:t>16.99</w:t>
            </w:r>
            <w:r w:rsidR="005B499D" w:rsidRPr="005B49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% </w:t>
            </w:r>
          </w:p>
        </w:tc>
      </w:tr>
      <w:tr w:rsidR="005B499D" w:rsidRPr="005B499D" w14:paraId="1B81D24F" w14:textId="77777777" w:rsidTr="0092655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BD5D" w14:textId="77777777" w:rsidR="005B499D" w:rsidRPr="005B499D" w:rsidRDefault="005B499D" w:rsidP="005B4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49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Difference in mean</w:t>
            </w:r>
            <w:r w:rsidRPr="005B49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bonus payments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74A7" w14:textId="77777777" w:rsidR="005B499D" w:rsidRPr="005B499D" w:rsidRDefault="005B499D" w:rsidP="005B4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499D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</w:tr>
      <w:tr w:rsidR="005B499D" w:rsidRPr="005B499D" w14:paraId="20A8FA4A" w14:textId="77777777" w:rsidTr="0092655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D78C" w14:textId="77777777" w:rsidR="005B499D" w:rsidRPr="005B499D" w:rsidRDefault="005B499D" w:rsidP="005B4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49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Difference in median</w:t>
            </w:r>
            <w:r w:rsidRPr="005B49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bonus payments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EE33" w14:textId="77777777" w:rsidR="005B499D" w:rsidRPr="005B499D" w:rsidRDefault="005B499D" w:rsidP="005B4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499D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</w:tr>
    </w:tbl>
    <w:p w14:paraId="0D96A19B" w14:textId="77777777" w:rsidR="00B95898" w:rsidRDefault="00B95898">
      <w:pPr>
        <w:rPr>
          <w:sz w:val="24"/>
          <w:szCs w:val="24"/>
        </w:rPr>
      </w:pPr>
    </w:p>
    <w:p w14:paraId="66C27E0A" w14:textId="77777777" w:rsidR="00B95898" w:rsidRDefault="00B95898">
      <w:pPr>
        <w:rPr>
          <w:sz w:val="24"/>
          <w:szCs w:val="24"/>
        </w:rPr>
      </w:pPr>
      <w:r>
        <w:rPr>
          <w:sz w:val="24"/>
          <w:szCs w:val="24"/>
        </w:rPr>
        <w:t>In common with the education sector, Poole High School</w:t>
      </w:r>
      <w:r w:rsidR="00B74C0B">
        <w:rPr>
          <w:sz w:val="24"/>
          <w:szCs w:val="24"/>
        </w:rPr>
        <w:t xml:space="preserve"> is predominately female with 7</w:t>
      </w:r>
      <w:r w:rsidR="00F40F15">
        <w:rPr>
          <w:sz w:val="24"/>
          <w:szCs w:val="24"/>
        </w:rPr>
        <w:t>2</w:t>
      </w:r>
      <w:r>
        <w:rPr>
          <w:sz w:val="24"/>
          <w:szCs w:val="24"/>
        </w:rPr>
        <w:t xml:space="preserve">% of the workforce being female.  </w:t>
      </w:r>
    </w:p>
    <w:p w14:paraId="4E6A3174" w14:textId="47175449" w:rsidR="005B499D" w:rsidRDefault="00873BFB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857FF6B" wp14:editId="52EE7E5E">
            <wp:extent cx="4838700" cy="2676525"/>
            <wp:effectExtent l="0" t="0" r="0" b="9525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AF81797" w14:textId="77777777" w:rsidR="00E05E94" w:rsidRDefault="00E05E94">
      <w:pPr>
        <w:rPr>
          <w:sz w:val="24"/>
          <w:szCs w:val="24"/>
        </w:rPr>
      </w:pPr>
    </w:p>
    <w:p w14:paraId="7AADDDA2" w14:textId="77777777" w:rsidR="00CB2A6C" w:rsidRDefault="009F4FD2">
      <w:pPr>
        <w:rPr>
          <w:sz w:val="24"/>
          <w:szCs w:val="24"/>
        </w:rPr>
      </w:pPr>
      <w:r>
        <w:rPr>
          <w:sz w:val="24"/>
          <w:szCs w:val="24"/>
        </w:rPr>
        <w:t>Gender Pay Gap Mean &amp; Median percentage</w:t>
      </w:r>
    </w:p>
    <w:p w14:paraId="7B1C91A0" w14:textId="10C81C79" w:rsidR="009F4FD2" w:rsidRDefault="00FC6A3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7F8F9B7" wp14:editId="5709F933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2215DC4-FDC0-4B6F-A2D1-347471DBCE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20B980C" w14:textId="77777777" w:rsidR="009F4FD2" w:rsidRDefault="009F4FD2">
      <w:pPr>
        <w:rPr>
          <w:b/>
          <w:sz w:val="24"/>
          <w:szCs w:val="24"/>
        </w:rPr>
      </w:pPr>
    </w:p>
    <w:p w14:paraId="61D4ADA5" w14:textId="77777777" w:rsidR="00B95898" w:rsidRPr="00B95898" w:rsidRDefault="00DE477A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Percentage</w:t>
      </w:r>
      <w:r w:rsidR="00B95898" w:rsidRPr="00B95898">
        <w:rPr>
          <w:b/>
          <w:sz w:val="24"/>
          <w:szCs w:val="24"/>
        </w:rPr>
        <w:t xml:space="preserve"> of men and women in each quartile</w:t>
      </w:r>
    </w:p>
    <w:p w14:paraId="73E1F39C" w14:textId="1188FE08" w:rsidR="001A7573" w:rsidRDefault="001A757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0C0F681" wp14:editId="65BDA56D">
            <wp:extent cx="4572000" cy="2743200"/>
            <wp:effectExtent l="0" t="0" r="0" b="0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7167001" w14:textId="01534DF2" w:rsidR="0014115A" w:rsidRDefault="00EA2542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873BFB">
        <w:rPr>
          <w:noProof/>
        </w:rPr>
        <w:drawing>
          <wp:inline distT="0" distB="0" distL="0" distR="0" wp14:anchorId="2D4DCD70" wp14:editId="1CCEFB16">
            <wp:extent cx="4572000" cy="2743200"/>
            <wp:effectExtent l="0" t="0" r="0" b="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2D3A0C4" w14:textId="77777777" w:rsidR="002362B6" w:rsidRDefault="002362B6">
      <w:pPr>
        <w:rPr>
          <w:sz w:val="24"/>
          <w:szCs w:val="24"/>
        </w:rPr>
      </w:pPr>
    </w:p>
    <w:p w14:paraId="4C40349E" w14:textId="77777777" w:rsidR="00873BFB" w:rsidRDefault="00665853">
      <w:pPr>
        <w:rPr>
          <w:noProof/>
        </w:rPr>
      </w:pPr>
      <w:r>
        <w:rPr>
          <w:noProof/>
          <w:lang w:eastAsia="en-GB"/>
        </w:rPr>
        <w:t xml:space="preserve"> </w:t>
      </w:r>
      <w:r w:rsidR="00FF3092">
        <w:rPr>
          <w:noProof/>
          <w:lang w:eastAsia="en-GB"/>
        </w:rPr>
        <w:t xml:space="preserve"> </w:t>
      </w:r>
      <w:r w:rsidR="00873BFB" w:rsidRPr="00873BFB">
        <w:rPr>
          <w:noProof/>
        </w:rPr>
        <w:t xml:space="preserve"> </w:t>
      </w:r>
      <w:r w:rsidR="00873BFB">
        <w:rPr>
          <w:noProof/>
        </w:rPr>
        <w:drawing>
          <wp:inline distT="0" distB="0" distL="0" distR="0" wp14:anchorId="03440930" wp14:editId="6421214B">
            <wp:extent cx="4572000" cy="2743200"/>
            <wp:effectExtent l="0" t="0" r="0" b="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BCB6734" w14:textId="4077BAA5" w:rsidR="00EA2542" w:rsidRDefault="00FF3092">
      <w:pPr>
        <w:rPr>
          <w:sz w:val="24"/>
          <w:szCs w:val="24"/>
        </w:rPr>
      </w:pPr>
      <w:r>
        <w:rPr>
          <w:noProof/>
          <w:lang w:eastAsia="en-GB"/>
        </w:rPr>
        <w:tab/>
      </w:r>
      <w:r w:rsidR="00873BFB">
        <w:rPr>
          <w:noProof/>
        </w:rPr>
        <w:drawing>
          <wp:inline distT="0" distB="0" distL="0" distR="0" wp14:anchorId="6A3B35CF" wp14:editId="7C8C3CF5">
            <wp:extent cx="4572000" cy="2743200"/>
            <wp:effectExtent l="0" t="0" r="0" b="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543143B" w14:textId="77777777" w:rsidR="002362B6" w:rsidRDefault="002362B6">
      <w:pPr>
        <w:rPr>
          <w:sz w:val="24"/>
          <w:szCs w:val="24"/>
        </w:rPr>
      </w:pPr>
    </w:p>
    <w:p w14:paraId="796BC2D8" w14:textId="5C123F6B" w:rsidR="00352C9C" w:rsidRPr="003E7DDC" w:rsidRDefault="00F23430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9A1243F" wp14:editId="55F83BE2">
            <wp:extent cx="4886324" cy="7486650"/>
            <wp:effectExtent l="0" t="0" r="10160" b="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61EC724" w14:textId="77777777" w:rsidR="00933078" w:rsidRDefault="00933078">
      <w:pPr>
        <w:rPr>
          <w:sz w:val="24"/>
          <w:szCs w:val="24"/>
        </w:rPr>
      </w:pPr>
    </w:p>
    <w:p w14:paraId="55CA6E7E" w14:textId="77777777" w:rsidR="00E02C81" w:rsidRDefault="00B95898" w:rsidP="00933078">
      <w:pPr>
        <w:jc w:val="both"/>
        <w:rPr>
          <w:sz w:val="24"/>
          <w:szCs w:val="24"/>
        </w:rPr>
      </w:pPr>
      <w:r w:rsidRPr="003E7DDC">
        <w:rPr>
          <w:sz w:val="24"/>
          <w:szCs w:val="24"/>
        </w:rPr>
        <w:t>The gap</w:t>
      </w:r>
      <w:r w:rsidR="003E7DDC">
        <w:rPr>
          <w:sz w:val="24"/>
          <w:szCs w:val="24"/>
        </w:rPr>
        <w:t>s</w:t>
      </w:r>
      <w:r w:rsidRPr="003E7DDC">
        <w:rPr>
          <w:sz w:val="24"/>
          <w:szCs w:val="24"/>
        </w:rPr>
        <w:t xml:space="preserve"> in the mean and median hourl</w:t>
      </w:r>
      <w:r w:rsidR="00027400">
        <w:rPr>
          <w:sz w:val="24"/>
          <w:szCs w:val="24"/>
        </w:rPr>
        <w:t xml:space="preserve">y rate are due to having high numbers of females working in the lower/middle quartile.  </w:t>
      </w:r>
      <w:r w:rsidR="00B74C0B">
        <w:rPr>
          <w:sz w:val="24"/>
          <w:szCs w:val="24"/>
        </w:rPr>
        <w:t xml:space="preserve">The higher paid males are in the upper pay quartile.  </w:t>
      </w:r>
      <w:r w:rsidR="00B52972">
        <w:rPr>
          <w:sz w:val="24"/>
          <w:szCs w:val="24"/>
        </w:rPr>
        <w:t>We have predominately more</w:t>
      </w:r>
      <w:r w:rsidR="00027400">
        <w:rPr>
          <w:sz w:val="24"/>
          <w:szCs w:val="24"/>
        </w:rPr>
        <w:t xml:space="preserve"> females working in the support staff </w:t>
      </w:r>
      <w:r w:rsidR="00B52972">
        <w:rPr>
          <w:sz w:val="24"/>
          <w:szCs w:val="24"/>
        </w:rPr>
        <w:t>roles (</w:t>
      </w:r>
      <w:r w:rsidR="00B74C0B">
        <w:rPr>
          <w:sz w:val="24"/>
          <w:szCs w:val="24"/>
        </w:rPr>
        <w:t>cleaning,</w:t>
      </w:r>
      <w:r w:rsidR="00027400">
        <w:rPr>
          <w:sz w:val="24"/>
          <w:szCs w:val="24"/>
        </w:rPr>
        <w:t xml:space="preserve"> catering, admin</w:t>
      </w:r>
      <w:r w:rsidR="00B52972">
        <w:rPr>
          <w:sz w:val="24"/>
          <w:szCs w:val="24"/>
        </w:rPr>
        <w:t>istration</w:t>
      </w:r>
      <w:r w:rsidR="00027400">
        <w:rPr>
          <w:sz w:val="24"/>
          <w:szCs w:val="24"/>
        </w:rPr>
        <w:t xml:space="preserve"> and </w:t>
      </w:r>
      <w:r w:rsidR="00B52972">
        <w:rPr>
          <w:sz w:val="24"/>
          <w:szCs w:val="24"/>
        </w:rPr>
        <w:t>student support</w:t>
      </w:r>
      <w:r w:rsidR="00027400">
        <w:rPr>
          <w:sz w:val="24"/>
          <w:szCs w:val="24"/>
        </w:rPr>
        <w:t>)</w:t>
      </w:r>
      <w:r w:rsidR="00B52972">
        <w:rPr>
          <w:sz w:val="24"/>
          <w:szCs w:val="24"/>
        </w:rPr>
        <w:t xml:space="preserve">.  </w:t>
      </w:r>
      <w:r w:rsidR="00027400">
        <w:rPr>
          <w:sz w:val="24"/>
          <w:szCs w:val="24"/>
        </w:rPr>
        <w:t xml:space="preserve"> The upp</w:t>
      </w:r>
      <w:r w:rsidR="00B52972">
        <w:rPr>
          <w:sz w:val="24"/>
          <w:szCs w:val="24"/>
        </w:rPr>
        <w:t xml:space="preserve">er quartile is more balanced as these roles are </w:t>
      </w:r>
      <w:r w:rsidR="00F835F5">
        <w:rPr>
          <w:sz w:val="24"/>
          <w:szCs w:val="24"/>
        </w:rPr>
        <w:t xml:space="preserve">experienced </w:t>
      </w:r>
      <w:r w:rsidR="00B52972">
        <w:rPr>
          <w:sz w:val="24"/>
          <w:szCs w:val="24"/>
        </w:rPr>
        <w:t xml:space="preserve">Teachers and </w:t>
      </w:r>
      <w:r w:rsidR="00F835F5">
        <w:rPr>
          <w:sz w:val="24"/>
          <w:szCs w:val="24"/>
        </w:rPr>
        <w:t xml:space="preserve">the </w:t>
      </w:r>
      <w:r w:rsidR="00B52972">
        <w:rPr>
          <w:sz w:val="24"/>
          <w:szCs w:val="24"/>
        </w:rPr>
        <w:t xml:space="preserve">Senior Leadership Team.  </w:t>
      </w:r>
      <w:r w:rsidR="005F34E9">
        <w:rPr>
          <w:sz w:val="24"/>
          <w:szCs w:val="24"/>
        </w:rPr>
        <w:t xml:space="preserve">The current Headteacher is male, therefore this will </w:t>
      </w:r>
      <w:r w:rsidR="00E02C81">
        <w:rPr>
          <w:sz w:val="24"/>
          <w:szCs w:val="24"/>
        </w:rPr>
        <w:t xml:space="preserve">also </w:t>
      </w:r>
      <w:r w:rsidR="005F34E9">
        <w:rPr>
          <w:sz w:val="24"/>
          <w:szCs w:val="24"/>
        </w:rPr>
        <w:t xml:space="preserve">impact the mean and median gap.  </w:t>
      </w:r>
      <w:r w:rsidR="00794B3B">
        <w:rPr>
          <w:sz w:val="24"/>
          <w:szCs w:val="24"/>
        </w:rPr>
        <w:t>The gap has become smaller due to more females in the upper pay quartile.</w:t>
      </w:r>
    </w:p>
    <w:p w14:paraId="51FDBD60" w14:textId="77777777" w:rsidR="00E02C81" w:rsidRDefault="00E02C81" w:rsidP="00933078">
      <w:pPr>
        <w:jc w:val="both"/>
        <w:rPr>
          <w:sz w:val="24"/>
          <w:szCs w:val="24"/>
        </w:rPr>
      </w:pPr>
    </w:p>
    <w:p w14:paraId="0E56F168" w14:textId="77777777" w:rsidR="0011503F" w:rsidRPr="003E7DDC" w:rsidRDefault="00B95898" w:rsidP="00933078">
      <w:pPr>
        <w:jc w:val="both"/>
        <w:rPr>
          <w:sz w:val="24"/>
          <w:szCs w:val="24"/>
        </w:rPr>
      </w:pPr>
      <w:r w:rsidRPr="003E7DDC">
        <w:rPr>
          <w:sz w:val="24"/>
          <w:szCs w:val="24"/>
        </w:rPr>
        <w:t>All roles receive equal remuneration as per the Equality Act 201</w:t>
      </w:r>
      <w:r w:rsidR="00B52972">
        <w:rPr>
          <w:sz w:val="24"/>
          <w:szCs w:val="24"/>
        </w:rPr>
        <w:t>0</w:t>
      </w:r>
      <w:r w:rsidRPr="003E7DDC">
        <w:rPr>
          <w:sz w:val="24"/>
          <w:szCs w:val="24"/>
        </w:rPr>
        <w:t>.</w:t>
      </w:r>
    </w:p>
    <w:p w14:paraId="3877DAFA" w14:textId="77777777" w:rsidR="0011503F" w:rsidRPr="003E7DDC" w:rsidRDefault="0011503F">
      <w:pPr>
        <w:rPr>
          <w:b/>
          <w:sz w:val="24"/>
          <w:szCs w:val="24"/>
        </w:rPr>
      </w:pPr>
    </w:p>
    <w:p w14:paraId="6B55A6C5" w14:textId="77777777" w:rsidR="001A7573" w:rsidRDefault="001A7573" w:rsidP="00835E85">
      <w:pPr>
        <w:jc w:val="both"/>
        <w:rPr>
          <w:b/>
          <w:sz w:val="24"/>
          <w:szCs w:val="24"/>
        </w:rPr>
      </w:pPr>
    </w:p>
    <w:p w14:paraId="69188B80" w14:textId="4F86396B" w:rsidR="00B12683" w:rsidRDefault="000F7007" w:rsidP="00835E85">
      <w:pPr>
        <w:jc w:val="both"/>
        <w:rPr>
          <w:b/>
          <w:sz w:val="24"/>
          <w:szCs w:val="24"/>
        </w:rPr>
      </w:pPr>
      <w:r w:rsidRPr="003E7DDC">
        <w:rPr>
          <w:b/>
          <w:sz w:val="24"/>
          <w:szCs w:val="24"/>
        </w:rPr>
        <w:lastRenderedPageBreak/>
        <w:t>Action</w:t>
      </w:r>
      <w:r w:rsidR="00B12683">
        <w:rPr>
          <w:b/>
          <w:sz w:val="24"/>
          <w:szCs w:val="24"/>
        </w:rPr>
        <w:t xml:space="preserve"> Plan</w:t>
      </w:r>
    </w:p>
    <w:p w14:paraId="6DAC8FCE" w14:textId="77777777" w:rsidR="00B12683" w:rsidRPr="00B12683" w:rsidRDefault="00B12683" w:rsidP="00B12683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Explore how we can attract more men into </w:t>
      </w:r>
      <w:r w:rsidR="00F835F5">
        <w:rPr>
          <w:b/>
          <w:sz w:val="24"/>
          <w:szCs w:val="24"/>
        </w:rPr>
        <w:t xml:space="preserve">both teaching and </w:t>
      </w:r>
      <w:r w:rsidR="00B52972">
        <w:rPr>
          <w:b/>
          <w:sz w:val="24"/>
          <w:szCs w:val="24"/>
        </w:rPr>
        <w:t>support roles</w:t>
      </w:r>
      <w:r>
        <w:rPr>
          <w:b/>
          <w:sz w:val="24"/>
          <w:szCs w:val="24"/>
        </w:rPr>
        <w:t xml:space="preserve"> to cr</w:t>
      </w:r>
      <w:r w:rsidR="00E02C81">
        <w:rPr>
          <w:b/>
          <w:sz w:val="24"/>
          <w:szCs w:val="24"/>
        </w:rPr>
        <w:t>eate a more even gender balance.</w:t>
      </w:r>
    </w:p>
    <w:p w14:paraId="1015B7AB" w14:textId="77777777" w:rsidR="00B12683" w:rsidRPr="00B12683" w:rsidRDefault="00B12683" w:rsidP="00B12683">
      <w:pPr>
        <w:pStyle w:val="ListParagraph"/>
        <w:jc w:val="both"/>
        <w:rPr>
          <w:b/>
          <w:sz w:val="24"/>
          <w:szCs w:val="24"/>
        </w:rPr>
      </w:pPr>
    </w:p>
    <w:p w14:paraId="2C33C8E7" w14:textId="77777777" w:rsidR="000F7007" w:rsidRPr="00B12683" w:rsidRDefault="00835E85" w:rsidP="00B12683">
      <w:pPr>
        <w:jc w:val="both"/>
        <w:rPr>
          <w:b/>
          <w:sz w:val="24"/>
          <w:szCs w:val="24"/>
        </w:rPr>
      </w:pPr>
      <w:r w:rsidRPr="00B12683">
        <w:rPr>
          <w:sz w:val="24"/>
          <w:szCs w:val="24"/>
        </w:rPr>
        <w:t xml:space="preserve">As an equal opportunities </w:t>
      </w:r>
      <w:r w:rsidR="00B95898" w:rsidRPr="00B12683">
        <w:rPr>
          <w:sz w:val="24"/>
          <w:szCs w:val="24"/>
        </w:rPr>
        <w:t>employer, we firmly believe in</w:t>
      </w:r>
      <w:r w:rsidRPr="00B12683">
        <w:rPr>
          <w:sz w:val="24"/>
          <w:szCs w:val="24"/>
        </w:rPr>
        <w:t xml:space="preserve"> appointing the best candidate into an education role, regardless of their gender or other factors covered </w:t>
      </w:r>
      <w:r w:rsidR="004C1781">
        <w:rPr>
          <w:sz w:val="24"/>
          <w:szCs w:val="24"/>
        </w:rPr>
        <w:t xml:space="preserve">in </w:t>
      </w:r>
      <w:r w:rsidRPr="00B12683">
        <w:rPr>
          <w:sz w:val="24"/>
          <w:szCs w:val="24"/>
        </w:rPr>
        <w:t>the Equality Act.</w:t>
      </w:r>
    </w:p>
    <w:p w14:paraId="59AF1F15" w14:textId="77777777" w:rsidR="00CB2A6C" w:rsidRDefault="00CB2A6C">
      <w:pPr>
        <w:rPr>
          <w:sz w:val="24"/>
          <w:szCs w:val="24"/>
        </w:rPr>
      </w:pPr>
    </w:p>
    <w:p w14:paraId="2E484850" w14:textId="77777777" w:rsidR="00CB2A6C" w:rsidRDefault="00CB2A6C">
      <w:pPr>
        <w:rPr>
          <w:sz w:val="24"/>
          <w:szCs w:val="24"/>
        </w:rPr>
      </w:pPr>
    </w:p>
    <w:p w14:paraId="260AFD2E" w14:textId="77777777" w:rsidR="00C111C8" w:rsidRPr="00243962" w:rsidRDefault="00C111C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111C8" w:rsidRPr="00243962" w:rsidSect="00B95898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36DF1"/>
    <w:multiLevelType w:val="hybridMultilevel"/>
    <w:tmpl w:val="06009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5601D"/>
    <w:multiLevelType w:val="hybridMultilevel"/>
    <w:tmpl w:val="EE4C6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962"/>
    <w:rsid w:val="00027400"/>
    <w:rsid w:val="0008442C"/>
    <w:rsid w:val="000F7007"/>
    <w:rsid w:val="0011503F"/>
    <w:rsid w:val="0014115A"/>
    <w:rsid w:val="001A7573"/>
    <w:rsid w:val="001B70F2"/>
    <w:rsid w:val="002362B6"/>
    <w:rsid w:val="00240DA4"/>
    <w:rsid w:val="00243962"/>
    <w:rsid w:val="0030549C"/>
    <w:rsid w:val="00323CBC"/>
    <w:rsid w:val="00352C9C"/>
    <w:rsid w:val="003C6632"/>
    <w:rsid w:val="003E0D1B"/>
    <w:rsid w:val="003E7DDC"/>
    <w:rsid w:val="003F746E"/>
    <w:rsid w:val="004229A5"/>
    <w:rsid w:val="004525C8"/>
    <w:rsid w:val="004C1781"/>
    <w:rsid w:val="004C597B"/>
    <w:rsid w:val="004D35EE"/>
    <w:rsid w:val="00527AE5"/>
    <w:rsid w:val="00564C2C"/>
    <w:rsid w:val="00580A45"/>
    <w:rsid w:val="005A4053"/>
    <w:rsid w:val="005A5E03"/>
    <w:rsid w:val="005B0D48"/>
    <w:rsid w:val="005B499D"/>
    <w:rsid w:val="005E59CB"/>
    <w:rsid w:val="005F34E9"/>
    <w:rsid w:val="00665853"/>
    <w:rsid w:val="00681D99"/>
    <w:rsid w:val="006873A5"/>
    <w:rsid w:val="006B7E95"/>
    <w:rsid w:val="006D74B3"/>
    <w:rsid w:val="00792D87"/>
    <w:rsid w:val="00794B3B"/>
    <w:rsid w:val="00835E85"/>
    <w:rsid w:val="00873BFB"/>
    <w:rsid w:val="00890E80"/>
    <w:rsid w:val="00913066"/>
    <w:rsid w:val="00933078"/>
    <w:rsid w:val="009D3396"/>
    <w:rsid w:val="009F4FD2"/>
    <w:rsid w:val="00B12683"/>
    <w:rsid w:val="00B42622"/>
    <w:rsid w:val="00B52972"/>
    <w:rsid w:val="00B74C0B"/>
    <w:rsid w:val="00B95898"/>
    <w:rsid w:val="00C111C8"/>
    <w:rsid w:val="00C62FE7"/>
    <w:rsid w:val="00CB2A6C"/>
    <w:rsid w:val="00D00386"/>
    <w:rsid w:val="00DE477A"/>
    <w:rsid w:val="00DE6254"/>
    <w:rsid w:val="00E02C81"/>
    <w:rsid w:val="00E05E94"/>
    <w:rsid w:val="00E606CA"/>
    <w:rsid w:val="00E632AB"/>
    <w:rsid w:val="00EA2542"/>
    <w:rsid w:val="00F23430"/>
    <w:rsid w:val="00F24EB3"/>
    <w:rsid w:val="00F40F15"/>
    <w:rsid w:val="00F835F5"/>
    <w:rsid w:val="00FA642E"/>
    <w:rsid w:val="00FC6A37"/>
    <w:rsid w:val="00FE7D27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23A67"/>
  <w15:chartTrackingRefBased/>
  <w15:docId w15:val="{71D7D951-A6B7-469B-BB81-20B87E05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39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11C8"/>
    <w:pPr>
      <w:ind w:left="720"/>
      <w:contextualSpacing/>
    </w:pPr>
  </w:style>
  <w:style w:type="table" w:styleId="TableGrid">
    <w:name w:val="Table Grid"/>
    <w:basedOn w:val="TableNormal"/>
    <w:uiPriority w:val="39"/>
    <w:rsid w:val="00CB2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allium\Operations$\SS%20For%20Pete\GPG%20Repor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yers.peter\AppData\Local\Microsoft\Windows\INetCache\Content.Outlook\M5YQH3K9\GPG%20Repor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Gallium\Operations$\SS%20For%20Pete\GPG%20Report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Gallium\Operations$\SS%20For%20Pete\GPG%20Report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Gallium\Operations$\SS%20For%20Pete\GPG%20Report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Gallium\Operations$\SS%20For%20Pete\GPG%20Report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Gallium\Operations$\SS%20For%20Pete\GPG%20Reports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Poole High School Workforce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43E-43B4-A629-D2BCE0414FE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43E-43B4-A629-D2BCE0414FE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Data!$D$37:$D$38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Data!$E$37:$E$38</c:f>
              <c:numCache>
                <c:formatCode>0.00%</c:formatCode>
                <c:ptCount val="2"/>
                <c:pt idx="0">
                  <c:v>0.26506024096385544</c:v>
                </c:pt>
                <c:pt idx="1">
                  <c:v>0.73493975903614461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43E-43B4-A629-D2BCE0414FE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Gender Pay</a:t>
            </a:r>
            <a:r>
              <a:rPr lang="en-GB" baseline="0"/>
              <a:t> Gap %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Data!$I$19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Data!$H$20:$H$21</c:f>
              <c:strCache>
                <c:ptCount val="2"/>
                <c:pt idx="0">
                  <c:v>Mean</c:v>
                </c:pt>
                <c:pt idx="1">
                  <c:v>Median</c:v>
                </c:pt>
              </c:strCache>
            </c:strRef>
          </c:cat>
          <c:val>
            <c:numRef>
              <c:f>Data!$I$20:$I$21</c:f>
              <c:numCache>
                <c:formatCode>General</c:formatCode>
                <c:ptCount val="2"/>
                <c:pt idx="0">
                  <c:v>20.97</c:v>
                </c:pt>
                <c:pt idx="1">
                  <c:v>36.340000000000003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D5-49E7-B0A9-8CFBC1BFBBA7}"/>
            </c:ext>
          </c:extLst>
        </c:ser>
        <c:ser>
          <c:idx val="1"/>
          <c:order val="1"/>
          <c:tx>
            <c:strRef>
              <c:f>Data!$J$19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Data!$H$20:$H$21</c:f>
              <c:strCache>
                <c:ptCount val="2"/>
                <c:pt idx="0">
                  <c:v>Mean</c:v>
                </c:pt>
                <c:pt idx="1">
                  <c:v>Median</c:v>
                </c:pt>
              </c:strCache>
            </c:strRef>
          </c:cat>
          <c:val>
            <c:numRef>
              <c:f>Data!$J$20:$J$21</c:f>
              <c:numCache>
                <c:formatCode>General</c:formatCode>
                <c:ptCount val="2"/>
                <c:pt idx="0">
                  <c:v>19.66</c:v>
                </c:pt>
                <c:pt idx="1">
                  <c:v>36.28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D5-49E7-B0A9-8CFBC1BFBBA7}"/>
            </c:ext>
          </c:extLst>
        </c:ser>
        <c:ser>
          <c:idx val="2"/>
          <c:order val="2"/>
          <c:tx>
            <c:strRef>
              <c:f>Data!$K$19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Data!$H$20:$H$21</c:f>
              <c:strCache>
                <c:ptCount val="2"/>
                <c:pt idx="0">
                  <c:v>Mean</c:v>
                </c:pt>
                <c:pt idx="1">
                  <c:v>Median</c:v>
                </c:pt>
              </c:strCache>
            </c:strRef>
          </c:cat>
          <c:val>
            <c:numRef>
              <c:f>Data!$K$20:$K$21</c:f>
              <c:numCache>
                <c:formatCode>General</c:formatCode>
                <c:ptCount val="2"/>
                <c:pt idx="0">
                  <c:v>21.48</c:v>
                </c:pt>
                <c:pt idx="1">
                  <c:v>39.54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3D5-49E7-B0A9-8CFBC1BFBBA7}"/>
            </c:ext>
          </c:extLst>
        </c:ser>
        <c:ser>
          <c:idx val="3"/>
          <c:order val="3"/>
          <c:tx>
            <c:strRef>
              <c:f>Data!$L$19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Data!$H$20:$H$21</c:f>
              <c:strCache>
                <c:ptCount val="2"/>
                <c:pt idx="0">
                  <c:v>Mean</c:v>
                </c:pt>
                <c:pt idx="1">
                  <c:v>Median</c:v>
                </c:pt>
              </c:strCache>
            </c:strRef>
          </c:cat>
          <c:val>
            <c:numRef>
              <c:f>Data!$L$20:$L$21</c:f>
              <c:numCache>
                <c:formatCode>General</c:formatCode>
                <c:ptCount val="2"/>
                <c:pt idx="0">
                  <c:v>14.74</c:v>
                </c:pt>
                <c:pt idx="1">
                  <c:v>24.12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3D5-49E7-B0A9-8CFBC1BFBBA7}"/>
            </c:ext>
          </c:extLst>
        </c:ser>
        <c:ser>
          <c:idx val="4"/>
          <c:order val="4"/>
          <c:tx>
            <c:strRef>
              <c:f>Data!$M$19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Data!$H$20:$H$21</c:f>
              <c:strCache>
                <c:ptCount val="2"/>
                <c:pt idx="0">
                  <c:v>Mean</c:v>
                </c:pt>
                <c:pt idx="1">
                  <c:v>Median</c:v>
                </c:pt>
              </c:strCache>
            </c:strRef>
          </c:cat>
          <c:val>
            <c:numRef>
              <c:f>Data!$M$20:$M$21</c:f>
              <c:numCache>
                <c:formatCode>General</c:formatCode>
                <c:ptCount val="2"/>
                <c:pt idx="0">
                  <c:v>12.9</c:v>
                </c:pt>
                <c:pt idx="1">
                  <c:v>16.989999999999998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3D5-49E7-B0A9-8CFBC1BFBB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39215599"/>
        <c:axId val="1439225583"/>
      </c:barChart>
      <c:catAx>
        <c:axId val="14392155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39225583"/>
        <c:crosses val="autoZero"/>
        <c:auto val="1"/>
        <c:lblAlgn val="ctr"/>
        <c:lblOffset val="100"/>
        <c:noMultiLvlLbl val="0"/>
      </c:catAx>
      <c:valAx>
        <c:axId val="14392255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392155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Lower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2017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Data!$O$9:$P$9</c:f>
              <c:strCache>
                <c:ptCount val="2"/>
                <c:pt idx="0">
                  <c:v>Male </c:v>
                </c:pt>
                <c:pt idx="1">
                  <c:v>Female</c:v>
                </c:pt>
              </c:strCache>
            </c:strRef>
          </c:cat>
          <c:val>
            <c:numRef>
              <c:f>Data!$O$10:$P$10</c:f>
              <c:numCache>
                <c:formatCode>General</c:formatCode>
                <c:ptCount val="2"/>
                <c:pt idx="0">
                  <c:v>15</c:v>
                </c:pt>
                <c:pt idx="1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E2-4B97-973B-7E12AF198F8F}"/>
            </c:ext>
          </c:extLst>
        </c:ser>
        <c:ser>
          <c:idx val="1"/>
          <c:order val="1"/>
          <c:tx>
            <c:v>2018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Data!$O$9:$P$9</c:f>
              <c:strCache>
                <c:ptCount val="2"/>
                <c:pt idx="0">
                  <c:v>Male </c:v>
                </c:pt>
                <c:pt idx="1">
                  <c:v>Female</c:v>
                </c:pt>
              </c:strCache>
            </c:strRef>
          </c:cat>
          <c:val>
            <c:numRef>
              <c:f>Data!$O$11:$P$11</c:f>
              <c:numCache>
                <c:formatCode>General</c:formatCode>
                <c:ptCount val="2"/>
                <c:pt idx="0">
                  <c:v>13</c:v>
                </c:pt>
                <c:pt idx="1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E2-4B97-973B-7E12AF198F8F}"/>
            </c:ext>
          </c:extLst>
        </c:ser>
        <c:ser>
          <c:idx val="2"/>
          <c:order val="2"/>
          <c:tx>
            <c:v>2019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Data!$O$9:$P$9</c:f>
              <c:strCache>
                <c:ptCount val="2"/>
                <c:pt idx="0">
                  <c:v>Male </c:v>
                </c:pt>
                <c:pt idx="1">
                  <c:v>Female</c:v>
                </c:pt>
              </c:strCache>
            </c:strRef>
          </c:cat>
          <c:val>
            <c:numRef>
              <c:f>Data!$O$12:$P$12</c:f>
              <c:numCache>
                <c:formatCode>General</c:formatCode>
                <c:ptCount val="2"/>
                <c:pt idx="0">
                  <c:v>13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0E2-4B97-973B-7E12AF198F8F}"/>
            </c:ext>
          </c:extLst>
        </c:ser>
        <c:ser>
          <c:idx val="3"/>
          <c:order val="3"/>
          <c:tx>
            <c:v>2020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Data!$O$9:$P$9</c:f>
              <c:strCache>
                <c:ptCount val="2"/>
                <c:pt idx="0">
                  <c:v>Male </c:v>
                </c:pt>
                <c:pt idx="1">
                  <c:v>Female</c:v>
                </c:pt>
              </c:strCache>
            </c:strRef>
          </c:cat>
          <c:val>
            <c:numRef>
              <c:f>Data!$O$13:$P$13</c:f>
              <c:numCache>
                <c:formatCode>General</c:formatCode>
                <c:ptCount val="2"/>
                <c:pt idx="0">
                  <c:v>12</c:v>
                </c:pt>
                <c:pt idx="1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0E2-4B97-973B-7E12AF198F8F}"/>
            </c:ext>
          </c:extLst>
        </c:ser>
        <c:ser>
          <c:idx val="4"/>
          <c:order val="4"/>
          <c:tx>
            <c:v>2021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Data!$O$9:$P$9</c:f>
              <c:strCache>
                <c:ptCount val="2"/>
                <c:pt idx="0">
                  <c:v>Male </c:v>
                </c:pt>
                <c:pt idx="1">
                  <c:v>Female</c:v>
                </c:pt>
              </c:strCache>
            </c:strRef>
          </c:cat>
          <c:val>
            <c:numRef>
              <c:f>Data!$O$14:$P$14</c:f>
              <c:numCache>
                <c:formatCode>General</c:formatCode>
                <c:ptCount val="2"/>
                <c:pt idx="0">
                  <c:v>12</c:v>
                </c:pt>
                <c:pt idx="1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0E2-4B97-973B-7E12AF198F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6309312"/>
        <c:axId val="376309640"/>
      </c:barChart>
      <c:catAx>
        <c:axId val="37630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6309640"/>
        <c:crosses val="autoZero"/>
        <c:auto val="1"/>
        <c:lblAlgn val="ctr"/>
        <c:lblOffset val="100"/>
        <c:noMultiLvlLbl val="0"/>
      </c:catAx>
      <c:valAx>
        <c:axId val="376309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630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Lower Middle Quartile</a:t>
            </a:r>
            <a:r>
              <a:rPr lang="en-US" baseline="0"/>
              <a:t> %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6580927384076991E-2"/>
          <c:y val="0.16245370370370371"/>
          <c:w val="0.90286351706036749"/>
          <c:h val="0.61498432487605714"/>
        </c:manualLayout>
      </c:layout>
      <c:barChart>
        <c:barDir val="col"/>
        <c:grouping val="clustered"/>
        <c:varyColors val="0"/>
        <c:ser>
          <c:idx val="0"/>
          <c:order val="0"/>
          <c:tx>
            <c:v>2017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Data!$K$9:$L$9</c:f>
              <c:strCache>
                <c:ptCount val="2"/>
                <c:pt idx="0">
                  <c:v>Male </c:v>
                </c:pt>
                <c:pt idx="1">
                  <c:v>Female</c:v>
                </c:pt>
              </c:strCache>
            </c:strRef>
          </c:cat>
          <c:val>
            <c:numRef>
              <c:f>Data!$K$10:$L$10</c:f>
              <c:numCache>
                <c:formatCode>General</c:formatCode>
                <c:ptCount val="2"/>
                <c:pt idx="0">
                  <c:v>14</c:v>
                </c:pt>
                <c:pt idx="1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D9-43EB-845D-772EED37A02C}"/>
            </c:ext>
          </c:extLst>
        </c:ser>
        <c:ser>
          <c:idx val="1"/>
          <c:order val="1"/>
          <c:tx>
            <c:v>2018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Data!$K$9:$L$9</c:f>
              <c:strCache>
                <c:ptCount val="2"/>
                <c:pt idx="0">
                  <c:v>Male </c:v>
                </c:pt>
                <c:pt idx="1">
                  <c:v>Female</c:v>
                </c:pt>
              </c:strCache>
            </c:strRef>
          </c:cat>
          <c:val>
            <c:numRef>
              <c:f>Data!$K$11:$L$11</c:f>
              <c:numCache>
                <c:formatCode>General</c:formatCode>
                <c:ptCount val="2"/>
                <c:pt idx="0">
                  <c:v>16</c:v>
                </c:pt>
                <c:pt idx="1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D9-43EB-845D-772EED37A02C}"/>
            </c:ext>
          </c:extLst>
        </c:ser>
        <c:ser>
          <c:idx val="2"/>
          <c:order val="2"/>
          <c:tx>
            <c:v>2019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Data!$K$9:$L$9</c:f>
              <c:strCache>
                <c:ptCount val="2"/>
                <c:pt idx="0">
                  <c:v>Male </c:v>
                </c:pt>
                <c:pt idx="1">
                  <c:v>Female</c:v>
                </c:pt>
              </c:strCache>
            </c:strRef>
          </c:cat>
          <c:val>
            <c:numRef>
              <c:f>Data!$K$12:$L$12</c:f>
              <c:numCache>
                <c:formatCode>General</c:formatCode>
                <c:ptCount val="2"/>
                <c:pt idx="0">
                  <c:v>14</c:v>
                </c:pt>
                <c:pt idx="1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D9-43EB-845D-772EED37A02C}"/>
            </c:ext>
          </c:extLst>
        </c:ser>
        <c:ser>
          <c:idx val="3"/>
          <c:order val="3"/>
          <c:tx>
            <c:v>2020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Data!$K$9:$L$9</c:f>
              <c:strCache>
                <c:ptCount val="2"/>
                <c:pt idx="0">
                  <c:v>Male </c:v>
                </c:pt>
                <c:pt idx="1">
                  <c:v>Female</c:v>
                </c:pt>
              </c:strCache>
            </c:strRef>
          </c:cat>
          <c:val>
            <c:numRef>
              <c:f>Data!$K$13:$L$13</c:f>
              <c:numCache>
                <c:formatCode>General</c:formatCode>
                <c:ptCount val="2"/>
                <c:pt idx="0">
                  <c:v>17</c:v>
                </c:pt>
                <c:pt idx="1">
                  <c:v>46</c:v>
                </c:pt>
              </c:numCache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3-79D9-43EB-845D-772EED37A02C}"/>
            </c:ext>
          </c:extLst>
        </c:ser>
        <c:ser>
          <c:idx val="4"/>
          <c:order val="4"/>
          <c:tx>
            <c:v>2021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Data!$K$9:$L$9</c:f>
              <c:strCache>
                <c:ptCount val="2"/>
                <c:pt idx="0">
                  <c:v>Male </c:v>
                </c:pt>
                <c:pt idx="1">
                  <c:v>Female</c:v>
                </c:pt>
              </c:strCache>
            </c:strRef>
          </c:cat>
          <c:val>
            <c:numRef>
              <c:f>Data!$K$14:$L$14</c:f>
              <c:numCache>
                <c:formatCode>General</c:formatCode>
                <c:ptCount val="2"/>
                <c:pt idx="0">
                  <c:v>17</c:v>
                </c:pt>
                <c:pt idx="1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9D9-43EB-845D-772EED37A0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6307672"/>
        <c:axId val="376306032"/>
        <c:extLst/>
      </c:barChart>
      <c:catAx>
        <c:axId val="376307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6306032"/>
        <c:crosses val="autoZero"/>
        <c:auto val="1"/>
        <c:lblAlgn val="ctr"/>
        <c:lblOffset val="100"/>
        <c:noMultiLvlLbl val="0"/>
      </c:catAx>
      <c:valAx>
        <c:axId val="376306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6307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Upper Middle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6025371828521435E-2"/>
          <c:y val="0.16708333333333336"/>
          <c:w val="0.90286351706036749"/>
          <c:h val="0.61498432487605714"/>
        </c:manualLayout>
      </c:layout>
      <c:barChart>
        <c:barDir val="col"/>
        <c:grouping val="clustered"/>
        <c:varyColors val="0"/>
        <c:ser>
          <c:idx val="0"/>
          <c:order val="0"/>
          <c:tx>
            <c:v>2017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Data!$G$9:$H$9</c:f>
              <c:strCache>
                <c:ptCount val="2"/>
                <c:pt idx="0">
                  <c:v>Male </c:v>
                </c:pt>
                <c:pt idx="1">
                  <c:v>Female</c:v>
                </c:pt>
              </c:strCache>
            </c:strRef>
          </c:cat>
          <c:val>
            <c:numRef>
              <c:f>Data!$G$10:$H$10</c:f>
              <c:numCache>
                <c:formatCode>General</c:formatCode>
                <c:ptCount val="2"/>
                <c:pt idx="0">
                  <c:v>16</c:v>
                </c:pt>
                <c:pt idx="1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A0-4049-A6A0-287E7392B121}"/>
            </c:ext>
          </c:extLst>
        </c:ser>
        <c:ser>
          <c:idx val="1"/>
          <c:order val="1"/>
          <c:tx>
            <c:v>2018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Data!$G$9:$H$9</c:f>
              <c:strCache>
                <c:ptCount val="2"/>
                <c:pt idx="0">
                  <c:v>Male </c:v>
                </c:pt>
                <c:pt idx="1">
                  <c:v>Female</c:v>
                </c:pt>
              </c:strCache>
            </c:strRef>
          </c:cat>
          <c:val>
            <c:numRef>
              <c:f>Data!$G$11:$H$11</c:f>
              <c:numCache>
                <c:formatCode>General</c:formatCode>
                <c:ptCount val="2"/>
                <c:pt idx="0">
                  <c:v>18</c:v>
                </c:pt>
                <c:pt idx="1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A0-4049-A6A0-287E7392B121}"/>
            </c:ext>
          </c:extLst>
        </c:ser>
        <c:ser>
          <c:idx val="2"/>
          <c:order val="2"/>
          <c:tx>
            <c:v>2019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Data!$G$9:$H$9</c:f>
              <c:strCache>
                <c:ptCount val="2"/>
                <c:pt idx="0">
                  <c:v>Male </c:v>
                </c:pt>
                <c:pt idx="1">
                  <c:v>Female</c:v>
                </c:pt>
              </c:strCache>
            </c:strRef>
          </c:cat>
          <c:val>
            <c:numRef>
              <c:f>Data!$G$12:$H$12</c:f>
              <c:numCache>
                <c:formatCode>General</c:formatCode>
                <c:ptCount val="2"/>
                <c:pt idx="0">
                  <c:v>16</c:v>
                </c:pt>
                <c:pt idx="1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7A0-4049-A6A0-287E7392B121}"/>
            </c:ext>
          </c:extLst>
        </c:ser>
        <c:ser>
          <c:idx val="3"/>
          <c:order val="3"/>
          <c:tx>
            <c:v>2020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Data!$G$9:$H$9</c:f>
              <c:strCache>
                <c:ptCount val="2"/>
                <c:pt idx="0">
                  <c:v>Male </c:v>
                </c:pt>
                <c:pt idx="1">
                  <c:v>Female</c:v>
                </c:pt>
              </c:strCache>
            </c:strRef>
          </c:cat>
          <c:val>
            <c:numRef>
              <c:f>Data!$G$13:$H$13</c:f>
              <c:numCache>
                <c:formatCode>General</c:formatCode>
                <c:ptCount val="2"/>
                <c:pt idx="0">
                  <c:v>19</c:v>
                </c:pt>
                <c:pt idx="1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7A0-4049-A6A0-287E7392B121}"/>
            </c:ext>
          </c:extLst>
        </c:ser>
        <c:ser>
          <c:idx val="4"/>
          <c:order val="4"/>
          <c:tx>
            <c:v>2021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Data!$G$9:$H$9</c:f>
              <c:strCache>
                <c:ptCount val="2"/>
                <c:pt idx="0">
                  <c:v>Male </c:v>
                </c:pt>
                <c:pt idx="1">
                  <c:v>Female</c:v>
                </c:pt>
              </c:strCache>
            </c:strRef>
          </c:cat>
          <c:val>
            <c:numRef>
              <c:f>Data!$G$14:$H$14</c:f>
              <c:numCache>
                <c:formatCode>General</c:formatCode>
                <c:ptCount val="2"/>
                <c:pt idx="0">
                  <c:v>17</c:v>
                </c:pt>
                <c:pt idx="1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7A0-4049-A6A0-287E7392B1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7777000"/>
        <c:axId val="437779952"/>
      </c:barChart>
      <c:catAx>
        <c:axId val="437777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7779952"/>
        <c:crosses val="autoZero"/>
        <c:auto val="1"/>
        <c:lblAlgn val="ctr"/>
        <c:lblOffset val="100"/>
        <c:noMultiLvlLbl val="0"/>
      </c:catAx>
      <c:valAx>
        <c:axId val="437779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7777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Upper Quartile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2017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Data!$C$9:$D$9</c:f>
              <c:strCache>
                <c:ptCount val="2"/>
                <c:pt idx="0">
                  <c:v>Male </c:v>
                </c:pt>
                <c:pt idx="1">
                  <c:v>Female</c:v>
                </c:pt>
              </c:strCache>
            </c:strRef>
          </c:cat>
          <c:val>
            <c:numRef>
              <c:f>Data!$C$10:$D$10</c:f>
              <c:numCache>
                <c:formatCode>General</c:formatCode>
                <c:ptCount val="2"/>
                <c:pt idx="0">
                  <c:v>30</c:v>
                </c:pt>
                <c:pt idx="1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A5-4F1A-AC65-C441D7FC0602}"/>
            </c:ext>
          </c:extLst>
        </c:ser>
        <c:ser>
          <c:idx val="1"/>
          <c:order val="1"/>
          <c:tx>
            <c:v>2018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Data!$C$9:$D$9</c:f>
              <c:strCache>
                <c:ptCount val="2"/>
                <c:pt idx="0">
                  <c:v>Male </c:v>
                </c:pt>
                <c:pt idx="1">
                  <c:v>Female</c:v>
                </c:pt>
              </c:strCache>
            </c:strRef>
          </c:cat>
          <c:val>
            <c:numRef>
              <c:f>Data!$C$11:$D$11</c:f>
              <c:numCache>
                <c:formatCode>General</c:formatCode>
                <c:ptCount val="2"/>
                <c:pt idx="0">
                  <c:v>29</c:v>
                </c:pt>
                <c:pt idx="1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A5-4F1A-AC65-C441D7FC0602}"/>
            </c:ext>
          </c:extLst>
        </c:ser>
        <c:ser>
          <c:idx val="2"/>
          <c:order val="2"/>
          <c:tx>
            <c:v>2019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Data!$C$9:$D$9</c:f>
              <c:strCache>
                <c:ptCount val="2"/>
                <c:pt idx="0">
                  <c:v>Male </c:v>
                </c:pt>
                <c:pt idx="1">
                  <c:v>Female</c:v>
                </c:pt>
              </c:strCache>
            </c:strRef>
          </c:cat>
          <c:val>
            <c:numRef>
              <c:f>Data!$C$12:$D$12</c:f>
              <c:numCache>
                <c:formatCode>General</c:formatCode>
                <c:ptCount val="2"/>
                <c:pt idx="0">
                  <c:v>30</c:v>
                </c:pt>
                <c:pt idx="1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EA5-4F1A-AC65-C441D7FC0602}"/>
            </c:ext>
          </c:extLst>
        </c:ser>
        <c:ser>
          <c:idx val="3"/>
          <c:order val="3"/>
          <c:tx>
            <c:v>2020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Data!$C$9:$D$9</c:f>
              <c:strCache>
                <c:ptCount val="2"/>
                <c:pt idx="0">
                  <c:v>Male </c:v>
                </c:pt>
                <c:pt idx="1">
                  <c:v>Female</c:v>
                </c:pt>
              </c:strCache>
            </c:strRef>
          </c:cat>
          <c:val>
            <c:numRef>
              <c:f>Data!$C$13:$D$13</c:f>
              <c:numCache>
                <c:formatCode>General</c:formatCode>
                <c:ptCount val="2"/>
                <c:pt idx="0">
                  <c:v>22</c:v>
                </c:pt>
                <c:pt idx="1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EA5-4F1A-AC65-C441D7FC0602}"/>
            </c:ext>
          </c:extLst>
        </c:ser>
        <c:ser>
          <c:idx val="4"/>
          <c:order val="4"/>
          <c:tx>
            <c:v>2021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Data!$C$9:$D$9</c:f>
              <c:strCache>
                <c:ptCount val="2"/>
                <c:pt idx="0">
                  <c:v>Male </c:v>
                </c:pt>
                <c:pt idx="1">
                  <c:v>Female</c:v>
                </c:pt>
              </c:strCache>
            </c:strRef>
          </c:cat>
          <c:val>
            <c:numRef>
              <c:f>Data!$C$14:$D$14</c:f>
              <c:numCache>
                <c:formatCode>General</c:formatCode>
                <c:ptCount val="2"/>
                <c:pt idx="0">
                  <c:v>20</c:v>
                </c:pt>
                <c:pt idx="1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EA5-4F1A-AC65-C441D7FC06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6307672"/>
        <c:axId val="376306032"/>
      </c:barChart>
      <c:catAx>
        <c:axId val="376307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6306032"/>
        <c:crosses val="autoZero"/>
        <c:auto val="1"/>
        <c:lblAlgn val="ctr"/>
        <c:lblOffset val="100"/>
        <c:noMultiLvlLbl val="0"/>
      </c:catAx>
      <c:valAx>
        <c:axId val="376306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6307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Number of men and women in each pay quartile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Data!$C$16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Data!$A$17:$B$36</c:f>
              <c:multiLvlStrCache>
                <c:ptCount val="20"/>
                <c:lvl>
                  <c:pt idx="0">
                    <c:v>LQ</c:v>
                  </c:pt>
                  <c:pt idx="1">
                    <c:v>LMQ</c:v>
                  </c:pt>
                  <c:pt idx="2">
                    <c:v>UMQ</c:v>
                  </c:pt>
                  <c:pt idx="3">
                    <c:v>UQ</c:v>
                  </c:pt>
                  <c:pt idx="4">
                    <c:v>LQ</c:v>
                  </c:pt>
                  <c:pt idx="5">
                    <c:v>LMQ</c:v>
                  </c:pt>
                  <c:pt idx="6">
                    <c:v>UMQ</c:v>
                  </c:pt>
                  <c:pt idx="7">
                    <c:v>UQ</c:v>
                  </c:pt>
                  <c:pt idx="8">
                    <c:v>LQ</c:v>
                  </c:pt>
                  <c:pt idx="9">
                    <c:v>LMQ</c:v>
                  </c:pt>
                  <c:pt idx="10">
                    <c:v>UMQ</c:v>
                  </c:pt>
                  <c:pt idx="11">
                    <c:v>UQ</c:v>
                  </c:pt>
                  <c:pt idx="12">
                    <c:v>LQ</c:v>
                  </c:pt>
                  <c:pt idx="13">
                    <c:v>LMQ</c:v>
                  </c:pt>
                  <c:pt idx="14">
                    <c:v>UMQ</c:v>
                  </c:pt>
                  <c:pt idx="15">
                    <c:v>UQ</c:v>
                  </c:pt>
                  <c:pt idx="16">
                    <c:v>LQ</c:v>
                  </c:pt>
                  <c:pt idx="17">
                    <c:v>LMQ</c:v>
                  </c:pt>
                  <c:pt idx="18">
                    <c:v>UMQ</c:v>
                  </c:pt>
                  <c:pt idx="19">
                    <c:v>UQ</c:v>
                  </c:pt>
                </c:lvl>
                <c:lvl>
                  <c:pt idx="0">
                    <c:v>2017</c:v>
                  </c:pt>
                  <c:pt idx="1">
                    <c:v>2017</c:v>
                  </c:pt>
                  <c:pt idx="2">
                    <c:v>2017</c:v>
                  </c:pt>
                  <c:pt idx="3">
                    <c:v>2017</c:v>
                  </c:pt>
                  <c:pt idx="4">
                    <c:v>2018</c:v>
                  </c:pt>
                  <c:pt idx="5">
                    <c:v>2018</c:v>
                  </c:pt>
                  <c:pt idx="6">
                    <c:v>2018</c:v>
                  </c:pt>
                  <c:pt idx="7">
                    <c:v>2018</c:v>
                  </c:pt>
                  <c:pt idx="8">
                    <c:v>2019</c:v>
                  </c:pt>
                  <c:pt idx="9">
                    <c:v>2019</c:v>
                  </c:pt>
                  <c:pt idx="10">
                    <c:v>2019</c:v>
                  </c:pt>
                  <c:pt idx="11">
                    <c:v>2019</c:v>
                  </c:pt>
                  <c:pt idx="12">
                    <c:v>2020</c:v>
                  </c:pt>
                  <c:pt idx="13">
                    <c:v>2020</c:v>
                  </c:pt>
                  <c:pt idx="14">
                    <c:v>2020</c:v>
                  </c:pt>
                  <c:pt idx="15">
                    <c:v>2020</c:v>
                  </c:pt>
                  <c:pt idx="16">
                    <c:v>2021</c:v>
                  </c:pt>
                  <c:pt idx="17">
                    <c:v>2021</c:v>
                  </c:pt>
                  <c:pt idx="18">
                    <c:v>2021</c:v>
                  </c:pt>
                  <c:pt idx="19">
                    <c:v>2021</c:v>
                  </c:pt>
                </c:lvl>
              </c:multiLvlStrCache>
            </c:multiLvlStrRef>
          </c:cat>
          <c:val>
            <c:numRef>
              <c:f>Data!$C$17:$C$36</c:f>
              <c:numCache>
                <c:formatCode>General</c:formatCode>
                <c:ptCount val="20"/>
                <c:pt idx="0">
                  <c:v>15</c:v>
                </c:pt>
                <c:pt idx="1">
                  <c:v>14</c:v>
                </c:pt>
                <c:pt idx="2">
                  <c:v>16</c:v>
                </c:pt>
                <c:pt idx="3">
                  <c:v>30</c:v>
                </c:pt>
                <c:pt idx="4">
                  <c:v>13</c:v>
                </c:pt>
                <c:pt idx="5">
                  <c:v>16</c:v>
                </c:pt>
                <c:pt idx="6">
                  <c:v>18</c:v>
                </c:pt>
                <c:pt idx="7">
                  <c:v>29</c:v>
                </c:pt>
                <c:pt idx="8">
                  <c:v>13</c:v>
                </c:pt>
                <c:pt idx="9">
                  <c:v>14</c:v>
                </c:pt>
                <c:pt idx="10">
                  <c:v>16</c:v>
                </c:pt>
                <c:pt idx="11">
                  <c:v>30</c:v>
                </c:pt>
                <c:pt idx="12">
                  <c:v>12</c:v>
                </c:pt>
                <c:pt idx="13">
                  <c:v>17</c:v>
                </c:pt>
                <c:pt idx="14">
                  <c:v>19</c:v>
                </c:pt>
                <c:pt idx="15">
                  <c:v>22</c:v>
                </c:pt>
                <c:pt idx="16">
                  <c:v>12</c:v>
                </c:pt>
                <c:pt idx="17">
                  <c:v>17</c:v>
                </c:pt>
                <c:pt idx="18">
                  <c:v>17</c:v>
                </c:pt>
                <c:pt idx="19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DA-446F-87CD-E01B88F24DA7}"/>
            </c:ext>
          </c:extLst>
        </c:ser>
        <c:ser>
          <c:idx val="1"/>
          <c:order val="1"/>
          <c:tx>
            <c:strRef>
              <c:f>Data!$D$16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Data!$A$17:$B$36</c:f>
              <c:multiLvlStrCache>
                <c:ptCount val="20"/>
                <c:lvl>
                  <c:pt idx="0">
                    <c:v>LQ</c:v>
                  </c:pt>
                  <c:pt idx="1">
                    <c:v>LMQ</c:v>
                  </c:pt>
                  <c:pt idx="2">
                    <c:v>UMQ</c:v>
                  </c:pt>
                  <c:pt idx="3">
                    <c:v>UQ</c:v>
                  </c:pt>
                  <c:pt idx="4">
                    <c:v>LQ</c:v>
                  </c:pt>
                  <c:pt idx="5">
                    <c:v>LMQ</c:v>
                  </c:pt>
                  <c:pt idx="6">
                    <c:v>UMQ</c:v>
                  </c:pt>
                  <c:pt idx="7">
                    <c:v>UQ</c:v>
                  </c:pt>
                  <c:pt idx="8">
                    <c:v>LQ</c:v>
                  </c:pt>
                  <c:pt idx="9">
                    <c:v>LMQ</c:v>
                  </c:pt>
                  <c:pt idx="10">
                    <c:v>UMQ</c:v>
                  </c:pt>
                  <c:pt idx="11">
                    <c:v>UQ</c:v>
                  </c:pt>
                  <c:pt idx="12">
                    <c:v>LQ</c:v>
                  </c:pt>
                  <c:pt idx="13">
                    <c:v>LMQ</c:v>
                  </c:pt>
                  <c:pt idx="14">
                    <c:v>UMQ</c:v>
                  </c:pt>
                  <c:pt idx="15">
                    <c:v>UQ</c:v>
                  </c:pt>
                  <c:pt idx="16">
                    <c:v>LQ</c:v>
                  </c:pt>
                  <c:pt idx="17">
                    <c:v>LMQ</c:v>
                  </c:pt>
                  <c:pt idx="18">
                    <c:v>UMQ</c:v>
                  </c:pt>
                  <c:pt idx="19">
                    <c:v>UQ</c:v>
                  </c:pt>
                </c:lvl>
                <c:lvl>
                  <c:pt idx="0">
                    <c:v>2017</c:v>
                  </c:pt>
                  <c:pt idx="1">
                    <c:v>2017</c:v>
                  </c:pt>
                  <c:pt idx="2">
                    <c:v>2017</c:v>
                  </c:pt>
                  <c:pt idx="3">
                    <c:v>2017</c:v>
                  </c:pt>
                  <c:pt idx="4">
                    <c:v>2018</c:v>
                  </c:pt>
                  <c:pt idx="5">
                    <c:v>2018</c:v>
                  </c:pt>
                  <c:pt idx="6">
                    <c:v>2018</c:v>
                  </c:pt>
                  <c:pt idx="7">
                    <c:v>2018</c:v>
                  </c:pt>
                  <c:pt idx="8">
                    <c:v>2019</c:v>
                  </c:pt>
                  <c:pt idx="9">
                    <c:v>2019</c:v>
                  </c:pt>
                  <c:pt idx="10">
                    <c:v>2019</c:v>
                  </c:pt>
                  <c:pt idx="11">
                    <c:v>2019</c:v>
                  </c:pt>
                  <c:pt idx="12">
                    <c:v>2020</c:v>
                  </c:pt>
                  <c:pt idx="13">
                    <c:v>2020</c:v>
                  </c:pt>
                  <c:pt idx="14">
                    <c:v>2020</c:v>
                  </c:pt>
                  <c:pt idx="15">
                    <c:v>2020</c:v>
                  </c:pt>
                  <c:pt idx="16">
                    <c:v>2021</c:v>
                  </c:pt>
                  <c:pt idx="17">
                    <c:v>2021</c:v>
                  </c:pt>
                  <c:pt idx="18">
                    <c:v>2021</c:v>
                  </c:pt>
                  <c:pt idx="19">
                    <c:v>2021</c:v>
                  </c:pt>
                </c:lvl>
              </c:multiLvlStrCache>
            </c:multiLvlStrRef>
          </c:cat>
          <c:val>
            <c:numRef>
              <c:f>Data!$D$17:$D$36</c:f>
              <c:numCache>
                <c:formatCode>General</c:formatCode>
                <c:ptCount val="20"/>
                <c:pt idx="0">
                  <c:v>52</c:v>
                </c:pt>
                <c:pt idx="1">
                  <c:v>53</c:v>
                </c:pt>
                <c:pt idx="2">
                  <c:v>51</c:v>
                </c:pt>
                <c:pt idx="3">
                  <c:v>37</c:v>
                </c:pt>
                <c:pt idx="4">
                  <c:v>51</c:v>
                </c:pt>
                <c:pt idx="5">
                  <c:v>48</c:v>
                </c:pt>
                <c:pt idx="6">
                  <c:v>46</c:v>
                </c:pt>
                <c:pt idx="7">
                  <c:v>35</c:v>
                </c:pt>
                <c:pt idx="8">
                  <c:v>50</c:v>
                </c:pt>
                <c:pt idx="9">
                  <c:v>51</c:v>
                </c:pt>
                <c:pt idx="10">
                  <c:v>49</c:v>
                </c:pt>
                <c:pt idx="11">
                  <c:v>35</c:v>
                </c:pt>
                <c:pt idx="12">
                  <c:v>51</c:v>
                </c:pt>
                <c:pt idx="13">
                  <c:v>46</c:v>
                </c:pt>
                <c:pt idx="14">
                  <c:v>44</c:v>
                </c:pt>
                <c:pt idx="15">
                  <c:v>41</c:v>
                </c:pt>
                <c:pt idx="16">
                  <c:v>51</c:v>
                </c:pt>
                <c:pt idx="17">
                  <c:v>45</c:v>
                </c:pt>
                <c:pt idx="18">
                  <c:v>45</c:v>
                </c:pt>
                <c:pt idx="19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DA-446F-87CD-E01B88F24DA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443153432"/>
        <c:axId val="443150480"/>
      </c:barChart>
      <c:catAx>
        <c:axId val="443153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3150480"/>
        <c:crosses val="autoZero"/>
        <c:auto val="1"/>
        <c:lblAlgn val="ctr"/>
        <c:lblOffset val="100"/>
        <c:noMultiLvlLbl val="0"/>
      </c:catAx>
      <c:valAx>
        <c:axId val="443150480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443153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6E7B1-1D77-4098-A49A-E0D2C5A1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Poole High School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 Brooks</dc:creator>
  <cp:keywords/>
  <dc:description/>
  <cp:lastModifiedBy>Peter Myers</cp:lastModifiedBy>
  <cp:revision>3</cp:revision>
  <cp:lastPrinted>2019-03-29T08:46:00Z</cp:lastPrinted>
  <dcterms:created xsi:type="dcterms:W3CDTF">2022-07-18T14:50:00Z</dcterms:created>
  <dcterms:modified xsi:type="dcterms:W3CDTF">2022-07-18T14:51:00Z</dcterms:modified>
</cp:coreProperties>
</file>