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wp:posOffset>
            </wp:positionH>
            <wp:positionV relativeFrom="paragraph">
              <wp:posOffset>114300</wp:posOffset>
            </wp:positionV>
            <wp:extent cx="2950528" cy="74976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50528" cy="749768"/>
                    </a:xfrm>
                    <a:prstGeom prst="rect"/>
                    <a:ln/>
                  </pic:spPr>
                </pic:pic>
              </a:graphicData>
            </a:graphic>
          </wp:anchor>
        </w:drawing>
      </w:r>
    </w:p>
    <w:p w:rsidR="00000000" w:rsidDel="00000000" w:rsidP="00000000" w:rsidRDefault="00000000" w:rsidRPr="00000000" w14:paraId="00000002">
      <w:pPr>
        <w:jc w:val="center"/>
        <w:rPr/>
      </w:pPr>
      <w:bookmarkStart w:colFirst="0" w:colLast="0" w:name="_heading=h.30j0zll" w:id="1"/>
      <w:bookmarkEnd w:id="1"/>
      <w:r w:rsidDel="00000000" w:rsidR="00000000" w:rsidRPr="00000000">
        <w:rPr>
          <w:rtl w:val="0"/>
        </w:rPr>
        <w:tab/>
      </w:r>
    </w:p>
    <w:p w:rsidR="00000000" w:rsidDel="00000000" w:rsidP="00000000" w:rsidRDefault="00000000" w:rsidRPr="00000000" w14:paraId="00000003">
      <w:pPr>
        <w:jc w:val="center"/>
        <w:rPr/>
      </w:pPr>
      <w:bookmarkStart w:colFirst="0" w:colLast="0" w:name="_heading=h.1fob9te" w:id="2"/>
      <w:bookmarkEnd w:id="2"/>
      <w:r w:rsidDel="00000000" w:rsidR="00000000" w:rsidRPr="00000000">
        <w:rPr>
          <w:rtl w:val="0"/>
        </w:rPr>
      </w:r>
    </w:p>
    <w:p w:rsidR="00000000" w:rsidDel="00000000" w:rsidP="00000000" w:rsidRDefault="00000000" w:rsidRPr="00000000" w14:paraId="00000004">
      <w:pPr>
        <w:jc w:val="center"/>
        <w:rPr/>
      </w:pPr>
      <w:bookmarkStart w:colFirst="0" w:colLast="0" w:name="_heading=h.3znysh7" w:id="3"/>
      <w:bookmarkEnd w:id="3"/>
      <w:r w:rsidDel="00000000" w:rsidR="00000000" w:rsidRPr="00000000">
        <w:rPr>
          <w:rtl w:val="0"/>
        </w:rPr>
      </w:r>
    </w:p>
    <w:p w:rsidR="00000000" w:rsidDel="00000000" w:rsidP="00000000" w:rsidRDefault="00000000" w:rsidRPr="00000000" w14:paraId="00000005">
      <w:pPr>
        <w:jc w:val="center"/>
        <w:rPr/>
      </w:pPr>
      <w:bookmarkStart w:colFirst="0" w:colLast="0" w:name="_heading=h.2et92p0" w:id="4"/>
      <w:bookmarkEnd w:id="4"/>
      <w:r w:rsidDel="00000000" w:rsidR="00000000" w:rsidRPr="00000000">
        <w:rPr>
          <w:rtl w:val="0"/>
        </w:rPr>
      </w:r>
    </w:p>
    <w:p w:rsidR="00000000" w:rsidDel="00000000" w:rsidP="00000000" w:rsidRDefault="00000000" w:rsidRPr="00000000" w14:paraId="00000006">
      <w:pPr>
        <w:jc w:val="center"/>
        <w:rPr/>
      </w:pPr>
      <w:bookmarkStart w:colFirst="0" w:colLast="0" w:name="_heading=h.tyjcwt" w:id="5"/>
      <w:bookmarkEnd w:id="5"/>
      <w:r w:rsidDel="00000000" w:rsidR="00000000" w:rsidRPr="00000000">
        <w:rPr>
          <w:rtl w:val="0"/>
        </w:rPr>
      </w:r>
    </w:p>
    <w:p w:rsidR="00000000" w:rsidDel="00000000" w:rsidP="00000000" w:rsidRDefault="00000000" w:rsidRPr="00000000" w14:paraId="00000007">
      <w:pPr>
        <w:rPr>
          <w:b w:val="1"/>
          <w:sz w:val="36"/>
          <w:szCs w:val="36"/>
        </w:rPr>
      </w:pPr>
      <w:bookmarkStart w:colFirst="0" w:colLast="0" w:name="_heading=h.3dy6vkm" w:id="6"/>
      <w:bookmarkEnd w:id="6"/>
      <w:r w:rsidDel="00000000" w:rsidR="00000000" w:rsidRPr="00000000">
        <w:rPr>
          <w:rtl w:val="0"/>
        </w:rPr>
        <w:t xml:space="preserve"> </w:t>
      </w:r>
      <w:r w:rsidDel="00000000" w:rsidR="00000000" w:rsidRPr="00000000">
        <w:rPr>
          <w:b w:val="1"/>
          <w:sz w:val="36"/>
          <w:szCs w:val="36"/>
          <w:rtl w:val="0"/>
        </w:rPr>
        <w:t xml:space="preserve">Catch-Up Premium Plan   </w:t>
      </w:r>
    </w:p>
    <w:p w:rsidR="00000000" w:rsidDel="00000000" w:rsidP="00000000" w:rsidRDefault="00000000" w:rsidRPr="00000000" w14:paraId="00000008">
      <w:pPr>
        <w:spacing w:after="240" w:lineRule="auto"/>
        <w:rPr>
          <w:b w:val="1"/>
          <w:color w:val="ffffff"/>
          <w:sz w:val="12"/>
          <w:szCs w:val="12"/>
        </w:rPr>
      </w:pPr>
      <w:r w:rsidDel="00000000" w:rsidR="00000000" w:rsidRPr="00000000">
        <w:rPr>
          <w:rtl w:val="0"/>
        </w:rPr>
      </w:r>
    </w:p>
    <w:tbl>
      <w:tblPr>
        <w:tblStyle w:val="Table1"/>
        <w:tblW w:w="154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1276"/>
        <w:gridCol w:w="3632"/>
        <w:gridCol w:w="1471"/>
        <w:gridCol w:w="4819"/>
        <w:gridCol w:w="1559"/>
        <w:tblGridChange w:id="0">
          <w:tblGrid>
            <w:gridCol w:w="2660"/>
            <w:gridCol w:w="1276"/>
            <w:gridCol w:w="3632"/>
            <w:gridCol w:w="1471"/>
            <w:gridCol w:w="4819"/>
            <w:gridCol w:w="1559"/>
          </w:tblGrid>
        </w:tblGridChange>
      </w:tblGrid>
      <w:tr>
        <w:tc>
          <w:tcPr>
            <w:gridSpan w:val="6"/>
            <w:shd w:fill="c00000" w:val="clear"/>
            <w:tcMar>
              <w:top w:w="57.0" w:type="dxa"/>
              <w:bottom w:w="57.0" w:type="dxa"/>
            </w:tcMar>
          </w:tcPr>
          <w:p w:rsidR="00000000" w:rsidDel="00000000" w:rsidP="00000000" w:rsidRDefault="00000000" w:rsidRPr="00000000" w14:paraId="00000009">
            <w:pPr>
              <w:rPr>
                <w:b w:val="1"/>
                <w:color w:val="ffffff"/>
                <w:sz w:val="24"/>
                <w:szCs w:val="24"/>
              </w:rPr>
            </w:pPr>
            <w:r w:rsidDel="00000000" w:rsidR="00000000" w:rsidRPr="00000000">
              <w:rPr>
                <w:b w:val="1"/>
                <w:color w:val="ffffff"/>
                <w:sz w:val="24"/>
                <w:szCs w:val="24"/>
                <w:rtl w:val="0"/>
              </w:rPr>
              <w:t xml:space="preserve">Summary information</w:t>
            </w:r>
          </w:p>
        </w:tc>
      </w:tr>
      <w:tr>
        <w:tc>
          <w:tcPr>
            <w:tcMar>
              <w:top w:w="57.0" w:type="dxa"/>
              <w:bottom w:w="57.0" w:type="dxa"/>
            </w:tcMar>
          </w:tcPr>
          <w:p w:rsidR="00000000" w:rsidDel="00000000" w:rsidP="00000000" w:rsidRDefault="00000000" w:rsidRPr="00000000" w14:paraId="0000000F">
            <w:pPr>
              <w:rPr>
                <w:b w:val="1"/>
              </w:rPr>
            </w:pPr>
            <w:r w:rsidDel="00000000" w:rsidR="00000000" w:rsidRPr="00000000">
              <w:rPr>
                <w:b w:val="1"/>
                <w:rtl w:val="0"/>
              </w:rPr>
              <w:t xml:space="preserve">School</w:t>
            </w:r>
          </w:p>
        </w:tc>
        <w:tc>
          <w:tcPr>
            <w:gridSpan w:val="5"/>
            <w:tcMar>
              <w:top w:w="57.0" w:type="dxa"/>
              <w:bottom w:w="57.0" w:type="dxa"/>
            </w:tcMar>
          </w:tcPr>
          <w:p w:rsidR="00000000" w:rsidDel="00000000" w:rsidP="00000000" w:rsidRDefault="00000000" w:rsidRPr="00000000" w14:paraId="00000010">
            <w:pPr>
              <w:rPr/>
            </w:pPr>
            <w:r w:rsidDel="00000000" w:rsidR="00000000" w:rsidRPr="00000000">
              <w:rPr>
                <w:rtl w:val="0"/>
              </w:rPr>
              <w:t xml:space="preserve">The Richard Crosse (CE) Primary School</w:t>
            </w:r>
          </w:p>
        </w:tc>
      </w:tr>
      <w:tr>
        <w:trPr>
          <w:trHeight w:val="328.5546875" w:hRule="atLeast"/>
        </w:trPr>
        <w:tc>
          <w:tcPr>
            <w:tcMar>
              <w:top w:w="57.0" w:type="dxa"/>
              <w:bottom w:w="57.0" w:type="dxa"/>
            </w:tcMar>
          </w:tcPr>
          <w:p w:rsidR="00000000" w:rsidDel="00000000" w:rsidP="00000000" w:rsidRDefault="00000000" w:rsidRPr="00000000" w14:paraId="00000015">
            <w:pPr>
              <w:rPr>
                <w:b w:val="1"/>
              </w:rPr>
            </w:pPr>
            <w:r w:rsidDel="00000000" w:rsidR="00000000" w:rsidRPr="00000000">
              <w:rPr>
                <w:b w:val="1"/>
                <w:rtl w:val="0"/>
              </w:rPr>
              <w:t xml:space="preserve">Academic Year</w:t>
            </w:r>
          </w:p>
        </w:tc>
        <w:tc>
          <w:tcPr>
            <w:tcMar>
              <w:top w:w="57.0" w:type="dxa"/>
              <w:bottom w:w="57.0" w:type="dxa"/>
            </w:tcMar>
          </w:tcPr>
          <w:p w:rsidR="00000000" w:rsidDel="00000000" w:rsidP="00000000" w:rsidRDefault="00000000" w:rsidRPr="00000000" w14:paraId="00000016">
            <w:pPr>
              <w:rPr/>
            </w:pPr>
            <w:r w:rsidDel="00000000" w:rsidR="00000000" w:rsidRPr="00000000">
              <w:rPr>
                <w:rtl w:val="0"/>
              </w:rPr>
              <w:t xml:space="preserve">2020-21</w:t>
            </w:r>
          </w:p>
        </w:tc>
        <w:tc>
          <w:tcPr/>
          <w:p w:rsidR="00000000" w:rsidDel="00000000" w:rsidP="00000000" w:rsidRDefault="00000000" w:rsidRPr="00000000" w14:paraId="00000017">
            <w:pPr>
              <w:rPr>
                <w:highlight w:val="yellow"/>
              </w:rPr>
            </w:pPr>
            <w:r w:rsidDel="00000000" w:rsidR="00000000" w:rsidRPr="00000000">
              <w:rPr>
                <w:b w:val="1"/>
                <w:rtl w:val="0"/>
              </w:rPr>
              <w:t xml:space="preserve">Total Catch-Up Premium</w:t>
            </w:r>
            <w:r w:rsidDel="00000000" w:rsidR="00000000" w:rsidRPr="00000000">
              <w:rPr>
                <w:rtl w:val="0"/>
              </w:rPr>
            </w:r>
          </w:p>
        </w:tc>
        <w:tc>
          <w:tcPr/>
          <w:p w:rsidR="00000000" w:rsidDel="00000000" w:rsidP="00000000" w:rsidRDefault="00000000" w:rsidRPr="00000000" w14:paraId="00000018">
            <w:pPr>
              <w:rPr>
                <w:color w:val="000000"/>
              </w:rPr>
            </w:pPr>
            <w:r w:rsidDel="00000000" w:rsidR="00000000" w:rsidRPr="00000000">
              <w:rPr>
                <w:rtl w:val="0"/>
              </w:rPr>
              <w:t xml:space="preserve">£8560</w:t>
            </w:r>
            <w:r w:rsidDel="00000000" w:rsidR="00000000" w:rsidRPr="00000000">
              <w:rPr>
                <w:rtl w:val="0"/>
              </w:rPr>
            </w:r>
          </w:p>
        </w:tc>
        <w:tc>
          <w:tcPr/>
          <w:p w:rsidR="00000000" w:rsidDel="00000000" w:rsidP="00000000" w:rsidRDefault="00000000" w:rsidRPr="00000000" w14:paraId="00000019">
            <w:pPr>
              <w:rPr/>
            </w:pPr>
            <w:r w:rsidDel="00000000" w:rsidR="00000000" w:rsidRPr="00000000">
              <w:rPr>
                <w:b w:val="1"/>
                <w:rtl w:val="0"/>
              </w:rPr>
              <w:t xml:space="preserve">Number of pupils</w:t>
            </w: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107</w:t>
            </w:r>
          </w:p>
        </w:tc>
      </w:tr>
    </w:tbl>
    <w:p w:rsidR="00000000" w:rsidDel="00000000" w:rsidP="00000000" w:rsidRDefault="00000000" w:rsidRPr="00000000" w14:paraId="0000001B">
      <w:pPr>
        <w:rPr>
          <w:sz w:val="16"/>
          <w:szCs w:val="16"/>
        </w:rPr>
      </w:pPr>
      <w:r w:rsidDel="00000000" w:rsidR="00000000" w:rsidRPr="00000000">
        <w:rPr>
          <w:rtl w:val="0"/>
        </w:rPr>
      </w:r>
    </w:p>
    <w:tbl>
      <w:tblPr>
        <w:tblStyle w:val="Table2"/>
        <w:tblW w:w="154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06"/>
        <w:gridCol w:w="7706"/>
        <w:tblGridChange w:id="0">
          <w:tblGrid>
            <w:gridCol w:w="7706"/>
            <w:gridCol w:w="7706"/>
          </w:tblGrid>
        </w:tblGridChange>
      </w:tblGrid>
      <w:tr>
        <w:trPr>
          <w:trHeight w:val="225" w:hRule="atLeast"/>
        </w:trPr>
        <w:tc>
          <w:tcPr>
            <w:gridSpan w:val="2"/>
            <w:shd w:fill="a6a6a6" w:val="clear"/>
            <w:tcMar>
              <w:top w:w="57.0" w:type="dxa"/>
              <w:bottom w:w="57.0" w:type="dxa"/>
            </w:tcMar>
          </w:tcPr>
          <w:p w:rsidR="00000000" w:rsidDel="00000000" w:rsidP="00000000" w:rsidRDefault="00000000" w:rsidRPr="00000000" w14:paraId="0000001C">
            <w:pPr>
              <w:spacing w:after="120" w:lineRule="auto"/>
              <w:rPr>
                <w:color w:val="ffffff"/>
                <w:sz w:val="24"/>
                <w:szCs w:val="24"/>
              </w:rPr>
            </w:pPr>
            <w:r w:rsidDel="00000000" w:rsidR="00000000" w:rsidRPr="00000000">
              <w:rPr>
                <w:b w:val="1"/>
                <w:color w:val="ffffff"/>
                <w:sz w:val="24"/>
                <w:szCs w:val="24"/>
                <w:rtl w:val="0"/>
              </w:rPr>
              <w:t xml:space="preserve">Guidance</w:t>
            </w:r>
            <w:r w:rsidDel="00000000" w:rsidR="00000000" w:rsidRPr="00000000">
              <w:rPr>
                <w:rtl w:val="0"/>
              </w:rPr>
            </w:r>
          </w:p>
        </w:tc>
      </w:tr>
      <w:tr>
        <w:trPr>
          <w:trHeight w:val="755" w:hRule="atLeast"/>
        </w:trPr>
        <w:tc>
          <w:tcPr>
            <w:gridSpan w:val="2"/>
            <w:tcMar>
              <w:top w:w="57.0" w:type="dxa"/>
              <w:bottom w:w="57.0" w:type="dxa"/>
            </w:tcMar>
          </w:tcPr>
          <w:p w:rsidR="00000000" w:rsidDel="00000000" w:rsidP="00000000" w:rsidRDefault="00000000" w:rsidRPr="00000000" w14:paraId="0000001E">
            <w:pPr>
              <w:rPr>
                <w:color w:val="0b0c0c"/>
                <w:highlight w:val="white"/>
              </w:rPr>
            </w:pPr>
            <w:r w:rsidDel="00000000" w:rsidR="00000000" w:rsidRPr="00000000">
              <w:rPr>
                <w:rtl w:val="0"/>
              </w:rPr>
            </w:r>
          </w:p>
          <w:p w:rsidR="00000000" w:rsidDel="00000000" w:rsidP="00000000" w:rsidRDefault="00000000" w:rsidRPr="00000000" w14:paraId="0000001F">
            <w:pPr>
              <w:rPr>
                <w:color w:val="0b0c0c"/>
                <w:highlight w:val="white"/>
              </w:rPr>
            </w:pPr>
            <w:r w:rsidDel="00000000" w:rsidR="00000000" w:rsidRPr="00000000">
              <w:rPr>
                <w:color w:val="0b0c0c"/>
                <w:highlight w:val="white"/>
                <w:rtl w:val="0"/>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rsidR="00000000" w:rsidDel="00000000" w:rsidP="00000000" w:rsidRDefault="00000000" w:rsidRPr="00000000" w14:paraId="00000020">
            <w:pPr>
              <w:rPr>
                <w:color w:val="0b0c0c"/>
                <w:highlight w:val="white"/>
              </w:rPr>
            </w:pPr>
            <w:r w:rsidDel="00000000" w:rsidR="00000000" w:rsidRPr="00000000">
              <w:rPr>
                <w:rtl w:val="0"/>
              </w:rPr>
            </w:r>
          </w:p>
          <w:p w:rsidR="00000000" w:rsidDel="00000000" w:rsidP="00000000" w:rsidRDefault="00000000" w:rsidRPr="00000000" w14:paraId="00000021">
            <w:pPr>
              <w:rPr>
                <w:color w:val="0b0c0c"/>
                <w:highlight w:val="white"/>
              </w:rPr>
            </w:pPr>
            <w:r w:rsidDel="00000000" w:rsidR="00000000" w:rsidRPr="00000000">
              <w:rPr>
                <w:color w:val="0b0c0c"/>
                <w:highlight w:val="white"/>
                <w:rtl w:val="0"/>
              </w:rPr>
              <w:t xml:space="preserve">Schools’ allocations will be calculated on a per pupil basis, providing each mainstream school with a total of £80 for each pupil in years reception through to 6.</w:t>
            </w:r>
          </w:p>
          <w:p w:rsidR="00000000" w:rsidDel="00000000" w:rsidP="00000000" w:rsidRDefault="00000000" w:rsidRPr="00000000" w14:paraId="00000022">
            <w:pPr>
              <w:rPr>
                <w:color w:val="0b0c0c"/>
                <w:highlight w:val="white"/>
              </w:rPr>
            </w:pPr>
            <w:r w:rsidDel="00000000" w:rsidR="00000000" w:rsidRPr="00000000">
              <w:rPr>
                <w:rtl w:val="0"/>
              </w:rPr>
            </w:r>
          </w:p>
          <w:p w:rsidR="00000000" w:rsidDel="00000000" w:rsidP="00000000" w:rsidRDefault="00000000" w:rsidRPr="00000000" w14:paraId="00000023">
            <w:pPr>
              <w:rPr>
                <w:color w:val="0b0c0c"/>
                <w:highlight w:val="white"/>
              </w:rPr>
            </w:pPr>
            <w:r w:rsidDel="00000000" w:rsidR="00000000" w:rsidRPr="00000000">
              <w:rPr>
                <w:color w:val="0b0c0c"/>
                <w:highlight w:val="white"/>
                <w:rtl w:val="0"/>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rsidR="00000000" w:rsidDel="00000000" w:rsidP="00000000" w:rsidRDefault="00000000" w:rsidRPr="00000000" w14:paraId="00000024">
            <w:pPr>
              <w:rPr>
                <w:color w:val="0b0c0c"/>
                <w:highlight w:val="white"/>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rPr>
          <w:trHeight w:val="346" w:hRule="atLeast"/>
        </w:trPr>
        <w:tc>
          <w:tcPr>
            <w:gridSpan w:val="2"/>
            <w:shd w:fill="808080" w:val="clear"/>
            <w:tcMar>
              <w:top w:w="57.0" w:type="dxa"/>
              <w:bottom w:w="57.0" w:type="dxa"/>
            </w:tcMar>
          </w:tcPr>
          <w:p w:rsidR="00000000" w:rsidDel="00000000" w:rsidP="00000000" w:rsidRDefault="00000000" w:rsidRPr="00000000" w14:paraId="00000027">
            <w:pPr>
              <w:spacing w:after="160" w:line="259" w:lineRule="auto"/>
              <w:rPr>
                <w:b w:val="1"/>
                <w:sz w:val="24"/>
                <w:szCs w:val="24"/>
              </w:rPr>
            </w:pPr>
            <w:bookmarkStart w:colFirst="0" w:colLast="0" w:name="_heading=h.1t3h5sf" w:id="7"/>
            <w:bookmarkEnd w:id="7"/>
            <w:r w:rsidDel="00000000" w:rsidR="00000000" w:rsidRPr="00000000">
              <w:rPr>
                <w:b w:val="1"/>
                <w:color w:val="ffffff"/>
                <w:sz w:val="24"/>
                <w:szCs w:val="24"/>
                <w:rtl w:val="0"/>
              </w:rPr>
              <w:t xml:space="preserve">Priorities </w:t>
            </w:r>
            <w:r w:rsidDel="00000000" w:rsidR="00000000" w:rsidRPr="00000000">
              <w:rPr>
                <w:rtl w:val="0"/>
              </w:rPr>
            </w:r>
          </w:p>
        </w:tc>
      </w:tr>
      <w:tr>
        <w:trPr>
          <w:trHeight w:val="755" w:hRule="atLeast"/>
        </w:trPr>
        <w:tc>
          <w:tcPr>
            <w:gridSpan w:val="2"/>
            <w:tcMar>
              <w:top w:w="57.0" w:type="dxa"/>
              <w:bottom w:w="57.0" w:type="dxa"/>
            </w:tcMar>
          </w:tcPr>
          <w:p w:rsidR="00000000" w:rsidDel="00000000" w:rsidP="00000000" w:rsidRDefault="00000000" w:rsidRPr="00000000" w14:paraId="00000029">
            <w:pPr>
              <w:spacing w:after="160" w:line="259" w:lineRule="auto"/>
              <w:rPr/>
            </w:pPr>
            <w:bookmarkStart w:colFirst="0" w:colLast="0" w:name="_heading=h.4d34og8" w:id="8"/>
            <w:bookmarkEnd w:id="8"/>
            <w:r w:rsidDel="00000000" w:rsidR="00000000" w:rsidRPr="00000000">
              <w:rPr>
                <w:rtl w:val="0"/>
              </w:rPr>
              <w:t xml:space="preserve">Our priority is to welcome back all of our children safely, ensuring that children are happy to be back in school. </w:t>
            </w:r>
          </w:p>
          <w:p w:rsidR="00000000" w:rsidDel="00000000" w:rsidP="00000000" w:rsidRDefault="00000000" w:rsidRPr="00000000" w14:paraId="0000002A">
            <w:pPr>
              <w:spacing w:after="160" w:line="259" w:lineRule="auto"/>
              <w:rPr>
                <w:b w:val="1"/>
              </w:rPr>
            </w:pPr>
            <w:r w:rsidDel="00000000" w:rsidR="00000000" w:rsidRPr="00000000">
              <w:rPr>
                <w:b w:val="1"/>
                <w:rtl w:val="0"/>
              </w:rPr>
              <w:t xml:space="preserve">Key priorities</w:t>
            </w:r>
          </w:p>
          <w:p w:rsidR="00000000" w:rsidDel="00000000" w:rsidP="00000000" w:rsidRDefault="00000000" w:rsidRPr="00000000" w14:paraId="0000002B">
            <w:pPr>
              <w:numPr>
                <w:ilvl w:val="0"/>
                <w:numId w:val="2"/>
              </w:numPr>
              <w:spacing w:line="259" w:lineRule="auto"/>
              <w:ind w:left="720" w:hanging="360"/>
              <w:rPr/>
            </w:pPr>
            <w:r w:rsidDel="00000000" w:rsidR="00000000" w:rsidRPr="00000000">
              <w:rPr>
                <w:rtl w:val="0"/>
              </w:rPr>
              <w:t xml:space="preserve">Nurture- building relationships, establishing routines and structures</w:t>
            </w:r>
          </w:p>
          <w:p w:rsidR="00000000" w:rsidDel="00000000" w:rsidP="00000000" w:rsidRDefault="00000000" w:rsidRPr="00000000" w14:paraId="0000002C">
            <w:pPr>
              <w:numPr>
                <w:ilvl w:val="0"/>
                <w:numId w:val="2"/>
              </w:numPr>
              <w:spacing w:line="259" w:lineRule="auto"/>
              <w:ind w:left="720" w:hanging="360"/>
              <w:rPr/>
            </w:pPr>
            <w:r w:rsidDel="00000000" w:rsidR="00000000" w:rsidRPr="00000000">
              <w:rPr>
                <w:rtl w:val="0"/>
              </w:rPr>
              <w:t xml:space="preserve">Catch up program for English and maths- addressing lost learning</w:t>
            </w:r>
          </w:p>
          <w:p w:rsidR="00000000" w:rsidDel="00000000" w:rsidP="00000000" w:rsidRDefault="00000000" w:rsidRPr="00000000" w14:paraId="0000002D">
            <w:pPr>
              <w:numPr>
                <w:ilvl w:val="0"/>
                <w:numId w:val="2"/>
              </w:numPr>
              <w:spacing w:after="160" w:line="259" w:lineRule="auto"/>
              <w:ind w:left="720" w:hanging="360"/>
              <w:rPr/>
            </w:pPr>
            <w:r w:rsidDel="00000000" w:rsidR="00000000" w:rsidRPr="00000000">
              <w:rPr>
                <w:rtl w:val="0"/>
              </w:rPr>
              <w:t xml:space="preserve">Ensure that all pupils have access to a full, rich and varied curriculum</w:t>
            </w:r>
          </w:p>
          <w:p w:rsidR="00000000" w:rsidDel="00000000" w:rsidP="00000000" w:rsidRDefault="00000000" w:rsidRPr="00000000" w14:paraId="0000002E">
            <w:pPr>
              <w:spacing w:after="160" w:line="259" w:lineRule="auto"/>
              <w:rPr/>
            </w:pPr>
            <w:r w:rsidDel="00000000" w:rsidR="00000000" w:rsidRPr="00000000">
              <w:rPr>
                <w:rtl w:val="0"/>
              </w:rPr>
            </w:r>
          </w:p>
          <w:p w:rsidR="00000000" w:rsidDel="00000000" w:rsidP="00000000" w:rsidRDefault="00000000" w:rsidRPr="00000000" w14:paraId="0000002F">
            <w:pPr>
              <w:spacing w:after="160" w:line="259" w:lineRule="auto"/>
              <w:rPr/>
            </w:pPr>
            <w:r w:rsidDel="00000000" w:rsidR="00000000" w:rsidRPr="00000000">
              <w:rPr>
                <w:rtl w:val="0"/>
              </w:rPr>
            </w:r>
          </w:p>
        </w:tc>
      </w:tr>
      <w:tr>
        <w:trPr>
          <w:trHeight w:val="332" w:hRule="atLeast"/>
        </w:trPr>
        <w:tc>
          <w:tcPr>
            <w:shd w:fill="a6a6a6" w:val="clear"/>
            <w:tcMar>
              <w:top w:w="57.0" w:type="dxa"/>
              <w:bottom w:w="57.0" w:type="dxa"/>
            </w:tcMar>
          </w:tcPr>
          <w:p w:rsidR="00000000" w:rsidDel="00000000" w:rsidP="00000000" w:rsidRDefault="00000000" w:rsidRPr="00000000" w14:paraId="00000031">
            <w:pPr>
              <w:rPr>
                <w:color w:val="ffffff"/>
                <w:sz w:val="24"/>
                <w:szCs w:val="24"/>
              </w:rPr>
            </w:pPr>
            <w:r w:rsidDel="00000000" w:rsidR="00000000" w:rsidRPr="00000000">
              <w:rPr>
                <w:b w:val="1"/>
                <w:color w:val="ffffff"/>
                <w:sz w:val="24"/>
                <w:szCs w:val="24"/>
                <w:rtl w:val="0"/>
              </w:rPr>
              <w:t xml:space="preserve">Use of Funds</w:t>
            </w:r>
            <w:r w:rsidDel="00000000" w:rsidR="00000000" w:rsidRPr="00000000">
              <w:rPr>
                <w:rtl w:val="0"/>
              </w:rPr>
            </w:r>
          </w:p>
        </w:tc>
        <w:tc>
          <w:tcPr>
            <w:shd w:fill="a6a6a6" w:val="clear"/>
          </w:tcPr>
          <w:p w:rsidR="00000000" w:rsidDel="00000000" w:rsidP="00000000" w:rsidRDefault="00000000" w:rsidRPr="00000000" w14:paraId="00000032">
            <w:pPr>
              <w:rPr>
                <w:b w:val="1"/>
                <w:color w:val="ffffff"/>
                <w:sz w:val="24"/>
                <w:szCs w:val="24"/>
              </w:rPr>
            </w:pPr>
            <w:r w:rsidDel="00000000" w:rsidR="00000000" w:rsidRPr="00000000">
              <w:rPr>
                <w:b w:val="1"/>
                <w:color w:val="ffffff"/>
                <w:sz w:val="24"/>
                <w:szCs w:val="24"/>
                <w:rtl w:val="0"/>
              </w:rPr>
              <w:t xml:space="preserve">EEF Recommendations</w:t>
            </w:r>
          </w:p>
        </w:tc>
      </w:tr>
      <w:tr>
        <w:trPr>
          <w:trHeight w:val="755" w:hRule="atLeast"/>
        </w:trPr>
        <w:tc>
          <w:tcPr>
            <w:tcMar>
              <w:top w:w="57.0" w:type="dxa"/>
              <w:bottom w:w="57.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rPr>
                <w:color w:val="0b0c0c"/>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rPr/>
            </w:pPr>
            <w:r w:rsidDel="00000000" w:rsidR="00000000" w:rsidRPr="00000000">
              <w:rPr>
                <w:rtl w:val="0"/>
              </w:rPr>
              <w:t xml:space="preserve">Schools should use this funding for specific activities to support their pupils to catch up for lost teaching over the previous months, and to build upon </w:t>
            </w:r>
            <w:hyperlink r:id="rId8">
              <w:r w:rsidDel="00000000" w:rsidR="00000000" w:rsidRPr="00000000">
                <w:rPr>
                  <w:rtl w:val="0"/>
                </w:rPr>
                <w:t xml:space="preserve">curriculum expectations for the next academic year</w:t>
              </w:r>
            </w:hyperlink>
            <w:r w:rsidDel="00000000" w:rsidR="00000000" w:rsidRPr="00000000">
              <w:rPr>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300" w:before="300" w:lineRule="auto"/>
              <w:rPr>
                <w:color w:val="0b0c0c"/>
              </w:rPr>
            </w:pPr>
            <w:r w:rsidDel="00000000" w:rsidR="00000000" w:rsidRPr="00000000">
              <w:rPr>
                <w:color w:val="0b0c0c"/>
                <w:rtl w:val="0"/>
              </w:rPr>
              <w:t xml:space="preserve">Schools have the flexibility to spend their funding in the best way for their cohort and circumstances.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rPr>
                <w:color w:val="0b0c0c"/>
              </w:rPr>
            </w:pPr>
            <w:r w:rsidDel="00000000" w:rsidR="00000000" w:rsidRPr="00000000">
              <w:rPr>
                <w:color w:val="0b0c0c"/>
                <w:rtl w:val="0"/>
              </w:rPr>
              <w:t xml:space="preserve">To support schools to make the best use of this funding, the Education Endowment Foundation (EEF) has published a </w:t>
            </w:r>
            <w:hyperlink r:id="rId9">
              <w:r w:rsidDel="00000000" w:rsidR="00000000" w:rsidRPr="00000000">
                <w:rPr>
                  <w:color w:val="4c2c92"/>
                  <w:u w:val="single"/>
                  <w:rtl w:val="0"/>
                </w:rPr>
                <w:t xml:space="preserve">coronavirus (COVID-19) support guide for schools</w:t>
              </w:r>
            </w:hyperlink>
            <w:r w:rsidDel="00000000" w:rsidR="00000000" w:rsidRPr="00000000">
              <w:rPr>
                <w:color w:val="0b0c0c"/>
                <w:rtl w:val="0"/>
              </w:rPr>
              <w:t xml:space="preserve"> with evidence-based approaches to catch up for all students. Schools should use this document to help them direct their additional funding in the most effective way.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EEF advises the following: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Teaching and whole school strategies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Supporting great teaching</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Pupil assessment and feedback </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Transition support</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Targeted approaches </w:t>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One to one and small group tuition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Intervention programmes </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Extended school time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Wider strategies </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Supporting parent and carers </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Access to technology </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ffffff" w:val="clear"/>
              <w:ind w:left="720" w:hanging="360"/>
              <w:rPr>
                <w:color w:val="0b0c0c"/>
              </w:rPr>
            </w:pPr>
            <w:r w:rsidDel="00000000" w:rsidR="00000000" w:rsidRPr="00000000">
              <w:rPr>
                <w:color w:val="000000"/>
                <w:rtl w:val="0"/>
              </w:rPr>
              <w:t xml:space="preserve">Summer support</w:t>
            </w:r>
            <w:r w:rsidDel="00000000" w:rsidR="00000000" w:rsidRPr="00000000">
              <w:rPr>
                <w:rtl w:val="0"/>
              </w:rPr>
            </w:r>
          </w:p>
        </w:tc>
      </w:tr>
    </w:tbl>
    <w:p w:rsidR="00000000" w:rsidDel="00000000" w:rsidP="00000000" w:rsidRDefault="00000000" w:rsidRPr="00000000" w14:paraId="0000004A">
      <w:pPr>
        <w:rPr>
          <w:sz w:val="16"/>
          <w:szCs w:val="16"/>
        </w:rPr>
      </w:pPr>
      <w:r w:rsidDel="00000000" w:rsidR="00000000" w:rsidRPr="00000000">
        <w:rPr>
          <w:rtl w:val="0"/>
        </w:rPr>
      </w:r>
    </w:p>
    <w:tbl>
      <w:tblPr>
        <w:tblStyle w:val="Table3"/>
        <w:tblW w:w="154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14145"/>
        <w:tblGridChange w:id="0">
          <w:tblGrid>
            <w:gridCol w:w="1271"/>
            <w:gridCol w:w="14145"/>
          </w:tblGrid>
        </w:tblGridChange>
      </w:tblGrid>
      <w:tr>
        <w:tc>
          <w:tcPr>
            <w:gridSpan w:val="2"/>
            <w:shd w:fill="c00000" w:val="clear"/>
            <w:tcMar>
              <w:top w:w="57.0" w:type="dxa"/>
              <w:bottom w:w="57.0" w:type="dxa"/>
            </w:tcMar>
          </w:tcPr>
          <w:p w:rsidR="00000000" w:rsidDel="00000000" w:rsidP="00000000" w:rsidRDefault="00000000" w:rsidRPr="00000000" w14:paraId="0000004B">
            <w:pPr>
              <w:rPr>
                <w:b w:val="1"/>
                <w:color w:val="ffffff"/>
                <w:sz w:val="24"/>
                <w:szCs w:val="24"/>
              </w:rPr>
            </w:pPr>
            <w:r w:rsidDel="00000000" w:rsidR="00000000" w:rsidRPr="00000000">
              <w:rPr>
                <w:b w:val="1"/>
                <w:color w:val="ffffff"/>
                <w:sz w:val="24"/>
                <w:szCs w:val="24"/>
                <w:rtl w:val="0"/>
              </w:rPr>
              <w:t xml:space="preserve">Identified impact of lockdown</w:t>
            </w:r>
          </w:p>
        </w:tc>
      </w:tr>
      <w:tr>
        <w:tc>
          <w:tcPr>
            <w:tcMar>
              <w:top w:w="57.0" w:type="dxa"/>
              <w:bottom w:w="57.0" w:type="dxa"/>
            </w:tcMar>
          </w:tcPr>
          <w:p w:rsidR="00000000" w:rsidDel="00000000" w:rsidP="00000000" w:rsidRDefault="00000000" w:rsidRPr="00000000" w14:paraId="0000004D">
            <w:pPr>
              <w:tabs>
                <w:tab w:val="left" w:pos="75"/>
              </w:tabs>
              <w:rPr>
                <w:b w:val="1"/>
              </w:rPr>
            </w:pPr>
            <w:r w:rsidDel="00000000" w:rsidR="00000000" w:rsidRPr="00000000">
              <w:rPr>
                <w:rtl w:val="0"/>
              </w:rPr>
            </w:r>
          </w:p>
          <w:p w:rsidR="00000000" w:rsidDel="00000000" w:rsidP="00000000" w:rsidRDefault="00000000" w:rsidRPr="00000000" w14:paraId="0000004E">
            <w:pPr>
              <w:tabs>
                <w:tab w:val="left" w:pos="75"/>
              </w:tabs>
              <w:rPr>
                <w:b w:val="1"/>
              </w:rPr>
            </w:pPr>
            <w:r w:rsidDel="00000000" w:rsidR="00000000" w:rsidRPr="00000000">
              <w:rPr>
                <w:b w:val="1"/>
                <w:rtl w:val="0"/>
              </w:rPr>
              <w:t xml:space="preserve">Maths</w:t>
            </w:r>
          </w:p>
        </w:tc>
        <w:tc>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Specific content has been missed, leading to gaps in learning and stalled sequencing of journeys. Children still have an appetite for maths and lockdown has not affected their attitudes however they are quite simply, ‘behind’. </w:t>
            </w:r>
          </w:p>
          <w:p w:rsidR="00000000" w:rsidDel="00000000" w:rsidP="00000000" w:rsidRDefault="00000000" w:rsidRPr="00000000" w14:paraId="00000051">
            <w:pPr>
              <w:rPr/>
            </w:pPr>
            <w:r w:rsidDel="00000000" w:rsidR="00000000" w:rsidRPr="00000000">
              <w:rPr>
                <w:rtl w:val="0"/>
              </w:rPr>
              <w:t xml:space="preserve">Recall of basic skills has suffered – children are not able to recall addition facts, times tables and have forgotten once taught calculation strategies. </w:t>
            </w:r>
          </w:p>
          <w:p w:rsidR="00000000" w:rsidDel="00000000" w:rsidP="00000000" w:rsidRDefault="00000000" w:rsidRPr="00000000" w14:paraId="00000052">
            <w:pPr>
              <w:rPr/>
            </w:pPr>
            <w:r w:rsidDel="00000000" w:rsidR="00000000" w:rsidRPr="00000000">
              <w:rPr>
                <w:rtl w:val="0"/>
              </w:rPr>
              <w:t xml:space="preserve">Children have accessed home learning at different levels and to differing degrees of success. Vulnerable groups have not accessed learning to the same level as others causing the gap to widen. </w:t>
            </w:r>
          </w:p>
          <w:p w:rsidR="00000000" w:rsidDel="00000000" w:rsidP="00000000" w:rsidRDefault="00000000" w:rsidRPr="00000000" w14:paraId="00000053">
            <w:pPr>
              <w:rPr/>
            </w:pPr>
            <w:r w:rsidDel="00000000" w:rsidR="00000000" w:rsidRPr="00000000">
              <w:rPr>
                <w:rtl w:val="0"/>
              </w:rPr>
            </w:r>
          </w:p>
        </w:tc>
      </w:tr>
      <w:tr>
        <w:tc>
          <w:tcPr>
            <w:tcMar>
              <w:top w:w="57.0" w:type="dxa"/>
              <w:bottom w:w="57.0" w:type="dxa"/>
            </w:tcMar>
          </w:tcPr>
          <w:p w:rsidR="00000000" w:rsidDel="00000000" w:rsidP="00000000" w:rsidRDefault="00000000" w:rsidRPr="00000000" w14:paraId="00000054">
            <w:pPr>
              <w:tabs>
                <w:tab w:val="left" w:pos="75"/>
              </w:tabs>
              <w:rPr>
                <w:b w:val="1"/>
              </w:rPr>
            </w:pPr>
            <w:r w:rsidDel="00000000" w:rsidR="00000000" w:rsidRPr="00000000">
              <w:rPr>
                <w:rtl w:val="0"/>
              </w:rPr>
            </w:r>
          </w:p>
          <w:p w:rsidR="00000000" w:rsidDel="00000000" w:rsidP="00000000" w:rsidRDefault="00000000" w:rsidRPr="00000000" w14:paraId="00000055">
            <w:pPr>
              <w:tabs>
                <w:tab w:val="left" w:pos="75"/>
              </w:tabs>
              <w:rPr>
                <w:b w:val="1"/>
              </w:rPr>
            </w:pPr>
            <w:r w:rsidDel="00000000" w:rsidR="00000000" w:rsidRPr="00000000">
              <w:rPr>
                <w:b w:val="1"/>
                <w:rtl w:val="0"/>
              </w:rPr>
              <w:t xml:space="preserve">Writing</w:t>
            </w:r>
          </w:p>
        </w:tc>
        <w:tc>
          <w:tcPr/>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Children have lost essential practising of writing skills. Assessments show that grammar, punctuation and spelling have particularly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 Handwriting and stamina have also been identified as key factors to include in our catch up programme.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tc>
      </w:tr>
      <w:tr>
        <w:tc>
          <w:tcPr>
            <w:tcMar>
              <w:top w:w="57.0" w:type="dxa"/>
              <w:bottom w:w="57.0" w:type="dxa"/>
            </w:tcMar>
          </w:tcPr>
          <w:p w:rsidR="00000000" w:rsidDel="00000000" w:rsidP="00000000" w:rsidRDefault="00000000" w:rsidRPr="00000000" w14:paraId="0000005C">
            <w:pPr>
              <w:tabs>
                <w:tab w:val="left" w:pos="75"/>
              </w:tabs>
              <w:rPr>
                <w:b w:val="1"/>
              </w:rPr>
            </w:pPr>
            <w:r w:rsidDel="00000000" w:rsidR="00000000" w:rsidRPr="00000000">
              <w:rPr>
                <w:rtl w:val="0"/>
              </w:rPr>
            </w:r>
          </w:p>
          <w:p w:rsidR="00000000" w:rsidDel="00000000" w:rsidP="00000000" w:rsidRDefault="00000000" w:rsidRPr="00000000" w14:paraId="0000005D">
            <w:pPr>
              <w:tabs>
                <w:tab w:val="left" w:pos="75"/>
              </w:tabs>
              <w:rPr>
                <w:b w:val="1"/>
              </w:rPr>
            </w:pPr>
            <w:r w:rsidDel="00000000" w:rsidR="00000000" w:rsidRPr="00000000">
              <w:rPr>
                <w:b w:val="1"/>
                <w:rtl w:val="0"/>
              </w:rPr>
              <w:t xml:space="preserve">Reading</w:t>
            </w:r>
          </w:p>
        </w:tc>
        <w:tc>
          <w:tcPr/>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w:t>
            </w:r>
          </w:p>
          <w:p w:rsidR="00000000" w:rsidDel="00000000" w:rsidP="00000000" w:rsidRDefault="00000000" w:rsidRPr="00000000" w14:paraId="00000060">
            <w:pPr>
              <w:rPr/>
            </w:pPr>
            <w:r w:rsidDel="00000000" w:rsidR="00000000" w:rsidRPr="00000000">
              <w:rPr>
                <w:rtl w:val="0"/>
              </w:rPr>
            </w:r>
          </w:p>
        </w:tc>
      </w:tr>
      <w:tr>
        <w:tc>
          <w:tcPr>
            <w:tcMar>
              <w:top w:w="57.0" w:type="dxa"/>
              <w:bottom w:w="57.0" w:type="dxa"/>
            </w:tcMar>
          </w:tcPr>
          <w:p w:rsidR="00000000" w:rsidDel="00000000" w:rsidP="00000000" w:rsidRDefault="00000000" w:rsidRPr="00000000" w14:paraId="00000061">
            <w:pPr>
              <w:tabs>
                <w:tab w:val="left" w:pos="75"/>
              </w:tabs>
              <w:rPr>
                <w:b w:val="1"/>
              </w:rPr>
            </w:pPr>
            <w:r w:rsidDel="00000000" w:rsidR="00000000" w:rsidRPr="00000000">
              <w:rPr>
                <w:rtl w:val="0"/>
              </w:rPr>
            </w:r>
          </w:p>
          <w:p w:rsidR="00000000" w:rsidDel="00000000" w:rsidP="00000000" w:rsidRDefault="00000000" w:rsidRPr="00000000" w14:paraId="00000062">
            <w:pPr>
              <w:tabs>
                <w:tab w:val="left" w:pos="75"/>
              </w:tabs>
              <w:rPr>
                <w:b w:val="1"/>
              </w:rPr>
            </w:pPr>
            <w:r w:rsidDel="00000000" w:rsidR="00000000" w:rsidRPr="00000000">
              <w:rPr>
                <w:b w:val="1"/>
                <w:rtl w:val="0"/>
              </w:rPr>
              <w:t xml:space="preserve">Non-core</w:t>
            </w:r>
          </w:p>
        </w:tc>
        <w:tc>
          <w:tcPr/>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This is particularly the case in History and RE. Children have also missed out on the curriculum experiences e.g. trips, visitors and powerful curriculum moments. Social and emotional support has been identified as a key priority due to the lack of interaction with peers over lockdown. Anxiousness about returning to school is a key priority also. </w:t>
            </w:r>
          </w:p>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br w:type="page"/>
      </w:r>
      <w:r w:rsidDel="00000000" w:rsidR="00000000" w:rsidRPr="00000000">
        <w:rPr>
          <w:rtl w:val="0"/>
        </w:rPr>
      </w:r>
    </w:p>
    <w:tbl>
      <w:tblPr>
        <w:tblStyle w:val="Table4"/>
        <w:tblW w:w="151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3544"/>
        <w:gridCol w:w="3078"/>
        <w:gridCol w:w="1125"/>
        <w:gridCol w:w="1155"/>
        <w:tblGridChange w:id="0">
          <w:tblGrid>
            <w:gridCol w:w="6232"/>
            <w:gridCol w:w="3544"/>
            <w:gridCol w:w="3078"/>
            <w:gridCol w:w="1125"/>
            <w:gridCol w:w="1155"/>
          </w:tblGrid>
        </w:tblGridChange>
      </w:tblGrid>
      <w:tr>
        <w:tc>
          <w:tcPr>
            <w:gridSpan w:val="5"/>
            <w:shd w:fill="c00000" w:val="clear"/>
            <w:tcMar>
              <w:top w:w="57.0" w:type="dxa"/>
              <w:bottom w:w="57.0" w:type="dxa"/>
            </w:tcMar>
          </w:tcPr>
          <w:p w:rsidR="00000000" w:rsidDel="00000000" w:rsidP="00000000" w:rsidRDefault="00000000" w:rsidRPr="00000000" w14:paraId="00000067">
            <w:pPr>
              <w:rPr>
                <w:color w:val="ffffff"/>
                <w:sz w:val="20"/>
                <w:szCs w:val="20"/>
              </w:rPr>
            </w:pPr>
            <w:r w:rsidDel="00000000" w:rsidR="00000000" w:rsidRPr="00000000">
              <w:rPr>
                <w:b w:val="1"/>
                <w:color w:val="ffffff"/>
                <w:rtl w:val="0"/>
              </w:rPr>
              <w:t xml:space="preserve">Planned expenditure - </w:t>
            </w:r>
            <w:r w:rsidDel="00000000" w:rsidR="00000000" w:rsidRPr="00000000">
              <w:rPr>
                <w:color w:val="ffffff"/>
                <w:sz w:val="20"/>
                <w:szCs w:val="20"/>
                <w:rtl w:val="0"/>
              </w:rPr>
              <w:t xml:space="preserve">The headings below are grouped into the categories outlined in the Education Endowment Foundation’s coronavirus support guide for schools)</w:t>
            </w:r>
          </w:p>
        </w:tc>
      </w:tr>
      <w:tr>
        <w:tc>
          <w:tcPr>
            <w:gridSpan w:val="5"/>
            <w:shd w:fill="d9d9d9" w:val="clear"/>
            <w:tcMar>
              <w:top w:w="57.0" w:type="dxa"/>
              <w:bottom w:w="57.0" w:type="dxa"/>
            </w:tcMar>
          </w:tcPr>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ind w:left="426" w:hanging="142"/>
              <w:rPr>
                <w:b w:val="1"/>
                <w:color w:val="000000"/>
                <w:sz w:val="20"/>
                <w:szCs w:val="20"/>
              </w:rPr>
            </w:pPr>
            <w:r w:rsidDel="00000000" w:rsidR="00000000" w:rsidRPr="00000000">
              <w:rPr>
                <w:b w:val="1"/>
                <w:color w:val="000000"/>
                <w:sz w:val="20"/>
                <w:szCs w:val="20"/>
                <w:rtl w:val="0"/>
              </w:rPr>
              <w:t xml:space="preserve">Teaching and whole-school strategies</w:t>
            </w:r>
          </w:p>
        </w:tc>
      </w:tr>
      <w:tr>
        <w:trPr>
          <w:trHeight w:val="289" w:hRule="atLeast"/>
        </w:trPr>
        <w:tc>
          <w:tcPr>
            <w:tcMar>
              <w:top w:w="57.0" w:type="dxa"/>
              <w:bottom w:w="57.0" w:type="dxa"/>
            </w:tcMar>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Desired outcome</w:t>
            </w:r>
          </w:p>
        </w:tc>
        <w:tc>
          <w:tcPr>
            <w:tcMar>
              <w:top w:w="57.0" w:type="dxa"/>
              <w:bottom w:w="57.0" w:type="dxa"/>
            </w:tcMar>
          </w:tcPr>
          <w:p w:rsidR="00000000" w:rsidDel="00000000" w:rsidP="00000000" w:rsidRDefault="00000000" w:rsidRPr="00000000" w14:paraId="00000072">
            <w:pPr>
              <w:rPr>
                <w:b w:val="1"/>
                <w:sz w:val="20"/>
                <w:szCs w:val="20"/>
              </w:rPr>
            </w:pPr>
            <w:r w:rsidDel="00000000" w:rsidR="00000000" w:rsidRPr="00000000">
              <w:rPr>
                <w:b w:val="1"/>
                <w:sz w:val="20"/>
                <w:szCs w:val="20"/>
                <w:rtl w:val="0"/>
              </w:rPr>
              <w:t xml:space="preserve">Chosen approach and anticipated cost</w:t>
            </w:r>
          </w:p>
        </w:tc>
        <w:tc>
          <w:tcPr>
            <w:shd w:fill="auto" w:val="clear"/>
            <w:tcMar>
              <w:top w:w="57.0" w:type="dxa"/>
              <w:bottom w:w="57.0" w:type="dxa"/>
            </w:tcMar>
          </w:tcPr>
          <w:p w:rsidR="00000000" w:rsidDel="00000000" w:rsidP="00000000" w:rsidRDefault="00000000" w:rsidRPr="00000000" w14:paraId="00000073">
            <w:pPr>
              <w:rPr>
                <w:b w:val="1"/>
                <w:sz w:val="20"/>
                <w:szCs w:val="20"/>
              </w:rPr>
            </w:pPr>
            <w:r w:rsidDel="00000000" w:rsidR="00000000" w:rsidRPr="00000000">
              <w:rPr>
                <w:b w:val="1"/>
                <w:sz w:val="20"/>
                <w:szCs w:val="20"/>
                <w:rtl w:val="0"/>
              </w:rPr>
              <w:t xml:space="preserve">Impact (once reviewed)</w:t>
            </w:r>
          </w:p>
        </w:tc>
        <w:tc>
          <w:tcPr>
            <w:shd w:fill="auto" w:val="clear"/>
            <w:tcMar>
              <w:top w:w="57.0" w:type="dxa"/>
              <w:bottom w:w="57.0" w:type="dxa"/>
            </w:tcMar>
          </w:tcPr>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Staff lead</w:t>
            </w:r>
          </w:p>
        </w:tc>
        <w:tc>
          <w:tcPr/>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Review date?</w:t>
            </w:r>
          </w:p>
        </w:tc>
      </w:tr>
      <w:tr>
        <w:tc>
          <w:tcPr>
            <w:tcMar>
              <w:top w:w="57.0" w:type="dxa"/>
              <w:bottom w:w="57.0" w:type="dxa"/>
            </w:tcMar>
          </w:tcPr>
          <w:p w:rsidR="00000000" w:rsidDel="00000000" w:rsidP="00000000" w:rsidRDefault="00000000" w:rsidRPr="00000000" w14:paraId="00000076">
            <w:pPr>
              <w:rPr>
                <w:sz w:val="20"/>
                <w:szCs w:val="20"/>
                <w:u w:val="single"/>
              </w:rPr>
            </w:pPr>
            <w:r w:rsidDel="00000000" w:rsidR="00000000" w:rsidRPr="00000000">
              <w:rPr>
                <w:sz w:val="20"/>
                <w:szCs w:val="20"/>
                <w:u w:val="single"/>
                <w:rtl w:val="0"/>
              </w:rPr>
              <w:t xml:space="preserve">Supporting great teaching:</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(re-establish) expectations and revisit basics</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Maths taught as discrete year groups using the White Rose programme (use of Teaching assistants)</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White Rose Maths booklets, which align with the online learning. This will mean that if pupils have to self-isolate or if a bubble is sent home, learning for maths will be seamless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 Big Maths including 1:1 intervention for all children as additional lessons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warm ups to address and keep revisiting objectives and key learning from previous year- flash forward 4 in maths and create own for English and other areas of the curriculum.</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focus on reading (5 times), spellings (Spelling Shed) and times tables (TTRS)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CGP homework for Year 6 and Year 2  from week </w:t>
            </w:r>
            <w:r w:rsidDel="00000000" w:rsidR="00000000" w:rsidRPr="00000000">
              <w:rPr>
                <w:rtl w:val="0"/>
              </w:rPr>
              <w:t xml:space="preserve">3</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and small group catch up programme across school for children with identified needs</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Despite the limitations placed on schools in terms of use of physical resources and the sharing of them, manipulatives are accessed regularly in Maths. These have been updated in line with our maths schemes of work.</w:t>
            </w:r>
            <w:r w:rsidDel="00000000" w:rsidR="00000000" w:rsidRPr="00000000">
              <w:rPr>
                <w:rtl w:val="0"/>
              </w:rPr>
            </w:r>
          </w:p>
        </w:tc>
        <w:tc>
          <w:tcPr>
            <w:tcMar>
              <w:top w:w="57.0" w:type="dxa"/>
              <w:bottom w:w="57.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i w:val="1"/>
                <w:color w:val="00000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color w:val="000000"/>
                <w:rtl w:val="0"/>
              </w:rPr>
              <w:t xml:space="preserve">T</w:t>
            </w:r>
            <w:r w:rsidDel="00000000" w:rsidR="00000000" w:rsidRPr="00000000">
              <w:rPr>
                <w:rtl w:val="0"/>
              </w:rPr>
              <w:t xml:space="preserve">A support for mixed year groups to </w:t>
            </w:r>
            <w:r w:rsidDel="00000000" w:rsidR="00000000" w:rsidRPr="00000000">
              <w:rPr>
                <w:color w:val="000000"/>
                <w:rtl w:val="0"/>
              </w:rPr>
              <w:t xml:space="preserve"> </w:t>
            </w:r>
            <w:r w:rsidDel="00000000" w:rsidR="00000000" w:rsidRPr="00000000">
              <w:rPr>
                <w:rtl w:val="0"/>
              </w:rPr>
              <w:t xml:space="preserve">allow teaching of single year groups throughout the week to support plugging of gaps and catch up -  </w:t>
            </w:r>
          </w:p>
          <w:p w:rsidR="00000000" w:rsidDel="00000000" w:rsidP="00000000" w:rsidRDefault="00000000" w:rsidRPr="00000000" w14:paraId="00000084">
            <w:pPr>
              <w:pBdr>
                <w:top w:space="0" w:sz="0" w:val="nil"/>
                <w:left w:space="0" w:sz="0" w:val="nil"/>
                <w:bottom w:space="0" w:sz="0" w:val="nil"/>
                <w:right w:space="0" w:sz="0" w:val="nil"/>
                <w:between w:space="0" w:sz="0" w:val="nil"/>
              </w:pBdr>
              <w:rPr>
                <w:color w:val="ff0000"/>
              </w:rPr>
            </w:pPr>
            <w:r w:rsidDel="00000000" w:rsidR="00000000" w:rsidRPr="00000000">
              <w:rPr>
                <w:rtl w:val="0"/>
              </w:rPr>
              <w:t xml:space="preserve">1 TA x 5 days </w:t>
            </w:r>
            <w:r w:rsidDel="00000000" w:rsidR="00000000" w:rsidRPr="00000000">
              <w:rPr>
                <w:color w:val="ff0000"/>
                <w:rtl w:val="0"/>
              </w:rPr>
              <w:t xml:space="preserve">(£2850 catch up)</w:t>
            </w:r>
          </w:p>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ff0000"/>
              </w:rPr>
            </w:pPr>
            <w:r w:rsidDel="00000000" w:rsidR="00000000" w:rsidRPr="00000000">
              <w:rPr>
                <w:rtl w:val="0"/>
              </w:rPr>
              <w:t xml:space="preserve">1 TA x 4 days</w:t>
            </w:r>
            <w:r w:rsidDel="00000000" w:rsidR="00000000" w:rsidRPr="00000000">
              <w:rPr>
                <w:color w:val="ff0000"/>
                <w:rtl w:val="0"/>
              </w:rPr>
              <w:t xml:space="preserve"> (£2280 catch up)</w:t>
            </w:r>
          </w:p>
          <w:p w:rsidR="00000000" w:rsidDel="00000000" w:rsidP="00000000" w:rsidRDefault="00000000" w:rsidRPr="00000000" w14:paraId="00000086">
            <w:pPr>
              <w:pBdr>
                <w:top w:space="0" w:sz="0" w:val="nil"/>
                <w:left w:space="0" w:sz="0" w:val="nil"/>
                <w:bottom w:space="0" w:sz="0" w:val="nil"/>
                <w:right w:space="0" w:sz="0" w:val="nil"/>
                <w:between w:space="0" w:sz="0" w:val="nil"/>
              </w:pBdr>
              <w:rPr/>
            </w:pPr>
            <w:r w:rsidDel="00000000" w:rsidR="00000000" w:rsidRPr="00000000">
              <w:rPr>
                <w:rtl w:val="0"/>
              </w:rPr>
              <w:t xml:space="preserve">1 TA 5 x days - school budget (£28</w:t>
            </w:r>
            <w:r w:rsidDel="00000000" w:rsidR="00000000" w:rsidRPr="00000000">
              <w:rPr>
                <w:rtl w:val="0"/>
              </w:rPr>
              <w:t xml:space="preserve">50)</w:t>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jc w:val="right"/>
              <w:rPr>
                <w:color w:val="ff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right"/>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left"/>
              <w:rPr/>
            </w:pPr>
            <w:r w:rsidDel="00000000" w:rsidR="00000000" w:rsidRPr="00000000">
              <w:rPr>
                <w:rtl w:val="0"/>
              </w:rPr>
              <w:t xml:space="preserve">Daily small group/ 1:1  intervention for individual specific needs across the school (2 x TA 1 hr per day 3 days per week).</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left"/>
              <w:rPr>
                <w:color w:val="ff0000"/>
              </w:rPr>
            </w:pPr>
            <w:r w:rsidDel="00000000" w:rsidR="00000000" w:rsidRPr="00000000">
              <w:rPr>
                <w:color w:val="ff0000"/>
                <w:rtl w:val="0"/>
              </w:rPr>
              <w:t xml:space="preserve">(£1710 1xTA catch up)</w:t>
            </w:r>
          </w:p>
          <w:p w:rsidR="00000000" w:rsidDel="00000000" w:rsidP="00000000" w:rsidRDefault="00000000" w:rsidRPr="00000000" w14:paraId="0000008C">
            <w:pPr>
              <w:rPr/>
            </w:pPr>
            <w:r w:rsidDel="00000000" w:rsidR="00000000" w:rsidRPr="00000000">
              <w:rPr>
                <w:rtl w:val="0"/>
              </w:rPr>
              <w:t xml:space="preserve">(£1710 1xTA school budget)</w:t>
            </w:r>
          </w:p>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right"/>
              <w:rPr>
                <w:color w:val="ff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right"/>
              <w:rPr>
                <w:color w:val="ff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pPr>
            <w:r w:rsidDel="00000000" w:rsidR="00000000" w:rsidRPr="00000000">
              <w:rPr>
                <w:rtl w:val="0"/>
              </w:rPr>
              <w:t xml:space="preserve">CGP Books for English and Maths (Years 2 and 6) </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right"/>
              <w:rPr>
                <w:color w:val="ff0000"/>
              </w:rPr>
            </w:pPr>
            <w:r w:rsidDel="00000000" w:rsidR="00000000" w:rsidRPr="00000000">
              <w:rPr>
                <w:color w:val="ff0000"/>
                <w:rtl w:val="0"/>
              </w:rPr>
              <w:t xml:space="preserve">(£220 catch up)</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right"/>
              <w:rPr>
                <w:color w:val="ff0000"/>
              </w:rPr>
            </w:pPr>
            <w:r w:rsidDel="00000000" w:rsidR="00000000" w:rsidRPr="00000000">
              <w:rPr>
                <w:color w:val="ff0000"/>
                <w:rtl w:val="0"/>
              </w:rPr>
              <w:t xml:space="preserve"> </w:t>
            </w:r>
          </w:p>
          <w:p w:rsidR="00000000" w:rsidDel="00000000" w:rsidP="00000000" w:rsidRDefault="00000000" w:rsidRPr="00000000" w14:paraId="00000093">
            <w:pPr>
              <w:pBdr>
                <w:top w:space="0" w:sz="0" w:val="nil"/>
                <w:left w:space="0" w:sz="0" w:val="nil"/>
                <w:bottom w:space="0" w:sz="0" w:val="nil"/>
                <w:right w:space="0" w:sz="0" w:val="nil"/>
                <w:between w:space="0" w:sz="0" w:val="nil"/>
              </w:pBdr>
              <w:jc w:val="right"/>
              <w:rPr>
                <w:b w:val="1"/>
                <w:i w:val="1"/>
                <w:color w:val="000000"/>
                <w:sz w:val="20"/>
                <w:szCs w:val="20"/>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094">
            <w:pPr>
              <w:rPr>
                <w:sz w:val="20"/>
                <w:szCs w:val="20"/>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EB</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rPr>
                <w:sz w:val="20"/>
                <w:szCs w:val="20"/>
              </w:rPr>
            </w:pPr>
            <w:r w:rsidDel="00000000" w:rsidR="00000000" w:rsidRPr="00000000">
              <w:rPr>
                <w:rtl w:val="0"/>
              </w:rPr>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rPr>
                <w:sz w:val="20"/>
                <w:szCs w:val="20"/>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rPr>
                <w:sz w:val="20"/>
                <w:szCs w:val="20"/>
              </w:rPr>
            </w:pPr>
            <w:r w:rsidDel="00000000" w:rsidR="00000000" w:rsidRPr="00000000">
              <w:rPr>
                <w:sz w:val="20"/>
                <w:szCs w:val="20"/>
                <w:rtl w:val="0"/>
              </w:rPr>
              <w:t xml:space="preserve">Feb 21</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tc>
      </w:tr>
      <w:tr>
        <w:tc>
          <w:tcPr>
            <w:tcMar>
              <w:top w:w="57.0" w:type="dxa"/>
              <w:bottom w:w="57.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u w:val="single"/>
                <w:rtl w:val="0"/>
              </w:rPr>
              <w:t xml:space="preserve">Teaching assessment and feedback</w:t>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Teachers have a very clear understanding of what gaps in learning remain and use this to inform assessments of learning that are aligned with standardised norms, giving a greater degree in confidence and accuracy of assessments. </w:t>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KS2 PM benchmarks- to baseline reading book band (home readers) and highlight gaps in comprehension</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KS1 Phonics- to highlight phases and specific sounds in which to focus</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Spelling assessment of previous phases’ key words- target cards for pupils</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Big Maths and Timetables Rock stars- baseline and teach gaps</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W/C 12/10/2020- use of NFER assessments from Summer Term e.g. Y5 to complete NFER Summer Y4 etc. Y2 and Y1 to complete another phonics assessment but then use teacher assessment for writing and maths. (If the class teacher is unsure then they could use PM benchmarks for reading).</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pupils, groups and focus for targeted intervention. The aim of the intervention is to address gaps.</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unit White Rose maths assessments</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formative and summative assessment each half term.</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sz w:val="20"/>
                <w:szCs w:val="20"/>
                <w:highlight w:val="yellow"/>
              </w:rPr>
            </w:pPr>
            <w:r w:rsidDel="00000000" w:rsidR="00000000" w:rsidRPr="00000000">
              <w:rPr>
                <w:rtl w:val="0"/>
              </w:rPr>
            </w:r>
          </w:p>
        </w:tc>
        <w:tc>
          <w:tcPr>
            <w:tcMar>
              <w:top w:w="57.0" w:type="dxa"/>
              <w:bottom w:w="57.0" w:type="dxa"/>
            </w:tcMar>
          </w:tcPr>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Purchase and completion of NFER End of Year Assessments </w:t>
            </w:r>
          </w:p>
          <w:p w:rsidR="00000000" w:rsidDel="00000000" w:rsidP="00000000" w:rsidRDefault="00000000" w:rsidRPr="00000000" w14:paraId="000000B8">
            <w:pPr>
              <w:pBdr>
                <w:top w:space="0" w:sz="0" w:val="nil"/>
                <w:left w:space="0" w:sz="0" w:val="nil"/>
                <w:bottom w:space="0" w:sz="0" w:val="nil"/>
                <w:right w:space="0" w:sz="0" w:val="nil"/>
                <w:between w:space="0" w:sz="0" w:val="nil"/>
              </w:pBdr>
              <w:jc w:val="right"/>
              <w:rPr>
                <w:color w:val="ff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jc w:val="right"/>
              <w:rPr/>
            </w:pPr>
            <w:r w:rsidDel="00000000" w:rsidR="00000000" w:rsidRPr="00000000">
              <w:rPr>
                <w:rtl w:val="0"/>
              </w:rPr>
              <w:t xml:space="preserve">(£450 from Budget)</w:t>
            </w:r>
          </w:p>
          <w:p w:rsidR="00000000" w:rsidDel="00000000" w:rsidP="00000000" w:rsidRDefault="00000000" w:rsidRPr="00000000" w14:paraId="000000BA">
            <w:pPr>
              <w:pBdr>
                <w:top w:space="0" w:sz="0" w:val="nil"/>
                <w:left w:space="0" w:sz="0" w:val="nil"/>
                <w:bottom w:space="0" w:sz="0" w:val="nil"/>
                <w:right w:space="0" w:sz="0" w:val="nil"/>
                <w:between w:space="0" w:sz="0" w:val="nil"/>
              </w:pBdr>
              <w:jc w:val="right"/>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jc w:val="right"/>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Purchase of White Rose maths workbooks to ensure high quality maths delivery and a consistent approach through home learning. </w:t>
            </w:r>
          </w:p>
          <w:p w:rsidR="00000000" w:rsidDel="00000000" w:rsidP="00000000" w:rsidRDefault="00000000" w:rsidRPr="00000000" w14:paraId="000000BE">
            <w:pPr>
              <w:pBdr>
                <w:top w:space="0" w:sz="0" w:val="nil"/>
                <w:left w:space="0" w:sz="0" w:val="nil"/>
                <w:bottom w:space="0" w:sz="0" w:val="nil"/>
                <w:right w:space="0" w:sz="0" w:val="nil"/>
                <w:between w:space="0" w:sz="0" w:val="nil"/>
              </w:pBdr>
              <w:jc w:val="right"/>
              <w:rPr>
                <w:color w:val="ff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jc w:val="right"/>
              <w:rPr>
                <w:color w:val="ff0000"/>
              </w:rPr>
            </w:pPr>
            <w:r w:rsidDel="00000000" w:rsidR="00000000" w:rsidRPr="00000000">
              <w:rPr>
                <w:color w:val="ff0000"/>
                <w:rtl w:val="0"/>
              </w:rPr>
              <w:t xml:space="preserve"> (£900 for the whole school year catch up)</w:t>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c>
        <w:tc>
          <w:tcPr>
            <w:tcMar>
              <w:top w:w="57.0" w:type="dxa"/>
              <w:bottom w:w="57.0" w:type="dxa"/>
            </w:tcMar>
          </w:tcPr>
          <w:p w:rsidR="00000000" w:rsidDel="00000000" w:rsidP="00000000" w:rsidRDefault="00000000" w:rsidRPr="00000000" w14:paraId="000000C1">
            <w:pPr>
              <w:rPr>
                <w:sz w:val="20"/>
                <w:szCs w:val="20"/>
              </w:rPr>
            </w:pPr>
            <w:r w:rsidDel="00000000" w:rsidR="00000000" w:rsidRPr="00000000">
              <w:rPr>
                <w:rtl w:val="0"/>
              </w:rPr>
            </w:r>
          </w:p>
        </w:tc>
        <w:tc>
          <w:tcPr>
            <w:shd w:fill="auto" w:val="clear"/>
            <w:tcMar>
              <w:top w:w="57.0" w:type="dxa"/>
              <w:bottom w:w="57.0" w:type="dxa"/>
            </w:tcMar>
          </w:tcPr>
          <w:p w:rsidR="00000000" w:rsidDel="00000000" w:rsidP="00000000" w:rsidRDefault="00000000" w:rsidRPr="00000000" w14:paraId="000000C2">
            <w:pPr>
              <w:rPr>
                <w:sz w:val="20"/>
                <w:szCs w:val="20"/>
              </w:rPr>
            </w:pPr>
            <w:r w:rsidDel="00000000" w:rsidR="00000000" w:rsidRPr="00000000">
              <w:rPr>
                <w:rtl w:val="0"/>
              </w:rPr>
            </w:r>
          </w:p>
          <w:p w:rsidR="00000000" w:rsidDel="00000000" w:rsidP="00000000" w:rsidRDefault="00000000" w:rsidRPr="00000000" w14:paraId="000000C3">
            <w:pPr>
              <w:rPr>
                <w:sz w:val="20"/>
                <w:szCs w:val="20"/>
              </w:rPr>
            </w:pPr>
            <w:r w:rsidDel="00000000" w:rsidR="00000000" w:rsidRPr="00000000">
              <w:rPr>
                <w:sz w:val="20"/>
                <w:szCs w:val="20"/>
                <w:rtl w:val="0"/>
              </w:rPr>
              <w:t xml:space="preserve">EB</w:t>
            </w:r>
          </w:p>
        </w:tc>
        <w:tc>
          <w:tcPr>
            <w:shd w:fill="auto" w:val="clear"/>
          </w:tcPr>
          <w:p w:rsidR="00000000" w:rsidDel="00000000" w:rsidP="00000000" w:rsidRDefault="00000000" w:rsidRPr="00000000" w14:paraId="000000C4">
            <w:pPr>
              <w:rPr>
                <w:sz w:val="20"/>
                <w:szCs w:val="20"/>
              </w:rPr>
            </w:pPr>
            <w:r w:rsidDel="00000000" w:rsidR="00000000" w:rsidRPr="00000000">
              <w:rPr>
                <w:rtl w:val="0"/>
              </w:rPr>
            </w:r>
          </w:p>
          <w:p w:rsidR="00000000" w:rsidDel="00000000" w:rsidP="00000000" w:rsidRDefault="00000000" w:rsidRPr="00000000" w14:paraId="000000C5">
            <w:pPr>
              <w:rPr>
                <w:sz w:val="20"/>
                <w:szCs w:val="20"/>
              </w:rPr>
            </w:pPr>
            <w:r w:rsidDel="00000000" w:rsidR="00000000" w:rsidRPr="00000000">
              <w:rPr>
                <w:rtl w:val="0"/>
              </w:rPr>
            </w:r>
          </w:p>
          <w:p w:rsidR="00000000" w:rsidDel="00000000" w:rsidP="00000000" w:rsidRDefault="00000000" w:rsidRPr="00000000" w14:paraId="000000C6">
            <w:pPr>
              <w:rPr>
                <w:sz w:val="20"/>
                <w:szCs w:val="20"/>
              </w:rPr>
            </w:pPr>
            <w:r w:rsidDel="00000000" w:rsidR="00000000" w:rsidRPr="00000000">
              <w:rPr>
                <w:sz w:val="20"/>
                <w:szCs w:val="20"/>
                <w:rtl w:val="0"/>
              </w:rPr>
              <w:t xml:space="preserve">July 21</w:t>
            </w:r>
          </w:p>
        </w:tc>
      </w:tr>
      <w:tr>
        <w:trPr>
          <w:trHeight w:val="387" w:hRule="atLeast"/>
        </w:trPr>
        <w:tc>
          <w:tcPr>
            <w:gridSpan w:val="4"/>
            <w:tcMar>
              <w:top w:w="57.0" w:type="dxa"/>
              <w:bottom w:w="57.0" w:type="dxa"/>
            </w:tcMar>
          </w:tcPr>
          <w:p w:rsidR="00000000" w:rsidDel="00000000" w:rsidP="00000000" w:rsidRDefault="00000000" w:rsidRPr="00000000" w14:paraId="000000C7">
            <w:pPr>
              <w:jc w:val="right"/>
              <w:rPr>
                <w:sz w:val="20"/>
                <w:szCs w:val="20"/>
              </w:rPr>
            </w:pPr>
            <w:r w:rsidDel="00000000" w:rsidR="00000000" w:rsidRPr="00000000">
              <w:rPr>
                <w:b w:val="1"/>
                <w:sz w:val="20"/>
                <w:szCs w:val="20"/>
                <w:rtl w:val="0"/>
              </w:rPr>
              <w:t xml:space="preserve">Section</w:t>
            </w:r>
            <w:r w:rsidDel="00000000" w:rsidR="00000000" w:rsidRPr="00000000">
              <w:rPr>
                <w:b w:val="1"/>
                <w:sz w:val="20"/>
                <w:szCs w:val="20"/>
                <w:rtl w:val="0"/>
              </w:rPr>
              <w:t xml:space="preserve"> budgeted cost</w:t>
            </w:r>
            <w:r w:rsidDel="00000000" w:rsidR="00000000" w:rsidRPr="00000000">
              <w:rPr>
                <w:rtl w:val="0"/>
              </w:rPr>
            </w:r>
          </w:p>
        </w:tc>
        <w:tc>
          <w:tcPr/>
          <w:p w:rsidR="00000000" w:rsidDel="00000000" w:rsidP="00000000" w:rsidRDefault="00000000" w:rsidRPr="00000000" w14:paraId="000000CB">
            <w:pPr>
              <w:rPr>
                <w:b w:val="1"/>
                <w:sz w:val="20"/>
                <w:szCs w:val="20"/>
              </w:rPr>
            </w:pPr>
            <w:r w:rsidDel="00000000" w:rsidR="00000000" w:rsidRPr="00000000">
              <w:rPr>
                <w:b w:val="1"/>
                <w:sz w:val="20"/>
                <w:szCs w:val="20"/>
                <w:rtl w:val="0"/>
              </w:rPr>
              <w:t xml:space="preserve">£12,970</w:t>
            </w:r>
          </w:p>
        </w:tc>
      </w:tr>
    </w:tbl>
    <w:p w:rsidR="00000000" w:rsidDel="00000000" w:rsidP="00000000" w:rsidRDefault="00000000" w:rsidRPr="00000000" w14:paraId="000000CC">
      <w:pPr>
        <w:rPr>
          <w:sz w:val="18"/>
          <w:szCs w:val="18"/>
        </w:rPr>
      </w:pPr>
      <w:r w:rsidDel="00000000" w:rsidR="00000000" w:rsidRPr="00000000">
        <w:rPr>
          <w:rtl w:val="0"/>
        </w:rPr>
      </w:r>
    </w:p>
    <w:p w:rsidR="00000000" w:rsidDel="00000000" w:rsidP="00000000" w:rsidRDefault="00000000" w:rsidRPr="00000000" w14:paraId="000000CD">
      <w:pPr>
        <w:rPr>
          <w:sz w:val="18"/>
          <w:szCs w:val="18"/>
        </w:rPr>
      </w:pPr>
      <w:r w:rsidDel="00000000" w:rsidR="00000000" w:rsidRPr="00000000">
        <w:rPr>
          <w:rtl w:val="0"/>
        </w:rPr>
      </w:r>
    </w:p>
    <w:p w:rsidR="00000000" w:rsidDel="00000000" w:rsidP="00000000" w:rsidRDefault="00000000" w:rsidRPr="00000000" w14:paraId="000000CE">
      <w:pPr>
        <w:rPr>
          <w:sz w:val="18"/>
          <w:szCs w:val="18"/>
        </w:rPr>
      </w:pPr>
      <w:r w:rsidDel="00000000" w:rsidR="00000000" w:rsidRPr="00000000">
        <w:rPr>
          <w:rtl w:val="0"/>
        </w:rPr>
      </w:r>
    </w:p>
    <w:tbl>
      <w:tblPr>
        <w:tblStyle w:val="Table5"/>
        <w:tblW w:w="151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710"/>
        <w:gridCol w:w="3090"/>
        <w:gridCol w:w="1134"/>
        <w:gridCol w:w="1097"/>
        <w:tblGridChange w:id="0">
          <w:tblGrid>
            <w:gridCol w:w="5098"/>
            <w:gridCol w:w="4710"/>
            <w:gridCol w:w="3090"/>
            <w:gridCol w:w="1134"/>
            <w:gridCol w:w="1097"/>
          </w:tblGrid>
        </w:tblGridChange>
      </w:tblGrid>
      <w:tr>
        <w:trPr>
          <w:trHeight w:val="312" w:hRule="atLeast"/>
        </w:trPr>
        <w:tc>
          <w:tcPr>
            <w:gridSpan w:val="5"/>
            <w:shd w:fill="d9d9d9" w:val="clear"/>
            <w:tcMar>
              <w:top w:w="57.0" w:type="dxa"/>
              <w:bottom w:w="57.0" w:type="dxa"/>
            </w:tcMar>
          </w:tcPr>
          <w:p w:rsidR="00000000" w:rsidDel="00000000" w:rsidP="00000000" w:rsidRDefault="00000000" w:rsidRPr="00000000" w14:paraId="000000CF">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Targeted approaches</w:t>
            </w:r>
          </w:p>
        </w:tc>
      </w:tr>
      <w:tr>
        <w:tc>
          <w:tcPr>
            <w:tcMar>
              <w:top w:w="57.0" w:type="dxa"/>
              <w:bottom w:w="57.0" w:type="dxa"/>
            </w:tcMar>
          </w:tcPr>
          <w:p w:rsidR="00000000" w:rsidDel="00000000" w:rsidP="00000000" w:rsidRDefault="00000000" w:rsidRPr="00000000" w14:paraId="000000D4">
            <w:pPr>
              <w:rPr/>
            </w:pPr>
            <w:r w:rsidDel="00000000" w:rsidR="00000000" w:rsidRPr="00000000">
              <w:rPr>
                <w:rtl w:val="0"/>
              </w:rPr>
              <w:t xml:space="preserve">Desired outcome</w:t>
            </w:r>
          </w:p>
        </w:tc>
        <w:tc>
          <w:tcPr>
            <w:tcMar>
              <w:top w:w="57.0" w:type="dxa"/>
              <w:bottom w:w="57.0" w:type="dxa"/>
            </w:tcMar>
          </w:tcPr>
          <w:p w:rsidR="00000000" w:rsidDel="00000000" w:rsidP="00000000" w:rsidRDefault="00000000" w:rsidRPr="00000000" w14:paraId="000000D5">
            <w:pPr>
              <w:rPr/>
            </w:pPr>
            <w:r w:rsidDel="00000000" w:rsidR="00000000" w:rsidRPr="00000000">
              <w:rPr>
                <w:rtl w:val="0"/>
              </w:rPr>
              <w:t xml:space="preserve">Chosen action/approach</w:t>
            </w:r>
          </w:p>
        </w:tc>
        <w:tc>
          <w:tcPr>
            <w:tcMar>
              <w:top w:w="57.0" w:type="dxa"/>
              <w:bottom w:w="57.0" w:type="dxa"/>
            </w:tcMar>
          </w:tcPr>
          <w:p w:rsidR="00000000" w:rsidDel="00000000" w:rsidP="00000000" w:rsidRDefault="00000000" w:rsidRPr="00000000" w14:paraId="000000D6">
            <w:pPr>
              <w:rPr/>
            </w:pPr>
            <w:r w:rsidDel="00000000" w:rsidR="00000000" w:rsidRPr="00000000">
              <w:rPr>
                <w:rtl w:val="0"/>
              </w:rPr>
              <w:t xml:space="preserve">Impact (once reviewed)</w:t>
            </w:r>
          </w:p>
        </w:tc>
        <w:tc>
          <w:tcPr>
            <w:tcMar>
              <w:top w:w="57.0" w:type="dxa"/>
              <w:bottom w:w="57.0" w:type="dxa"/>
            </w:tcMar>
          </w:tcPr>
          <w:p w:rsidR="00000000" w:rsidDel="00000000" w:rsidP="00000000" w:rsidRDefault="00000000" w:rsidRPr="00000000" w14:paraId="000000D7">
            <w:pPr>
              <w:rPr/>
            </w:pPr>
            <w:r w:rsidDel="00000000" w:rsidR="00000000" w:rsidRPr="00000000">
              <w:rPr>
                <w:rtl w:val="0"/>
              </w:rPr>
              <w:t xml:space="preserve">Staff lead</w:t>
            </w:r>
          </w:p>
        </w:tc>
        <w:tc>
          <w:tcPr/>
          <w:p w:rsidR="00000000" w:rsidDel="00000000" w:rsidP="00000000" w:rsidRDefault="00000000" w:rsidRPr="00000000" w14:paraId="000000D8">
            <w:pPr>
              <w:rPr/>
            </w:pPr>
            <w:r w:rsidDel="00000000" w:rsidR="00000000" w:rsidRPr="00000000">
              <w:rPr>
                <w:rtl w:val="0"/>
              </w:rPr>
              <w:t xml:space="preserve">Review date?</w:t>
            </w:r>
          </w:p>
        </w:tc>
      </w:tr>
      <w:tr>
        <w:tc>
          <w:tcPr>
            <w:tcMar>
              <w:top w:w="57.0" w:type="dxa"/>
              <w:bottom w:w="57.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u w:val="single"/>
                <w:rtl w:val="0"/>
              </w:rPr>
              <w:t xml:space="preserve">1-to-1 and small group tuition/intervention programme </w:t>
            </w:r>
          </w:p>
          <w:p w:rsidR="00000000" w:rsidDel="00000000" w:rsidP="00000000" w:rsidRDefault="00000000" w:rsidRPr="00000000" w14:paraId="000000D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Identified children will have significantly increased rates of reading fluency and prosody. They will be able to comprehend reading better as a result of being able to read at pace without spending their working memory decoding. They will be confident readers and dips in reading attainment will be negated.</w:t>
            </w:r>
          </w:p>
          <w:p w:rsidR="00000000" w:rsidDel="00000000" w:rsidP="00000000" w:rsidRDefault="00000000" w:rsidRPr="00000000" w14:paraId="000000D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tcMar>
              <w:top w:w="57.0" w:type="dxa"/>
              <w:bottom w:w="57.0" w:type="dxa"/>
            </w:tcMar>
          </w:tcPr>
          <w:p w:rsidR="00000000" w:rsidDel="00000000" w:rsidP="00000000" w:rsidRDefault="00000000" w:rsidRPr="00000000" w14:paraId="000000DE">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White Rose maths, Reach Science and Guided Reading CPD to upskill staff. </w:t>
            </w:r>
          </w:p>
          <w:p w:rsidR="00000000" w:rsidDel="00000000" w:rsidP="00000000" w:rsidRDefault="00000000" w:rsidRPr="00000000" w14:paraId="000000E1">
            <w:pPr>
              <w:pBdr>
                <w:top w:space="0" w:sz="0" w:val="nil"/>
                <w:left w:space="0" w:sz="0" w:val="nil"/>
                <w:bottom w:space="0" w:sz="0" w:val="nil"/>
                <w:right w:space="0" w:sz="0" w:val="nil"/>
                <w:between w:space="0" w:sz="0" w:val="nil"/>
              </w:pBdr>
              <w:jc w:val="right"/>
              <w:rPr>
                <w:i w:val="1"/>
                <w:color w:val="ff0000"/>
              </w:rPr>
            </w:pPr>
            <w:r w:rsidDel="00000000" w:rsidR="00000000" w:rsidRPr="00000000">
              <w:rPr>
                <w:i w:val="1"/>
                <w:color w:val="ff0000"/>
                <w:rtl w:val="0"/>
              </w:rPr>
              <w:t xml:space="preserve">(£250 catch up</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 Additional PPE purchased to enable staff to provide safe intervention.</w:t>
            </w:r>
          </w:p>
          <w:p w:rsidR="00000000" w:rsidDel="00000000" w:rsidP="00000000" w:rsidRDefault="00000000" w:rsidRPr="00000000" w14:paraId="000000E4">
            <w:pPr>
              <w:pBdr>
                <w:top w:space="0" w:sz="0" w:val="nil"/>
                <w:left w:space="0" w:sz="0" w:val="nil"/>
                <w:bottom w:space="0" w:sz="0" w:val="nil"/>
                <w:right w:space="0" w:sz="0" w:val="nil"/>
                <w:between w:space="0" w:sz="0" w:val="nil"/>
              </w:pBdr>
              <w:jc w:val="right"/>
              <w:rPr>
                <w:i w:val="1"/>
                <w:color w:val="ff0000"/>
              </w:rPr>
            </w:pPr>
            <w:r w:rsidDel="00000000" w:rsidR="00000000" w:rsidRPr="00000000">
              <w:rPr>
                <w:i w:val="1"/>
                <w:color w:val="ff0000"/>
                <w:rtl w:val="0"/>
              </w:rPr>
              <w:t xml:space="preserve">(£350 catch up)</w:t>
            </w:r>
          </w:p>
          <w:p w:rsidR="00000000" w:rsidDel="00000000" w:rsidP="00000000" w:rsidRDefault="00000000" w:rsidRPr="00000000" w14:paraId="000000E5">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tc>
        <w:tc>
          <w:tcPr>
            <w:tcMar>
              <w:top w:w="57.0" w:type="dxa"/>
              <w:bottom w:w="57.0" w:type="dxa"/>
            </w:tcMar>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c>
        <w:tc>
          <w:tcPr>
            <w:tcMar>
              <w:top w:w="57.0" w:type="dxa"/>
              <w:bottom w:w="57.0" w:type="dxa"/>
            </w:tcMar>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EB</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tc>
        <w:tc>
          <w:tcPr/>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Feb 21</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Feb 21</w:t>
            </w:r>
          </w:p>
        </w:tc>
      </w:tr>
      <w:tr>
        <w:trPr>
          <w:trHeight w:val="458" w:hRule="atLeast"/>
        </w:trPr>
        <w:tc>
          <w:tcPr>
            <w:gridSpan w:val="4"/>
            <w:tcMar>
              <w:top w:w="57.0" w:type="dxa"/>
              <w:bottom w:w="57.0" w:type="dxa"/>
            </w:tcMar>
          </w:tcPr>
          <w:p w:rsidR="00000000" w:rsidDel="00000000" w:rsidP="00000000" w:rsidRDefault="00000000" w:rsidRPr="00000000" w14:paraId="00000102">
            <w:pPr>
              <w:jc w:val="right"/>
              <w:rPr/>
            </w:pPr>
            <w:r w:rsidDel="00000000" w:rsidR="00000000" w:rsidRPr="00000000">
              <w:rPr>
                <w:rtl w:val="0"/>
              </w:rPr>
              <w:t xml:space="preserve">Section</w:t>
            </w:r>
            <w:r w:rsidDel="00000000" w:rsidR="00000000" w:rsidRPr="00000000">
              <w:rPr>
                <w:rtl w:val="0"/>
              </w:rPr>
              <w:t xml:space="preserve"> budgeted cost</w:t>
            </w:r>
          </w:p>
        </w:tc>
        <w:tc>
          <w:tcPr/>
          <w:p w:rsidR="00000000" w:rsidDel="00000000" w:rsidP="00000000" w:rsidRDefault="00000000" w:rsidRPr="00000000" w14:paraId="00000106">
            <w:pPr>
              <w:rPr/>
            </w:pPr>
            <w:r w:rsidDel="00000000" w:rsidR="00000000" w:rsidRPr="00000000">
              <w:rPr>
                <w:rtl w:val="0"/>
              </w:rPr>
              <w:t xml:space="preserve">£600</w:t>
            </w:r>
          </w:p>
        </w:tc>
      </w:tr>
    </w:tbl>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tbl>
      <w:tblPr>
        <w:tblStyle w:val="Table6"/>
        <w:tblW w:w="15131.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4824"/>
        <w:gridCol w:w="3119"/>
        <w:gridCol w:w="1134"/>
        <w:gridCol w:w="1097"/>
        <w:tblGridChange w:id="0">
          <w:tblGrid>
            <w:gridCol w:w="4957"/>
            <w:gridCol w:w="4824"/>
            <w:gridCol w:w="3119"/>
            <w:gridCol w:w="1134"/>
            <w:gridCol w:w="1097"/>
          </w:tblGrid>
        </w:tblGridChange>
      </w:tblGrid>
      <w:tr>
        <w:trPr>
          <w:trHeight w:val="312" w:hRule="atLeast"/>
        </w:trPr>
        <w:tc>
          <w:tcPr>
            <w:gridSpan w:val="5"/>
            <w:shd w:fill="d9d9d9" w:val="clear"/>
            <w:tcMar>
              <w:top w:w="57.0" w:type="dxa"/>
              <w:bottom w:w="57.0" w:type="dxa"/>
            </w:tcMar>
          </w:tcPr>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Wider Strategies</w:t>
            </w:r>
          </w:p>
        </w:tc>
      </w:tr>
      <w:tr>
        <w:tc>
          <w:tcPr>
            <w:tcMar>
              <w:top w:w="57.0" w:type="dxa"/>
              <w:bottom w:w="57.0" w:type="dxa"/>
            </w:tcMar>
          </w:tcPr>
          <w:p w:rsidR="00000000" w:rsidDel="00000000" w:rsidP="00000000" w:rsidRDefault="00000000" w:rsidRPr="00000000" w14:paraId="0000010F">
            <w:pPr>
              <w:rPr/>
            </w:pPr>
            <w:r w:rsidDel="00000000" w:rsidR="00000000" w:rsidRPr="00000000">
              <w:rPr>
                <w:rtl w:val="0"/>
              </w:rPr>
              <w:t xml:space="preserve">Desired outcome</w:t>
            </w:r>
          </w:p>
        </w:tc>
        <w:tc>
          <w:tcPr>
            <w:tcMar>
              <w:top w:w="57.0" w:type="dxa"/>
              <w:bottom w:w="57.0" w:type="dxa"/>
            </w:tcMar>
          </w:tcPr>
          <w:p w:rsidR="00000000" w:rsidDel="00000000" w:rsidP="00000000" w:rsidRDefault="00000000" w:rsidRPr="00000000" w14:paraId="00000110">
            <w:pPr>
              <w:rPr/>
            </w:pPr>
            <w:r w:rsidDel="00000000" w:rsidR="00000000" w:rsidRPr="00000000">
              <w:rPr>
                <w:rtl w:val="0"/>
              </w:rPr>
              <w:t xml:space="preserve">Chosen action/approach</w:t>
            </w:r>
          </w:p>
        </w:tc>
        <w:tc>
          <w:tcPr>
            <w:tcMar>
              <w:top w:w="57.0" w:type="dxa"/>
              <w:bottom w:w="57.0" w:type="dxa"/>
            </w:tcMar>
          </w:tcPr>
          <w:p w:rsidR="00000000" w:rsidDel="00000000" w:rsidP="00000000" w:rsidRDefault="00000000" w:rsidRPr="00000000" w14:paraId="00000111">
            <w:pPr>
              <w:rPr/>
            </w:pPr>
            <w:r w:rsidDel="00000000" w:rsidR="00000000" w:rsidRPr="00000000">
              <w:rPr>
                <w:rtl w:val="0"/>
              </w:rPr>
              <w:t xml:space="preserve">Impact (once reviewed)</w:t>
            </w:r>
          </w:p>
        </w:tc>
        <w:tc>
          <w:tcPr>
            <w:tcMar>
              <w:top w:w="57.0" w:type="dxa"/>
              <w:bottom w:w="57.0" w:type="dxa"/>
            </w:tcMar>
          </w:tcPr>
          <w:p w:rsidR="00000000" w:rsidDel="00000000" w:rsidP="00000000" w:rsidRDefault="00000000" w:rsidRPr="00000000" w14:paraId="00000112">
            <w:pPr>
              <w:rPr/>
            </w:pPr>
            <w:r w:rsidDel="00000000" w:rsidR="00000000" w:rsidRPr="00000000">
              <w:rPr>
                <w:rtl w:val="0"/>
              </w:rPr>
              <w:t xml:space="preserve">Staff lead</w:t>
            </w:r>
          </w:p>
        </w:tc>
        <w:tc>
          <w:tcPr/>
          <w:p w:rsidR="00000000" w:rsidDel="00000000" w:rsidP="00000000" w:rsidRDefault="00000000" w:rsidRPr="00000000" w14:paraId="00000113">
            <w:pPr>
              <w:rPr/>
            </w:pPr>
            <w:r w:rsidDel="00000000" w:rsidR="00000000" w:rsidRPr="00000000">
              <w:rPr>
                <w:rtl w:val="0"/>
              </w:rPr>
              <w:t xml:space="preserve">Review date?</w:t>
            </w:r>
          </w:p>
        </w:tc>
      </w:tr>
      <w:tr>
        <w:tc>
          <w:tcPr>
            <w:tcMar>
              <w:top w:w="57.0" w:type="dxa"/>
              <w:bottom w:w="57.0" w:type="dxa"/>
            </w:tcMar>
          </w:tcPr>
          <w:p w:rsidR="00000000" w:rsidDel="00000000" w:rsidP="00000000" w:rsidRDefault="00000000" w:rsidRPr="00000000" w14:paraId="00000114">
            <w:pPr>
              <w:rPr>
                <w:u w:val="single"/>
              </w:rPr>
            </w:pPr>
            <w:r w:rsidDel="00000000" w:rsidR="00000000" w:rsidRPr="00000000">
              <w:rPr>
                <w:u w:val="single"/>
                <w:rtl w:val="0"/>
              </w:rPr>
              <w:t xml:space="preserve">Supporting parents and carers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Children have access to appropriate stationery and paper-based home-learning if required so that all can access learning irrespective of ability of child/parent to navigate the online learning.</w:t>
            </w:r>
          </w:p>
          <w:p w:rsidR="00000000" w:rsidDel="00000000" w:rsidP="00000000" w:rsidRDefault="00000000" w:rsidRPr="00000000" w14:paraId="00000119">
            <w:pPr>
              <w:rPr/>
            </w:pPr>
            <w:r w:rsidDel="00000000" w:rsidR="00000000" w:rsidRPr="00000000">
              <w:rPr>
                <w:rtl w:val="0"/>
              </w:rPr>
            </w:r>
          </w:p>
        </w:tc>
        <w:tc>
          <w:tcPr>
            <w:tcMar>
              <w:top w:w="57.0" w:type="dxa"/>
              <w:bottom w:w="57.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i w:val="1"/>
                <w:color w:val="000000"/>
              </w:rPr>
            </w:pPr>
            <w:r w:rsidDel="00000000" w:rsidR="00000000" w:rsidRPr="00000000">
              <w:rPr>
                <w:rtl w:val="0"/>
              </w:rPr>
              <w:t xml:space="preserve">In the event of lockdown home-learning paper packs are printed and ready to distribute for all children.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jc w:val="right"/>
              <w:rPr>
                <w:i w:val="1"/>
              </w:rPr>
            </w:pPr>
            <w:r w:rsidDel="00000000" w:rsidR="00000000" w:rsidRPr="00000000">
              <w:rPr>
                <w:i w:val="1"/>
                <w:rtl w:val="0"/>
              </w:rPr>
              <w:t xml:space="preserve">£600 school budget</w:t>
            </w:r>
          </w:p>
        </w:tc>
        <w:tc>
          <w:tcPr>
            <w:tcMar>
              <w:top w:w="57.0" w:type="dxa"/>
              <w:bottom w:w="57.0" w:type="dxa"/>
            </w:tcMar>
          </w:tcPr>
          <w:p w:rsidR="00000000" w:rsidDel="00000000" w:rsidP="00000000" w:rsidRDefault="00000000" w:rsidRPr="00000000" w14:paraId="0000011E">
            <w:pPr>
              <w:rPr/>
            </w:pPr>
            <w:r w:rsidDel="00000000" w:rsidR="00000000" w:rsidRPr="00000000">
              <w:rPr>
                <w:rtl w:val="0"/>
              </w:rPr>
            </w:r>
          </w:p>
        </w:tc>
        <w:tc>
          <w:tcPr>
            <w:tcMar>
              <w:top w:w="57.0" w:type="dxa"/>
              <w:bottom w:w="57.0" w:type="dxa"/>
            </w:tcMar>
          </w:tcPr>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EB</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tc>
        <w:tc>
          <w:tcPr/>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Feb 21</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Feb 21</w:t>
            </w:r>
          </w:p>
        </w:tc>
      </w:tr>
      <w:tr>
        <w:tc>
          <w:tcPr>
            <w:tcMar>
              <w:top w:w="57.0" w:type="dxa"/>
              <w:bottom w:w="57.0" w:type="dxa"/>
            </w:tcMar>
          </w:tcPr>
          <w:p w:rsidR="00000000" w:rsidDel="00000000" w:rsidP="00000000" w:rsidRDefault="00000000" w:rsidRPr="00000000" w14:paraId="00000132">
            <w:pPr>
              <w:rPr>
                <w:u w:val="single"/>
              </w:rPr>
            </w:pPr>
            <w:r w:rsidDel="00000000" w:rsidR="00000000" w:rsidRPr="00000000">
              <w:rPr>
                <w:u w:val="single"/>
                <w:rtl w:val="0"/>
              </w:rPr>
              <w:t xml:space="preserve">Access to technology </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Staff to complete online training for Google Classroom to allow high quality online teaching.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tc>
        <w:tc>
          <w:tcPr>
            <w:tcMar>
              <w:top w:w="57.0" w:type="dxa"/>
              <w:bottom w:w="57.0" w:type="dxa"/>
            </w:tcMar>
          </w:tcPr>
          <w:p w:rsidR="00000000" w:rsidDel="00000000" w:rsidP="00000000" w:rsidRDefault="00000000" w:rsidRPr="00000000" w14:paraId="00000137">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i w:val="1"/>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i w:val="1"/>
                <w:color w:val="000000"/>
              </w:rPr>
            </w:pPr>
            <w:r w:rsidDel="00000000" w:rsidR="00000000" w:rsidRPr="00000000">
              <w:rPr>
                <w:i w:val="1"/>
                <w:color w:val="000000"/>
                <w:rtl w:val="0"/>
              </w:rPr>
              <w:t xml:space="preserve">£400 through school budget </w:t>
            </w:r>
          </w:p>
          <w:p w:rsidR="00000000" w:rsidDel="00000000" w:rsidP="00000000" w:rsidRDefault="00000000" w:rsidRPr="00000000" w14:paraId="0000013A">
            <w:pPr>
              <w:pBdr>
                <w:top w:space="0" w:sz="0" w:val="nil"/>
                <w:left w:space="0" w:sz="0" w:val="nil"/>
                <w:bottom w:space="0" w:sz="0" w:val="nil"/>
                <w:right w:space="0" w:sz="0" w:val="nil"/>
                <w:between w:space="0" w:sz="0" w:val="nil"/>
              </w:pBdr>
              <w:jc w:val="left"/>
              <w:rPr>
                <w:i w:val="1"/>
                <w:color w:val="ff0000"/>
              </w:rPr>
            </w:pPr>
            <w:r w:rsidDel="00000000" w:rsidR="00000000" w:rsidRPr="00000000">
              <w:rPr>
                <w:rtl w:val="0"/>
              </w:rPr>
            </w:r>
          </w:p>
        </w:tc>
        <w:tc>
          <w:tcPr>
            <w:tcMar>
              <w:top w:w="57.0" w:type="dxa"/>
              <w:bottom w:w="57.0" w:type="dxa"/>
            </w:tcMar>
          </w:tcPr>
          <w:p w:rsidR="00000000" w:rsidDel="00000000" w:rsidP="00000000" w:rsidRDefault="00000000" w:rsidRPr="00000000" w14:paraId="0000013B">
            <w:pPr>
              <w:rPr/>
            </w:pPr>
            <w:r w:rsidDel="00000000" w:rsidR="00000000" w:rsidRPr="00000000">
              <w:rPr>
                <w:rtl w:val="0"/>
              </w:rPr>
            </w:r>
          </w:p>
        </w:tc>
        <w:tc>
          <w:tcPr>
            <w:tcMar>
              <w:top w:w="57.0" w:type="dxa"/>
              <w:bottom w:w="57.0" w:type="dxa"/>
            </w:tcMar>
          </w:tcPr>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bookmarkStart w:colFirst="0" w:colLast="0" w:name="_heading=h.2s8eyo1" w:id="9"/>
            <w:bookmarkEnd w:id="9"/>
            <w:r w:rsidDel="00000000" w:rsidR="00000000" w:rsidRPr="00000000">
              <w:rPr>
                <w:rtl w:val="0"/>
              </w:rPr>
              <w:t xml:space="preserve">EB</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Feb 21</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Feb 21</w:t>
            </w:r>
          </w:p>
        </w:tc>
      </w:tr>
      <w:tr>
        <w:trPr>
          <w:trHeight w:val="334" w:hRule="atLeast"/>
        </w:trPr>
        <w:tc>
          <w:tcPr>
            <w:gridSpan w:val="4"/>
            <w:tcMar>
              <w:top w:w="57.0" w:type="dxa"/>
              <w:bottom w:w="57.0" w:type="dxa"/>
            </w:tcMar>
          </w:tcPr>
          <w:p w:rsidR="00000000" w:rsidDel="00000000" w:rsidP="00000000" w:rsidRDefault="00000000" w:rsidRPr="00000000" w14:paraId="0000014E">
            <w:pPr>
              <w:jc w:val="right"/>
              <w:rPr>
                <w:sz w:val="20"/>
                <w:szCs w:val="20"/>
              </w:rPr>
            </w:pPr>
            <w:r w:rsidDel="00000000" w:rsidR="00000000" w:rsidRPr="00000000">
              <w:rPr>
                <w:sz w:val="20"/>
                <w:szCs w:val="20"/>
                <w:rtl w:val="0"/>
              </w:rPr>
              <w:t xml:space="preserve">Total section budgeted cost</w:t>
            </w:r>
          </w:p>
        </w:tc>
        <w:tc>
          <w:tcPr/>
          <w:p w:rsidR="00000000" w:rsidDel="00000000" w:rsidP="00000000" w:rsidRDefault="00000000" w:rsidRPr="00000000" w14:paraId="00000152">
            <w:pPr>
              <w:rPr/>
            </w:pPr>
            <w:r w:rsidDel="00000000" w:rsidR="00000000" w:rsidRPr="00000000">
              <w:rPr>
                <w:rtl w:val="0"/>
              </w:rPr>
              <w:t xml:space="preserve">£1000</w:t>
            </w:r>
          </w:p>
        </w:tc>
      </w:tr>
      <w:tr>
        <w:tc>
          <w:tcPr>
            <w:gridSpan w:val="4"/>
            <w:tcMar>
              <w:top w:w="57.0" w:type="dxa"/>
              <w:bottom w:w="57.0" w:type="dxa"/>
            </w:tcMar>
          </w:tcPr>
          <w:p w:rsidR="00000000" w:rsidDel="00000000" w:rsidP="00000000" w:rsidRDefault="00000000" w:rsidRPr="00000000" w14:paraId="00000153">
            <w:pPr>
              <w:jc w:val="right"/>
              <w:rPr>
                <w:b w:val="1"/>
              </w:rPr>
            </w:pPr>
            <w:r w:rsidDel="00000000" w:rsidR="00000000" w:rsidRPr="00000000">
              <w:rPr>
                <w:b w:val="1"/>
                <w:rtl w:val="0"/>
              </w:rPr>
              <w:t xml:space="preserve">Total budgeted cost</w:t>
            </w:r>
          </w:p>
        </w:tc>
        <w:tc>
          <w:tcPr/>
          <w:p w:rsidR="00000000" w:rsidDel="00000000" w:rsidP="00000000" w:rsidRDefault="00000000" w:rsidRPr="00000000" w14:paraId="00000157">
            <w:pPr>
              <w:rPr>
                <w:b w:val="1"/>
              </w:rPr>
            </w:pPr>
            <w:r w:rsidDel="00000000" w:rsidR="00000000" w:rsidRPr="00000000">
              <w:rPr>
                <w:b w:val="1"/>
                <w:rtl w:val="0"/>
              </w:rPr>
              <w:t xml:space="preserve">£14,570</w:t>
            </w:r>
          </w:p>
        </w:tc>
      </w:tr>
      <w:tr>
        <w:tc>
          <w:tcPr>
            <w:gridSpan w:val="2"/>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57.0" w:type="dxa"/>
              <w:bottom w:w="57.0" w:type="dxa"/>
            </w:tcMar>
          </w:tcPr>
          <w:p w:rsidR="00000000" w:rsidDel="00000000" w:rsidP="00000000" w:rsidRDefault="00000000" w:rsidRPr="00000000" w14:paraId="0000015A">
            <w:pPr>
              <w:jc w:val="right"/>
              <w:rPr/>
            </w:pPr>
            <w:r w:rsidDel="00000000" w:rsidR="00000000" w:rsidRPr="00000000">
              <w:rPr>
                <w:rtl w:val="0"/>
              </w:rPr>
              <w:t xml:space="preserve">Cost paid through Covid Catch-Up</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C">
            <w:pPr>
              <w:rPr>
                <w:color w:val="ff0000"/>
              </w:rPr>
            </w:pPr>
            <w:r w:rsidDel="00000000" w:rsidR="00000000" w:rsidRPr="00000000">
              <w:rPr>
                <w:color w:val="ff0000"/>
                <w:rtl w:val="0"/>
              </w:rPr>
              <w:t xml:space="preserve">£8560 (107 children at £80 each)</w:t>
            </w:r>
          </w:p>
        </w:tc>
      </w:tr>
      <w:tr>
        <w:tc>
          <w:tcPr>
            <w:gridSpan w:val="2"/>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76" w:lineRule="auto"/>
              <w:rPr>
                <w:color w:val="ff0000"/>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57.0" w:type="dxa"/>
              <w:bottom w:w="57.0" w:type="dxa"/>
            </w:tcMar>
          </w:tcPr>
          <w:p w:rsidR="00000000" w:rsidDel="00000000" w:rsidP="00000000" w:rsidRDefault="00000000" w:rsidRPr="00000000" w14:paraId="0000015F">
            <w:pPr>
              <w:jc w:val="right"/>
              <w:rPr/>
            </w:pPr>
            <w:r w:rsidDel="00000000" w:rsidR="00000000" w:rsidRPr="00000000">
              <w:rPr>
                <w:rtl w:val="0"/>
              </w:rPr>
              <w:t xml:space="preserve">Cost paid through charitable donations</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1">
            <w:pPr>
              <w:rPr/>
            </w:pPr>
            <w:r w:rsidDel="00000000" w:rsidR="00000000" w:rsidRPr="00000000">
              <w:rPr>
                <w:rtl w:val="0"/>
              </w:rPr>
              <w:t xml:space="preserve">n/a</w:t>
            </w:r>
          </w:p>
        </w:tc>
      </w:tr>
      <w:tr>
        <w:tc>
          <w:tcPr>
            <w:gridSpan w:val="2"/>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76" w:lineRule="auto"/>
              <w:rPr>
                <w:color w:val="ff0000"/>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tcMar>
              <w:top w:w="57.0" w:type="dxa"/>
              <w:bottom w:w="57.0" w:type="dxa"/>
            </w:tcMar>
          </w:tcPr>
          <w:p w:rsidR="00000000" w:rsidDel="00000000" w:rsidP="00000000" w:rsidRDefault="00000000" w:rsidRPr="00000000" w14:paraId="00000164">
            <w:pPr>
              <w:jc w:val="right"/>
              <w:rPr/>
            </w:pPr>
            <w:r w:rsidDel="00000000" w:rsidR="00000000" w:rsidRPr="00000000">
              <w:rPr>
                <w:rtl w:val="0"/>
              </w:rPr>
              <w:t xml:space="preserve">Cost paid through school budget</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6">
            <w:pPr>
              <w:rPr/>
            </w:pPr>
            <w:r w:rsidDel="00000000" w:rsidR="00000000" w:rsidRPr="00000000">
              <w:rPr>
                <w:rtl w:val="0"/>
              </w:rPr>
              <w:t xml:space="preserve">£6010</w:t>
            </w:r>
          </w:p>
        </w:tc>
      </w:tr>
      <w:tr>
        <w:tc>
          <w:tcPr>
            <w:gridSpan w:val="2"/>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76" w:lineRule="auto"/>
              <w:rPr>
                <w:color w:val="ff0000"/>
              </w:rPr>
            </w:pP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d9d9d9" w:val="clear"/>
            <w:tcMar>
              <w:top w:w="57.0" w:type="dxa"/>
              <w:bottom w:w="57.0" w:type="dxa"/>
            </w:tcMar>
          </w:tcPr>
          <w:p w:rsidR="00000000" w:rsidDel="00000000" w:rsidP="00000000" w:rsidRDefault="00000000" w:rsidRPr="00000000" w14:paraId="00000169">
            <w:pPr>
              <w:jc w:val="right"/>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9d9d9" w:val="clear"/>
          </w:tcPr>
          <w:p w:rsidR="00000000" w:rsidDel="00000000" w:rsidP="00000000" w:rsidRDefault="00000000" w:rsidRPr="00000000" w14:paraId="0000016B">
            <w:pPr>
              <w:rPr/>
            </w:pPr>
            <w:r w:rsidDel="00000000" w:rsidR="00000000" w:rsidRPr="00000000">
              <w:rPr>
                <w:rtl w:val="0"/>
              </w:rPr>
            </w:r>
          </w:p>
        </w:tc>
      </w:tr>
    </w:tbl>
    <w:p w:rsidR="00000000" w:rsidDel="00000000" w:rsidP="00000000" w:rsidRDefault="00000000" w:rsidRPr="00000000" w14:paraId="0000016C">
      <w:pPr>
        <w:rPr>
          <w:sz w:val="18"/>
          <w:szCs w:val="18"/>
        </w:rPr>
      </w:pPr>
      <w:r w:rsidDel="00000000" w:rsidR="00000000" w:rsidRPr="00000000">
        <w:rPr>
          <w:rtl w:val="0"/>
        </w:rPr>
      </w:r>
    </w:p>
    <w:sectPr>
      <w:pgSz w:h="11906" w:w="16838" w:orient="landscape"/>
      <w:pgMar w:bottom="142" w:top="426"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Arial" w:cs="Arial" w:eastAsia="Arial" w:hAnsi="Arial"/>
      <w:b w:val="1"/>
      <w:color w:val="104f75"/>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Arial" w:cs="Arial" w:eastAsia="Arial" w:hAnsi="Arial"/>
      <w:b w:val="1"/>
      <w:color w:val="104f75"/>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240"/>
      <w:outlineLvl w:val="0"/>
    </w:pPr>
    <w:rPr>
      <w:rFonts w:ascii="Arial" w:cs="Arial" w:eastAsia="Arial" w:hAnsi="Arial"/>
      <w:b w:val="1"/>
      <w:color w:val="104f75"/>
      <w:sz w:val="36"/>
      <w:szCs w:val="36"/>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NormalWeb">
    <w:name w:val="Normal (Web)"/>
    <w:basedOn w:val="Normal"/>
    <w:uiPriority w:val="99"/>
    <w:unhideWhenUsed w:val="1"/>
    <w:rsid w:val="005A592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endowmentfoundation.org.uk/covid-19-resources/covid-19-support-guide-for-schools/#nav-covid-19-support-guide-for-schools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government/publications/actions-for-schools-during-the-coronavirus-outbreak/guidance-for-full-opening-schools#section-3-curriculum-behaviour-and-pastor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PjSTScF1VCtA//VEqf4ubSmfqQ==">AMUW2mVW/3ypKRkThGa/Dvdq4G5NA0IxZB0q5PMcqd8zQRdCuVlYunZEiKz0ZnQMZP8zy9lYmncN/q+/vPUQoGTz7+S0qKFapcBvfzozjg77RnEut8IgHuwAgbWVCt9zRIk2pnq7gH7M0qbahkntYW1l8tbjSfo4rp0mBeIONb6YUQ3lNCHKqgSv2dAWQ+DEfewdXf1Ankl7V5mvAvUuDNH8TvBnRIWzYZy5hHWgyV9yMujD0720UPvKQlBa1VrWvX2u0EoDRniL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2020-11-20T15:21:00Z</dcterms:created>
  <dc:creator>Jonathan Wynn</dc:creator>
</cp:coreProperties>
</file>