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rPr>
          <w:rFonts w:ascii="Arial" w:cs="Arial" w:eastAsia="Arial" w:hAnsi="Arial"/>
        </w:rPr>
      </w:pPr>
      <w:bookmarkStart w:colFirst="0" w:colLast="0" w:name="_heading=h.1fob9te" w:id="0"/>
      <w:bookmarkEnd w:id="0"/>
      <w:r w:rsidDel="00000000" w:rsidR="00000000" w:rsidRPr="00000000">
        <w:rPr>
          <w:rFonts w:ascii="Arial" w:cs="Arial" w:eastAsia="Arial" w:hAnsi="Arial"/>
          <w:rtl w:val="0"/>
        </w:rPr>
        <w:t xml:space="preserve">Reviewed and updated - March 2021</w:t>
      </w: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699" w:hRule="atLeast"/>
        </w:trPr>
        <w:tc>
          <w:tcPr>
            <w:gridSpan w:val="7"/>
            <w:shd w:fill="f3f3f3" w:val="clear"/>
          </w:tcPr>
          <w:p w:rsidR="00000000" w:rsidDel="00000000" w:rsidP="00000000" w:rsidRDefault="00000000" w:rsidRPr="00000000" w14:paraId="00000002">
            <w:pPr>
              <w:spacing w:after="0" w:lineRule="auto"/>
              <w:jc w:val="center"/>
              <w:rPr>
                <w:rFonts w:ascii="Arial" w:cs="Arial" w:eastAsia="Arial" w:hAnsi="Arial"/>
                <w:b w:val="1"/>
                <w:sz w:val="32"/>
                <w:szCs w:val="32"/>
              </w:rPr>
            </w:pPr>
            <w:bookmarkStart w:colFirst="0" w:colLast="0" w:name="_heading=h.gjdgxs" w:id="1"/>
            <w:bookmarkEnd w:id="1"/>
            <w:r w:rsidDel="00000000" w:rsidR="00000000" w:rsidRPr="00000000">
              <w:rPr>
                <w:rFonts w:ascii="Arial" w:cs="Arial" w:eastAsia="Arial" w:hAnsi="Arial"/>
                <w:b w:val="1"/>
                <w:sz w:val="32"/>
                <w:szCs w:val="32"/>
                <w:rtl w:val="0"/>
              </w:rPr>
              <w:t xml:space="preserve">Risk Assessment (COVID -19)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Kitchen Staff</w:t>
            </w:r>
          </w:p>
        </w:tc>
      </w:tr>
      <w:tr>
        <w:trPr>
          <w:trHeight w:val="932" w:hRule="atLeast"/>
        </w:trPr>
        <w:tc>
          <w:tcPr>
            <w:vMerge w:val="restart"/>
            <w:shd w:fill="f3f3f3" w:val="clear"/>
          </w:tcPr>
          <w:p w:rsidR="00000000" w:rsidDel="00000000" w:rsidP="00000000" w:rsidRDefault="00000000" w:rsidRPr="00000000" w14:paraId="0000000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Hazard/</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Activity</w:t>
            </w:r>
            <w:r w:rsidDel="00000000" w:rsidR="00000000" w:rsidRPr="00000000">
              <w:rPr>
                <w:rtl w:val="0"/>
              </w:rPr>
            </w:r>
          </w:p>
        </w:tc>
        <w:tc>
          <w:tcPr>
            <w:vMerge w:val="restart"/>
            <w:shd w:fill="f3f3f3" w:val="clear"/>
          </w:tcPr>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Persons at Risk</w:t>
            </w:r>
          </w:p>
        </w:tc>
        <w:tc>
          <w:tcPr>
            <w:vMerge w:val="restart"/>
            <w:shd w:fill="f3f3f3" w:val="clear"/>
          </w:tcPr>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Risk</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 measures in use</w:t>
            </w:r>
          </w:p>
        </w:tc>
        <w:tc>
          <w:tcPr>
            <w:vMerge w:val="restart"/>
            <w:shd w:fill="f3f3f3" w:val="clear"/>
            <w:tcMar>
              <w:left w:w="0.0" w:type="dxa"/>
              <w:right w:w="0.0" w:type="dxa"/>
            </w:tcMar>
            <w:vAlign w:val="center"/>
          </w:tcPr>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1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1B">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1C">
            <w:pPr>
              <w:spacing w:after="0" w:line="240" w:lineRule="auto"/>
              <w:rPr>
                <w:rFonts w:ascii="Arial" w:cs="Arial" w:eastAsia="Arial" w:hAnsi="Arial"/>
                <w:sz w:val="24"/>
                <w:szCs w:val="24"/>
              </w:rPr>
            </w:pPr>
            <w:bookmarkStart w:colFirst="0" w:colLast="0" w:name="_heading=h.30j0zll" w:id="2"/>
            <w:bookmarkEnd w:id="2"/>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kitchen staff to be made aware of all relevant policies and procedures.</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Kitchen staff receives any necessary updated training that helps minimise the spread of infection, e.g. infection control training.</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keeps up-to-date with advice issued by, but not limited to, the following:</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DfE (Department for Education)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NHS (National Health Service)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Department for Health and Social Care</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PHE (Public Health England) </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Kitchen Staff are made aware of the school’s infection control procedures in relation to coronavirus via email or meetings and must contact the school as soon as possible if they believe they may have been exposed to coronavirus.</w:t>
            </w:r>
          </w:p>
        </w:tc>
        <w:tc>
          <w:tcPr/>
          <w:p w:rsidR="00000000" w:rsidDel="00000000" w:rsidP="00000000" w:rsidRDefault="00000000" w:rsidRPr="00000000" w14:paraId="0000002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28">
            <w:pPr>
              <w:spacing w:after="0" w:line="240" w:lineRule="auto"/>
              <w:jc w:val="center"/>
              <w:rPr>
                <w:rFonts w:ascii="Arial" w:cs="Arial" w:eastAsia="Arial" w:hAnsi="Arial"/>
                <w:b w:val="1"/>
                <w:sz w:val="24"/>
                <w:szCs w:val="24"/>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2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Posters are displayed in the kitchen reminding staff to wash their hands, e.g. before entering and leaving the kitchen area.</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Kitchen staff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Kitchen staff to carry out daily, thorough cleaning that follows national guidance and is compliant with current guidelines. </w:t>
            </w:r>
          </w:p>
        </w:tc>
        <w:tc>
          <w:tcPr/>
          <w:p w:rsidR="00000000" w:rsidDel="00000000" w:rsidP="00000000" w:rsidRDefault="00000000" w:rsidRPr="00000000" w14:paraId="0000003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33">
            <w:pPr>
              <w:spacing w:after="0" w:line="240" w:lineRule="auto"/>
              <w:jc w:val="center"/>
              <w:rPr>
                <w:rFonts w:ascii="Arial" w:cs="Arial" w:eastAsia="Arial" w:hAnsi="Arial"/>
                <w:b w:val="1"/>
                <w:sz w:val="24"/>
                <w:szCs w:val="24"/>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3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Distancing </w:t>
            </w:r>
          </w:p>
        </w:tc>
        <w:tc>
          <w:tcPr/>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 adhering to social distancing measures. </w:t>
            </w:r>
          </w:p>
        </w:tc>
        <w:tc>
          <w:tcPr/>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Kitchen staff must consider making changes to their staff rota to where possible allowing staff to have their own preparation areas for preparing meals. </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Keep where possible 2 metres apart as often as possible.</w:t>
            </w:r>
          </w:p>
        </w:tc>
        <w:tc>
          <w:tcPr/>
          <w:p w:rsidR="00000000" w:rsidDel="00000000" w:rsidP="00000000" w:rsidRDefault="00000000" w:rsidRPr="00000000" w14:paraId="0000003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3B">
            <w:pPr>
              <w:spacing w:after="0" w:line="240" w:lineRule="auto"/>
              <w:jc w:val="center"/>
              <w:rPr>
                <w:rFonts w:ascii="Arial" w:cs="Arial" w:eastAsia="Arial" w:hAnsi="Arial"/>
                <w:b w:val="1"/>
                <w:sz w:val="24"/>
                <w:szCs w:val="24"/>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3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Preparing meals </w:t>
            </w:r>
          </w:p>
        </w:tc>
        <w:tc>
          <w:tcPr/>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may be required for menu options to be changed to allow kitchen staff to adhere to social distancing where possible.</w:t>
            </w:r>
          </w:p>
        </w:tc>
        <w:tc>
          <w:tcPr/>
          <w:p w:rsidR="00000000" w:rsidDel="00000000" w:rsidP="00000000" w:rsidRDefault="00000000" w:rsidRPr="00000000" w14:paraId="0000004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42">
            <w:pPr>
              <w:spacing w:after="0" w:line="240" w:lineRule="auto"/>
              <w:jc w:val="center"/>
              <w:rPr>
                <w:rFonts w:ascii="Arial" w:cs="Arial" w:eastAsia="Arial" w:hAnsi="Arial"/>
                <w:b w:val="1"/>
                <w:sz w:val="24"/>
                <w:szCs w:val="24"/>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4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Serving meals </w:t>
            </w:r>
          </w:p>
        </w:tc>
        <w:tc>
          <w:tcPr/>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Kitchen staff are to have a tray with cutlery already on for each individual child.</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 to </w:t>
            </w:r>
            <w:r w:rsidDel="00000000" w:rsidR="00000000" w:rsidRPr="00000000">
              <w:rPr>
                <w:rFonts w:ascii="Arial" w:cs="Arial" w:eastAsia="Arial" w:hAnsi="Arial"/>
                <w:sz w:val="24"/>
                <w:szCs w:val="24"/>
                <w:highlight w:val="red"/>
                <w:rtl w:val="0"/>
              </w:rPr>
              <w:t xml:space="preserve">wash hands between bubbles</w:t>
            </w:r>
            <w:r w:rsidDel="00000000" w:rsidR="00000000" w:rsidRPr="00000000">
              <w:rPr>
                <w:rFonts w:ascii="Arial" w:cs="Arial" w:eastAsia="Arial" w:hAnsi="Arial"/>
                <w:sz w:val="24"/>
                <w:szCs w:val="24"/>
                <w:rtl w:val="0"/>
              </w:rPr>
              <w:t xml:space="preserve"> when serving food.</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Children are to wait in distanced queue line.</w:t>
            </w:r>
          </w:p>
        </w:tc>
        <w:tc>
          <w:tcPr/>
          <w:p w:rsidR="00000000" w:rsidDel="00000000" w:rsidP="00000000" w:rsidRDefault="00000000" w:rsidRPr="00000000" w14:paraId="0000004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4B">
            <w:pPr>
              <w:spacing w:after="0" w:line="240" w:lineRule="auto"/>
              <w:jc w:val="center"/>
              <w:rPr>
                <w:rFonts w:ascii="Arial" w:cs="Arial" w:eastAsia="Arial" w:hAnsi="Arial"/>
                <w:b w:val="1"/>
                <w:sz w:val="24"/>
                <w:szCs w:val="24"/>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4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Assisting Pupils or Cleaning while Pupils in dining hall </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required kitchen staff can wear a face covering while cleaning. </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cleaning tables wear gloves and use a disinfectant spray and dispose of cloth in a double bagged bin after use. </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using reusable cloths these must be placed in a </w:t>
            </w:r>
            <w:r w:rsidDel="00000000" w:rsidR="00000000" w:rsidRPr="00000000">
              <w:rPr>
                <w:rFonts w:ascii="Arial" w:cs="Arial" w:eastAsia="Arial" w:hAnsi="Arial"/>
                <w:sz w:val="24"/>
                <w:szCs w:val="24"/>
                <w:highlight w:val="red"/>
                <w:rtl w:val="0"/>
              </w:rPr>
              <w:t xml:space="preserve">90 </w:t>
            </w:r>
            <w:r w:rsidDel="00000000" w:rsidR="00000000" w:rsidRPr="00000000">
              <w:rPr>
                <w:rFonts w:ascii="Arial" w:cs="Arial" w:eastAsia="Arial" w:hAnsi="Arial"/>
                <w:color w:val="000000"/>
                <w:sz w:val="24"/>
                <w:szCs w:val="24"/>
                <w:rtl w:val="0"/>
              </w:rPr>
              <w:t xml:space="preserve"> degree wash cycle along with any tea towels / oven gloves used.</w:t>
            </w:r>
          </w:p>
        </w:tc>
        <w:tc>
          <w:tcPr/>
          <w:p w:rsidR="00000000" w:rsidDel="00000000" w:rsidP="00000000" w:rsidRDefault="00000000" w:rsidRPr="00000000" w14:paraId="0000005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4">
            <w:pPr>
              <w:spacing w:after="0" w:line="240" w:lineRule="auto"/>
              <w:jc w:val="center"/>
              <w:rPr>
                <w:rFonts w:ascii="Arial" w:cs="Arial" w:eastAsia="Arial" w:hAnsi="Arial"/>
                <w:b w:val="1"/>
                <w:sz w:val="24"/>
                <w:szCs w:val="24"/>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5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Kitchen staff do not return to school before the minimum recommended exclusion period (or the ‘self-isolation’ period) has passed, in line with national guidance.</w:t>
            </w:r>
          </w:p>
        </w:tc>
        <w:tc>
          <w:tcPr/>
          <w:p w:rsidR="00000000" w:rsidDel="00000000" w:rsidP="00000000" w:rsidRDefault="00000000" w:rsidRPr="00000000" w14:paraId="0000005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C">
            <w:pPr>
              <w:spacing w:after="0" w:line="240" w:lineRule="auto"/>
              <w:jc w:val="center"/>
              <w:rPr>
                <w:rFonts w:ascii="Arial" w:cs="Arial" w:eastAsia="Arial" w:hAnsi="Arial"/>
                <w:b w:val="1"/>
                <w:sz w:val="24"/>
                <w:szCs w:val="24"/>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5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Everyone is instructed to monitor themselves and others and look out for similar symptoms if a staff member has been sent home with suspected coronavirus.</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Kitchen Staff are vigilant and report concerns about their own, a colleague’s or other’s symptoms to the Headteacher or SLT as soon as possible. </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is consistent in its approach to the management of suspected and confirmed cases of coronavirus.</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Kitchen Staff inform the headteacher when they plan to return to work after having coronavirus.</w:t>
            </w:r>
          </w:p>
        </w:tc>
        <w:tc>
          <w:tcPr/>
          <w:p w:rsidR="00000000" w:rsidDel="00000000" w:rsidP="00000000" w:rsidRDefault="00000000" w:rsidRPr="00000000" w14:paraId="0000006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66">
            <w:pPr>
              <w:spacing w:after="0" w:line="240" w:lineRule="auto"/>
              <w:jc w:val="center"/>
              <w:rPr>
                <w:rFonts w:ascii="Arial" w:cs="Arial" w:eastAsia="Arial" w:hAnsi="Arial"/>
                <w:b w:val="1"/>
                <w:sz w:val="24"/>
                <w:szCs w:val="24"/>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6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and Disinfection of areas where there has been </w:t>
            </w:r>
            <w:r w:rsidDel="00000000" w:rsidR="00000000" w:rsidRPr="00000000">
              <w:rPr>
                <w:rFonts w:ascii="Arial" w:cs="Arial" w:eastAsia="Arial" w:hAnsi="Arial"/>
                <w:b w:val="1"/>
                <w:sz w:val="24"/>
                <w:szCs w:val="24"/>
                <w:rtl w:val="0"/>
              </w:rPr>
              <w:t xml:space="preserve">no suspected </w:t>
            </w:r>
            <w:r w:rsidDel="00000000" w:rsidR="00000000" w:rsidRPr="00000000">
              <w:rPr>
                <w:rFonts w:ascii="Arial" w:cs="Arial" w:eastAsia="Arial" w:hAnsi="Arial"/>
                <w:sz w:val="24"/>
                <w:szCs w:val="24"/>
                <w:rtl w:val="0"/>
              </w:rPr>
              <w:t xml:space="preserve">cases of COVID -19</w:t>
            </w:r>
          </w:p>
        </w:tc>
        <w:tc>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Kitchen Staff must ensure they have received the appropriate training in using the cleaning chemicals prior to starting cleaning regime. </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kitchen staff must have sufficient PPE available and know how to use it correctly. </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Disposable gloves to be worn at all times (avoid touching the face and mouth when wearing gloves.</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Continue to use standard cleaning products (these usually are anti-bacterial. </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hard surfaces to be cleaned on a regular basis, this will include</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door handles</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tables and chairs used by staff and pupils </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Toilet flushes and regular cleaning of toilet area.</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 cleaning of surfaces will reduce the risk of spreading the virus. </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used cloths thrown away to be double bagged and then placed in normal waste.  </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Kitchen Staff wash hands with hot soapy water for at least 20 seconds or a hand sanitiser if not available (must be at least 60% alcohol based) </w:t>
            </w:r>
          </w:p>
        </w:tc>
        <w:tc>
          <w:tcPr/>
          <w:p w:rsidR="00000000" w:rsidDel="00000000" w:rsidP="00000000" w:rsidRDefault="00000000" w:rsidRPr="00000000" w14:paraId="0000007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77">
            <w:pPr>
              <w:spacing w:after="0" w:line="240" w:lineRule="auto"/>
              <w:jc w:val="center"/>
              <w:rPr>
                <w:rFonts w:ascii="Arial" w:cs="Arial" w:eastAsia="Arial" w:hAnsi="Arial"/>
                <w:b w:val="1"/>
                <w:sz w:val="24"/>
                <w:szCs w:val="24"/>
              </w:rPr>
            </w:pPr>
            <w:sdt>
              <w:sdtPr>
                <w:tag w:val="goog_rdk_8"/>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78">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sectPr>
      <w:headerReference r:id="rId7" w:type="default"/>
      <w:footerReference r:id="rId8" w:type="default"/>
      <w:pgSz w:h="11906" w:w="16838" w:orient="landscape"/>
      <w:pgMar w:bottom="1440" w:top="993" w:left="1440" w:right="1440" w:header="62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266700" cy="266700"/>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color w:val="000000"/>
        <w:rtl w:val="0"/>
      </w:rPr>
      <w:t xml:space="preserve">Elite Safety in Education </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-532762</wp:posOffset>
          </wp:positionH>
          <wp:positionV relativeFrom="paragraph">
            <wp:posOffset>-314957</wp:posOffset>
          </wp:positionV>
          <wp:extent cx="942975" cy="448310"/>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42975" cy="4483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241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C2411"/>
    <w:pPr>
      <w:ind w:left="720"/>
      <w:contextualSpacing w:val="1"/>
    </w:pPr>
    <w:rPr>
      <w:rFonts w:cs="Times New Roman"/>
    </w:rPr>
  </w:style>
  <w:style w:type="paragraph" w:styleId="Header">
    <w:name w:val="header"/>
    <w:basedOn w:val="Normal"/>
    <w:link w:val="HeaderChar"/>
    <w:uiPriority w:val="99"/>
    <w:unhideWhenUsed w:val="1"/>
    <w:rsid w:val="00A349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49BB"/>
  </w:style>
  <w:style w:type="paragraph" w:styleId="Footer">
    <w:name w:val="footer"/>
    <w:basedOn w:val="Normal"/>
    <w:link w:val="FooterChar"/>
    <w:uiPriority w:val="99"/>
    <w:unhideWhenUsed w:val="1"/>
    <w:rsid w:val="00A349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49BB"/>
  </w:style>
  <w:style w:type="paragraph" w:styleId="BalloonText">
    <w:name w:val="Balloon Text"/>
    <w:basedOn w:val="Normal"/>
    <w:link w:val="BalloonTextChar"/>
    <w:uiPriority w:val="99"/>
    <w:semiHidden w:val="1"/>
    <w:unhideWhenUsed w:val="1"/>
    <w:rsid w:val="00A349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349BB"/>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WAshbOGr8PeVxoD6VkyVEr8A==">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2020-07-15T12:38:00Z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