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Wild Card Spelling Patterns- Year 5 &amp;6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80" w:lineRule="auto"/>
        <w:rPr>
          <w:rFonts w:ascii="Nunito" w:cs="Nunito" w:eastAsia="Nunito" w:hAnsi="Nunito"/>
          <w:b w:val="1"/>
          <w:color w:val="333333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color w:val="333333"/>
          <w:sz w:val="24"/>
          <w:szCs w:val="24"/>
          <w:rtl w:val="0"/>
        </w:rPr>
        <w:t xml:space="preserve">In Years 5 and 6, the following spelling rules and patterns will be included in the Wild Card selection: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auto" w:space="0" w:sz="0" w:val="none"/>
          <w:bottom w:color="auto" w:space="7" w:sz="0" w:val="none"/>
          <w:right w:color="auto" w:space="0" w:sz="0" w:val="none"/>
        </w:pBdr>
        <w:spacing w:after="0" w:afterAutospacing="0" w:lineRule="auto"/>
        <w:ind w:left="1020" w:hanging="360"/>
        <w:rPr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color w:val="333333"/>
          <w:sz w:val="24"/>
          <w:szCs w:val="24"/>
          <w:rtl w:val="0"/>
        </w:rPr>
        <w:t xml:space="preserve">Words ending -cious and -tious such as 'delicious' and 'superstitious'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bottom w:color="auto" w:space="7" w:sz="0" w:val="none"/>
          <w:right w:color="auto" w:space="0" w:sz="0" w:val="none"/>
        </w:pBdr>
        <w:spacing w:after="0" w:afterAutospacing="0" w:lineRule="auto"/>
        <w:ind w:left="1020" w:hanging="360"/>
        <w:rPr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color w:val="333333"/>
          <w:sz w:val="24"/>
          <w:szCs w:val="24"/>
          <w:rtl w:val="0"/>
        </w:rPr>
        <w:t xml:space="preserve">Words ending -cial and -tial such as 'special' and 'partial'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7" w:sz="0" w:val="none"/>
          <w:right w:color="auto" w:space="0" w:sz="0" w:val="none"/>
        </w:pBdr>
        <w:spacing w:after="0" w:afterAutospacing="0" w:lineRule="auto"/>
        <w:ind w:left="1020" w:hanging="360"/>
        <w:rPr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color w:val="333333"/>
          <w:sz w:val="24"/>
          <w:szCs w:val="24"/>
          <w:rtl w:val="0"/>
        </w:rPr>
        <w:t xml:space="preserve">Words ending -ant, -ance and -ancy such as 'hesitant', 'hesitance' and 'hesitancy'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7" w:sz="0" w:val="none"/>
          <w:right w:color="auto" w:space="0" w:sz="0" w:val="none"/>
        </w:pBdr>
        <w:spacing w:after="0" w:afterAutospacing="0" w:lineRule="auto"/>
        <w:ind w:left="1020" w:hanging="360"/>
        <w:rPr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color w:val="333333"/>
          <w:sz w:val="24"/>
          <w:szCs w:val="24"/>
          <w:rtl w:val="0"/>
        </w:rPr>
        <w:t xml:space="preserve">Words ending -ent, -ence and -ency such as ‘patient’, ‘patience’ and ‘frequency’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7" w:sz="0" w:val="none"/>
          <w:right w:color="auto" w:space="0" w:sz="0" w:val="none"/>
        </w:pBdr>
        <w:spacing w:after="0" w:afterAutospacing="0" w:lineRule="auto"/>
        <w:ind w:left="1020" w:hanging="360"/>
        <w:rPr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color w:val="333333"/>
          <w:sz w:val="24"/>
          <w:szCs w:val="24"/>
          <w:rtl w:val="0"/>
        </w:rPr>
        <w:t xml:space="preserve">Words ending -able / -ably and -ible / -ibly such as 'comfortable' / 'comfortably' and 'horrible' / 'horribly'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7" w:sz="0" w:val="none"/>
          <w:right w:color="auto" w:space="0" w:sz="0" w:val="none"/>
        </w:pBdr>
        <w:spacing w:after="0" w:afterAutospacing="0" w:lineRule="auto"/>
        <w:ind w:left="1020" w:hanging="360"/>
        <w:rPr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color w:val="333333"/>
          <w:sz w:val="24"/>
          <w:szCs w:val="24"/>
          <w:rtl w:val="0"/>
        </w:rPr>
        <w:t xml:space="preserve">Adding -ing / -ed to words ending -fer, for example: 'prefer', 'preferring' and 'preferred'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7" w:sz="0" w:val="none"/>
          <w:right w:color="auto" w:space="0" w:sz="0" w:val="none"/>
        </w:pBdr>
        <w:spacing w:after="0" w:afterAutospacing="0" w:lineRule="auto"/>
        <w:ind w:left="1020" w:hanging="360"/>
        <w:rPr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color w:val="333333"/>
          <w:sz w:val="24"/>
          <w:szCs w:val="24"/>
          <w:rtl w:val="0"/>
        </w:rPr>
        <w:t xml:space="preserve">Use of the hyphen, for example: 'co-ordinate', 're-enter'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7" w:sz="0" w:val="none"/>
          <w:right w:color="auto" w:space="0" w:sz="0" w:val="none"/>
        </w:pBdr>
        <w:spacing w:after="0" w:afterAutospacing="0" w:lineRule="auto"/>
        <w:ind w:left="1020" w:hanging="360"/>
        <w:rPr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color w:val="333333"/>
          <w:sz w:val="24"/>
          <w:szCs w:val="24"/>
          <w:rtl w:val="0"/>
        </w:rPr>
        <w:t xml:space="preserve">Words containing ie / ei, for example: 'piece' and 'ceiling'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bottom w:color="auto" w:space="7" w:sz="0" w:val="none"/>
          <w:right w:color="auto" w:space="0" w:sz="0" w:val="none"/>
        </w:pBdr>
        <w:spacing w:after="0" w:afterAutospacing="0" w:lineRule="auto"/>
        <w:ind w:left="1020" w:hanging="360"/>
        <w:rPr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color w:val="333333"/>
          <w:sz w:val="24"/>
          <w:szCs w:val="24"/>
          <w:rtl w:val="0"/>
        </w:rPr>
        <w:t xml:space="preserve">Words containing ough and looking at the different sounds this grapheme makes in different words, for example: 'enough', 'through', 'although', 'plough'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bottom w:color="auto" w:space="7" w:sz="0" w:val="none"/>
          <w:right w:color="auto" w:space="0" w:sz="0" w:val="none"/>
        </w:pBdr>
        <w:spacing w:after="0" w:afterAutospacing="0" w:lineRule="auto"/>
        <w:ind w:left="1020" w:hanging="360"/>
        <w:rPr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color w:val="333333"/>
          <w:sz w:val="24"/>
          <w:szCs w:val="24"/>
          <w:rtl w:val="0"/>
        </w:rPr>
        <w:t xml:space="preserve">Silent letters in words such as 'doubt', 'thistle' and 'knight'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bottom w:color="auto" w:space="7" w:sz="0" w:val="none"/>
          <w:right w:color="auto" w:space="0" w:sz="0" w:val="none"/>
        </w:pBdr>
        <w:spacing w:after="280" w:lineRule="auto"/>
        <w:ind w:left="1020" w:hanging="360"/>
        <w:rPr>
          <w:b w:val="1"/>
        </w:rPr>
      </w:pPr>
      <w:hyperlink r:id="rId6">
        <w:r w:rsidDel="00000000" w:rsidR="00000000" w:rsidRPr="00000000">
          <w:rPr>
            <w:rFonts w:ascii="Nunito" w:cs="Nunito" w:eastAsia="Nunito" w:hAnsi="Nunito"/>
            <w:b w:val="1"/>
            <w:color w:val="fa871e"/>
            <w:sz w:val="24"/>
            <w:szCs w:val="24"/>
            <w:rtl w:val="0"/>
          </w:rPr>
          <w:t xml:space="preserve">Homophones</w:t>
        </w:r>
      </w:hyperlink>
      <w:r w:rsidDel="00000000" w:rsidR="00000000" w:rsidRPr="00000000">
        <w:rPr>
          <w:rFonts w:ascii="Nunito" w:cs="Nunito" w:eastAsia="Nunito" w:hAnsi="Nunito"/>
          <w:b w:val="1"/>
          <w:color w:val="333333"/>
          <w:sz w:val="24"/>
          <w:szCs w:val="24"/>
          <w:rtl w:val="0"/>
        </w:rPr>
        <w:t xml:space="preserve"> (words which sound the same but are spelled differently) for example: 'principle' and 'principal'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unito" w:cs="Nunito" w:eastAsia="Nunito" w:hAnsi="Nunito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theschoolrun.com/homophones-explained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