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FB724F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w:t>
      </w:r>
      <w:proofErr w:type="gramStart"/>
      <w:r>
        <w:rPr>
          <w:b w:val="0"/>
          <w:bCs/>
          <w:color w:val="auto"/>
          <w:sz w:val="24"/>
          <w:szCs w:val="24"/>
        </w:rPr>
        <w:t>year’s</w:t>
      </w:r>
      <w:proofErr w:type="gramEnd"/>
      <w:r>
        <w:rPr>
          <w:b w:val="0"/>
          <w:bCs/>
          <w:color w:val="auto"/>
          <w:sz w:val="24"/>
          <w:szCs w:val="24"/>
        </w:rPr>
        <w:t xml:space="preserve">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3BD0CE1" w:rsidR="00E66558" w:rsidRDefault="0007596F" w:rsidP="0007596F">
            <w:pPr>
              <w:pStyle w:val="TableRow"/>
            </w:pPr>
            <w:r>
              <w:t>Rose Wood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B37A687" w:rsidR="00E66558" w:rsidRDefault="00C9580C">
            <w:pPr>
              <w:pStyle w:val="TableRow"/>
            </w:pPr>
            <w:r>
              <w:t>322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D6D9D1B" w:rsidR="00E66558" w:rsidRDefault="00C9580C">
            <w:pPr>
              <w:pStyle w:val="TableRow"/>
            </w:pPr>
            <w:r>
              <w:t>25.78</w:t>
            </w:r>
            <w:r w:rsidR="00BE29E6">
              <w:t xml:space="preserve">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8404157" w:rsidR="00E66558" w:rsidRDefault="00C9580C">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EEBECBB" w:rsidR="00E66558" w:rsidRDefault="00544FB4">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62014D7" w:rsidR="00E66558" w:rsidRDefault="00544FB4">
            <w:pPr>
              <w:pStyle w:val="TableRow"/>
            </w:pPr>
            <w:r>
              <w:t>October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36DDEF1" w:rsidR="00E66558" w:rsidRDefault="00C01C4A">
            <w:pPr>
              <w:pStyle w:val="TableRow"/>
            </w:pPr>
            <w:r>
              <w:t>Paul Cowley/Lisa Carney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34641A0" w:rsidR="00E66558" w:rsidRDefault="00C9580C">
            <w:pPr>
              <w:pStyle w:val="TableRow"/>
            </w:pPr>
            <w:r>
              <w:t>Lisa Carney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8DB40B5" w:rsidR="00E66558" w:rsidRDefault="008324F9">
            <w:pPr>
              <w:pStyle w:val="TableRow"/>
            </w:pPr>
            <w:r>
              <w:t xml:space="preserve">David Elliott </w:t>
            </w:r>
            <w:bookmarkStart w:id="14" w:name="_GoBack"/>
            <w:bookmarkEnd w:id="14"/>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ED77EA3" w:rsidR="00E66558" w:rsidRDefault="009D71E8">
            <w:pPr>
              <w:pStyle w:val="TableRow"/>
            </w:pPr>
            <w:r>
              <w:t>£</w:t>
            </w:r>
            <w:r w:rsidR="00C9580C">
              <w:t>111</w:t>
            </w:r>
            <w:r w:rsidR="00BE29E6">
              <w:t xml:space="preserve"> </w:t>
            </w:r>
            <w:r w:rsidR="00C9580C">
              <w:t>635.00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C22239C" w:rsidR="00E66558" w:rsidRDefault="009D71E8">
            <w:pPr>
              <w:pStyle w:val="TableRow"/>
            </w:pPr>
            <w:r>
              <w:t>£</w:t>
            </w:r>
            <w:r w:rsidR="00C9580C" w:rsidRPr="00C9580C">
              <w:t>13</w:t>
            </w:r>
            <w:r w:rsidR="00BE29E6">
              <w:t xml:space="preserve"> </w:t>
            </w:r>
            <w:r w:rsidR="00C9580C" w:rsidRPr="00C9580C">
              <w:t>050</w:t>
            </w:r>
            <w:r w:rsidR="00BE29E6">
              <w:t>.00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BA7D52D" w:rsidR="00E66558" w:rsidRDefault="009D71E8">
            <w:pPr>
              <w:pStyle w:val="TableRow"/>
            </w:pPr>
            <w:r>
              <w:t>£</w:t>
            </w:r>
            <w:r w:rsidR="00C9580C">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F3ED333" w:rsidR="00E66558" w:rsidRDefault="009D71E8">
            <w:pPr>
              <w:pStyle w:val="TableRow"/>
            </w:pPr>
            <w:r>
              <w:t>£</w:t>
            </w:r>
            <w:r w:rsidR="00C9580C">
              <w:t>124</w:t>
            </w:r>
            <w:r w:rsidR="00BE29E6">
              <w:t xml:space="preserve"> </w:t>
            </w:r>
            <w:r w:rsidR="00C9580C">
              <w:t>685</w:t>
            </w:r>
            <w:r w:rsidR="00BE29E6">
              <w:t>.00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1CB8" w14:textId="73A777FE" w:rsidR="005A2A3C" w:rsidRPr="00626AEC" w:rsidRDefault="005A2A3C" w:rsidP="005A2A3C">
            <w:pPr>
              <w:pStyle w:val="Default"/>
              <w:rPr>
                <w:rFonts w:ascii="Arial" w:hAnsi="Arial" w:cs="Arial"/>
                <w:sz w:val="22"/>
                <w:szCs w:val="22"/>
              </w:rPr>
            </w:pPr>
            <w:r w:rsidRPr="00626AEC">
              <w:rPr>
                <w:rFonts w:ascii="Arial" w:hAnsi="Arial" w:cs="Arial"/>
                <w:sz w:val="22"/>
                <w:szCs w:val="22"/>
              </w:rPr>
              <w:t xml:space="preserve">The primary intent of pupil premium funding is to diminish the difference between the attainment of disadvantaged and non-disadvantaged pupils. We are determined to ensure that all of our children </w:t>
            </w:r>
            <w:proofErr w:type="gramStart"/>
            <w:r w:rsidRPr="00626AEC">
              <w:rPr>
                <w:rFonts w:ascii="Arial" w:hAnsi="Arial" w:cs="Arial"/>
                <w:sz w:val="22"/>
                <w:szCs w:val="22"/>
              </w:rPr>
              <w:t>are given</w:t>
            </w:r>
            <w:proofErr w:type="gramEnd"/>
            <w:r w:rsidRPr="00626AEC">
              <w:rPr>
                <w:rFonts w:ascii="Arial" w:hAnsi="Arial" w:cs="Arial"/>
                <w:sz w:val="22"/>
                <w:szCs w:val="22"/>
              </w:rPr>
              <w:t xml:space="preserve"> every chance to realise their full potential and endeavour that no child will be left behind on our journey towards success for all. Pupil premium funding, along with allocations made from the school’s own budget, will help ensure this money is spent to maximum effect to enable </w:t>
            </w:r>
            <w:proofErr w:type="gramStart"/>
            <w:r w:rsidRPr="00626AEC">
              <w:rPr>
                <w:rFonts w:ascii="Arial" w:hAnsi="Arial" w:cs="Arial"/>
                <w:sz w:val="22"/>
                <w:szCs w:val="22"/>
              </w:rPr>
              <w:t>each and every</w:t>
            </w:r>
            <w:proofErr w:type="gramEnd"/>
            <w:r w:rsidRPr="00626AEC">
              <w:rPr>
                <w:rFonts w:ascii="Arial" w:hAnsi="Arial" w:cs="Arial"/>
                <w:sz w:val="22"/>
                <w:szCs w:val="22"/>
              </w:rPr>
              <w:t xml:space="preserve"> pupil at Rose Wood Academy to achieve. </w:t>
            </w:r>
            <w:r w:rsidR="00626AEC" w:rsidRPr="00626AEC">
              <w:rPr>
                <w:rFonts w:ascii="Arial" w:hAnsi="Arial" w:cs="Arial"/>
                <w:sz w:val="22"/>
                <w:szCs w:val="22"/>
              </w:rPr>
              <w:t>In making provision for socially disadvantaged pupils, we recognise that not all pupils who receive free school meals w</w:t>
            </w:r>
            <w:r w:rsidR="00626AEC">
              <w:rPr>
                <w:rFonts w:ascii="Arial" w:hAnsi="Arial" w:cs="Arial"/>
                <w:sz w:val="22"/>
                <w:szCs w:val="22"/>
              </w:rPr>
              <w:t xml:space="preserve">ill be socially disadvantaged. </w:t>
            </w:r>
            <w:r w:rsidR="00626AEC" w:rsidRPr="00626AEC">
              <w:rPr>
                <w:rFonts w:ascii="Arial" w:hAnsi="Arial" w:cs="Arial"/>
                <w:sz w:val="22"/>
                <w:szCs w:val="22"/>
              </w:rPr>
              <w:t xml:space="preserve">We also recognise that not all pupils who are socially disadvantaged are registered or qualify </w:t>
            </w:r>
            <w:proofErr w:type="gramStart"/>
            <w:r w:rsidR="00626AEC" w:rsidRPr="00626AEC">
              <w:rPr>
                <w:rFonts w:ascii="Arial" w:hAnsi="Arial" w:cs="Arial"/>
                <w:sz w:val="22"/>
                <w:szCs w:val="22"/>
              </w:rPr>
              <w:t>for free</w:t>
            </w:r>
            <w:proofErr w:type="gramEnd"/>
            <w:r w:rsidR="00626AEC" w:rsidRPr="00626AEC">
              <w:rPr>
                <w:rFonts w:ascii="Arial" w:hAnsi="Arial" w:cs="Arial"/>
                <w:sz w:val="22"/>
                <w:szCs w:val="22"/>
              </w:rPr>
              <w:t xml:space="preserve"> school meals. We reserve the right to allocate the Pupil Premium funding to support any pupil or groups of pupils the school has legitimately identified as being socially disadvantaged. </w:t>
            </w:r>
          </w:p>
          <w:p w14:paraId="29D9DE13" w14:textId="6AAF1438" w:rsidR="00663398" w:rsidRDefault="00663398" w:rsidP="005A2A3C">
            <w:pPr>
              <w:pStyle w:val="Default"/>
              <w:rPr>
                <w:rFonts w:ascii="Arial" w:hAnsi="Arial" w:cs="Arial"/>
                <w:sz w:val="22"/>
                <w:szCs w:val="22"/>
              </w:rPr>
            </w:pPr>
          </w:p>
          <w:p w14:paraId="40A73317" w14:textId="373AFB3C" w:rsidR="002A2DDB" w:rsidRDefault="00626AEC" w:rsidP="002A2DDB">
            <w:pPr>
              <w:pStyle w:val="NoSpacing"/>
              <w:rPr>
                <w:sz w:val="22"/>
                <w:szCs w:val="22"/>
              </w:rPr>
            </w:pPr>
            <w:r w:rsidRPr="00394197">
              <w:rPr>
                <w:sz w:val="22"/>
                <w:szCs w:val="22"/>
              </w:rPr>
              <w:t>In order to achieve our aims stated above</w:t>
            </w:r>
            <w:r w:rsidR="005A2A3C" w:rsidRPr="00394197">
              <w:rPr>
                <w:sz w:val="22"/>
                <w:szCs w:val="22"/>
              </w:rPr>
              <w:t>, we</w:t>
            </w:r>
            <w:r w:rsidR="00663398" w:rsidRPr="00394197">
              <w:rPr>
                <w:sz w:val="22"/>
                <w:szCs w:val="22"/>
              </w:rPr>
              <w:t xml:space="preserve"> use an evidence driven approach to</w:t>
            </w:r>
            <w:r w:rsidR="005A2A3C" w:rsidRPr="00394197">
              <w:rPr>
                <w:sz w:val="22"/>
                <w:szCs w:val="22"/>
              </w:rPr>
              <w:t xml:space="preserve"> target our spending</w:t>
            </w:r>
            <w:r w:rsidR="00663398" w:rsidRPr="00394197">
              <w:rPr>
                <w:sz w:val="22"/>
                <w:szCs w:val="22"/>
              </w:rPr>
              <w:t xml:space="preserve"> and ensure that it has the maximum impact.</w:t>
            </w:r>
            <w:r w:rsidRPr="00394197">
              <w:rPr>
                <w:sz w:val="22"/>
                <w:szCs w:val="22"/>
              </w:rPr>
              <w:t xml:space="preserve"> We have used a range of evidence sources to inform our </w:t>
            </w:r>
            <w:proofErr w:type="gramStart"/>
            <w:r w:rsidRPr="00394197">
              <w:rPr>
                <w:sz w:val="22"/>
                <w:szCs w:val="22"/>
              </w:rPr>
              <w:t>decision making</w:t>
            </w:r>
            <w:proofErr w:type="gramEnd"/>
            <w:r w:rsidRPr="00394197">
              <w:rPr>
                <w:sz w:val="22"/>
                <w:szCs w:val="22"/>
              </w:rPr>
              <w:t xml:space="preserve">, including recognising the importance of looking at local </w:t>
            </w:r>
            <w:r w:rsidR="00DA6B87" w:rsidRPr="00394197">
              <w:rPr>
                <w:sz w:val="22"/>
                <w:szCs w:val="22"/>
              </w:rPr>
              <w:t xml:space="preserve">factors. We </w:t>
            </w:r>
            <w:r w:rsidRPr="00394197">
              <w:rPr>
                <w:sz w:val="22"/>
                <w:szCs w:val="22"/>
              </w:rPr>
              <w:t>have th</w:t>
            </w:r>
            <w:r w:rsidR="002A2DDB">
              <w:rPr>
                <w:sz w:val="22"/>
                <w:szCs w:val="22"/>
              </w:rPr>
              <w:t xml:space="preserve">erefore also considered the findings of </w:t>
            </w:r>
            <w:r w:rsidRPr="00394197">
              <w:rPr>
                <w:sz w:val="22"/>
                <w:szCs w:val="22"/>
              </w:rPr>
              <w:t>the ‘Transforming Tees</w:t>
            </w:r>
            <w:r w:rsidR="00DA6B87" w:rsidRPr="00394197">
              <w:rPr>
                <w:sz w:val="22"/>
                <w:szCs w:val="22"/>
              </w:rPr>
              <w:t xml:space="preserve"> – High Achievement Review’, which identifies the key drivers which have been the most successful in tackling disadvantage</w:t>
            </w:r>
            <w:r w:rsidR="00394197">
              <w:rPr>
                <w:sz w:val="22"/>
                <w:szCs w:val="22"/>
              </w:rPr>
              <w:t xml:space="preserve"> locally. We have also made our decisions </w:t>
            </w:r>
            <w:r w:rsidR="005A2A3C" w:rsidRPr="00394197">
              <w:rPr>
                <w:sz w:val="22"/>
                <w:szCs w:val="22"/>
              </w:rPr>
              <w:t>in accordance with research findings from the Department of Education</w:t>
            </w:r>
            <w:r w:rsidR="00394197">
              <w:rPr>
                <w:sz w:val="22"/>
                <w:szCs w:val="22"/>
              </w:rPr>
              <w:t>,</w:t>
            </w:r>
            <w:r w:rsidR="005A2A3C" w:rsidRPr="00394197">
              <w:rPr>
                <w:sz w:val="22"/>
                <w:szCs w:val="22"/>
              </w:rPr>
              <w:t xml:space="preserve"> aimed at identifying the factors that have the most impact on raising the achievement of disadvantaged pupils. </w:t>
            </w:r>
            <w:r w:rsidR="002A2DDB">
              <w:rPr>
                <w:sz w:val="22"/>
                <w:szCs w:val="22"/>
              </w:rPr>
              <w:t>The r</w:t>
            </w:r>
            <w:r w:rsidR="005A2A3C" w:rsidRPr="00394197">
              <w:rPr>
                <w:sz w:val="22"/>
                <w:szCs w:val="22"/>
              </w:rPr>
              <w:t xml:space="preserve">esearch undertaken by NFER for the Department for Education identified seven areas which were common in </w:t>
            </w:r>
            <w:proofErr w:type="gramStart"/>
            <w:r w:rsidR="005A2A3C" w:rsidRPr="00394197">
              <w:rPr>
                <w:sz w:val="22"/>
                <w:szCs w:val="22"/>
              </w:rPr>
              <w:t>schools which were the most successful in narrowing the gap</w:t>
            </w:r>
            <w:proofErr w:type="gramEnd"/>
            <w:r w:rsidR="005A2A3C" w:rsidRPr="00394197">
              <w:rPr>
                <w:sz w:val="22"/>
                <w:szCs w:val="22"/>
              </w:rPr>
              <w:t xml:space="preserve"> and we have used this evidence driven approach as our rationale for our pupil premium spending. </w:t>
            </w:r>
            <w:r w:rsidR="002A2DDB">
              <w:rPr>
                <w:sz w:val="22"/>
                <w:szCs w:val="22"/>
              </w:rPr>
              <w:t>The seven areas are as follows:</w:t>
            </w:r>
          </w:p>
          <w:p w14:paraId="1B50B068" w14:textId="77777777" w:rsidR="002A2DDB" w:rsidRDefault="002A2DDB" w:rsidP="002A2DDB">
            <w:pPr>
              <w:pStyle w:val="NoSpacing"/>
              <w:rPr>
                <w:sz w:val="22"/>
                <w:szCs w:val="22"/>
              </w:rPr>
            </w:pPr>
          </w:p>
          <w:p w14:paraId="60FAB6BE" w14:textId="38E20069" w:rsidR="002A2DDB" w:rsidRPr="00DB535F" w:rsidRDefault="002A2DDB" w:rsidP="002A2DDB">
            <w:pPr>
              <w:pStyle w:val="NoSpacing"/>
              <w:rPr>
                <w:sz w:val="22"/>
                <w:szCs w:val="22"/>
              </w:rPr>
            </w:pPr>
            <w:r>
              <w:t xml:space="preserve"> </w:t>
            </w:r>
            <w:r w:rsidRPr="00DB535F">
              <w:rPr>
                <w:sz w:val="22"/>
                <w:szCs w:val="22"/>
              </w:rPr>
              <w:t xml:space="preserve">1. Whole-school ethos of attainment for all </w:t>
            </w:r>
          </w:p>
          <w:p w14:paraId="193BBA6A" w14:textId="77777777" w:rsidR="002A2DDB" w:rsidRPr="00DB535F" w:rsidRDefault="002A2DDB" w:rsidP="002A2DDB">
            <w:pPr>
              <w:pStyle w:val="NoSpacing"/>
              <w:rPr>
                <w:sz w:val="22"/>
                <w:szCs w:val="22"/>
              </w:rPr>
            </w:pPr>
            <w:r w:rsidRPr="00DB535F">
              <w:rPr>
                <w:sz w:val="22"/>
                <w:szCs w:val="22"/>
              </w:rPr>
              <w:t xml:space="preserve"> 2. Addressing behaviour and attendance </w:t>
            </w:r>
          </w:p>
          <w:p w14:paraId="0C8CE521" w14:textId="77777777" w:rsidR="007C1D67" w:rsidRPr="00DB535F" w:rsidRDefault="002A2DDB" w:rsidP="002A2DDB">
            <w:pPr>
              <w:pStyle w:val="NoSpacing"/>
              <w:rPr>
                <w:sz w:val="22"/>
                <w:szCs w:val="22"/>
              </w:rPr>
            </w:pPr>
            <w:r w:rsidRPr="00DB535F">
              <w:rPr>
                <w:sz w:val="22"/>
                <w:szCs w:val="22"/>
              </w:rPr>
              <w:t xml:space="preserve"> 3. High quality teaching first</w:t>
            </w:r>
          </w:p>
          <w:p w14:paraId="23B638AA" w14:textId="77777777" w:rsidR="007C1D67" w:rsidRPr="00DB535F" w:rsidRDefault="002A2DDB" w:rsidP="002A2DDB">
            <w:pPr>
              <w:pStyle w:val="NoSpacing"/>
              <w:rPr>
                <w:sz w:val="22"/>
                <w:szCs w:val="22"/>
              </w:rPr>
            </w:pPr>
            <w:r w:rsidRPr="00DB535F">
              <w:rPr>
                <w:sz w:val="22"/>
                <w:szCs w:val="22"/>
              </w:rPr>
              <w:t xml:space="preserve"> 4. Meeting individual learning needs </w:t>
            </w:r>
          </w:p>
          <w:p w14:paraId="652A3A48" w14:textId="77777777" w:rsidR="007C1D67" w:rsidRPr="00DB535F" w:rsidRDefault="002A2DDB" w:rsidP="002A2DDB">
            <w:pPr>
              <w:pStyle w:val="NoSpacing"/>
              <w:rPr>
                <w:sz w:val="22"/>
                <w:szCs w:val="22"/>
              </w:rPr>
            </w:pPr>
            <w:r w:rsidRPr="00DB535F">
              <w:rPr>
                <w:sz w:val="22"/>
                <w:szCs w:val="22"/>
              </w:rPr>
              <w:t xml:space="preserve"> 5. Deploying staff effectively</w:t>
            </w:r>
          </w:p>
          <w:p w14:paraId="3D276D7B" w14:textId="77777777" w:rsidR="007C1D67" w:rsidRPr="00DB535F" w:rsidRDefault="002A2DDB" w:rsidP="002A2DDB">
            <w:pPr>
              <w:pStyle w:val="NoSpacing"/>
              <w:rPr>
                <w:sz w:val="22"/>
                <w:szCs w:val="22"/>
              </w:rPr>
            </w:pPr>
            <w:r w:rsidRPr="00DB535F">
              <w:rPr>
                <w:sz w:val="22"/>
                <w:szCs w:val="22"/>
              </w:rPr>
              <w:t xml:space="preserve"> 6. Data driven and responding to evidence </w:t>
            </w:r>
          </w:p>
          <w:p w14:paraId="65E36EEA" w14:textId="137A0C8E" w:rsidR="002A2DDB" w:rsidRPr="00DB535F" w:rsidRDefault="002A2DDB" w:rsidP="002A2DDB">
            <w:pPr>
              <w:pStyle w:val="NoSpacing"/>
              <w:rPr>
                <w:sz w:val="22"/>
                <w:szCs w:val="22"/>
              </w:rPr>
            </w:pPr>
            <w:r w:rsidRPr="00DB535F">
              <w:rPr>
                <w:sz w:val="22"/>
                <w:szCs w:val="22"/>
              </w:rPr>
              <w:t xml:space="preserve"> 7. Clear, responsive leadership </w:t>
            </w:r>
          </w:p>
          <w:p w14:paraId="1B7CB118" w14:textId="77777777" w:rsidR="002A2DDB" w:rsidRDefault="002A2DDB" w:rsidP="002A2DDB">
            <w:pPr>
              <w:pStyle w:val="NoSpacing"/>
              <w:rPr>
                <w:sz w:val="22"/>
                <w:szCs w:val="22"/>
              </w:rPr>
            </w:pPr>
          </w:p>
          <w:p w14:paraId="6A0D4F4A" w14:textId="09E1F87F" w:rsidR="005A2A3C" w:rsidRDefault="007C1D67" w:rsidP="00DB535F">
            <w:pPr>
              <w:pStyle w:val="NoSpacing"/>
              <w:rPr>
                <w:sz w:val="22"/>
                <w:szCs w:val="22"/>
              </w:rPr>
            </w:pPr>
            <w:r>
              <w:rPr>
                <w:sz w:val="22"/>
                <w:szCs w:val="22"/>
              </w:rPr>
              <w:t xml:space="preserve">We feel that </w:t>
            </w:r>
            <w:r w:rsidR="00394197">
              <w:rPr>
                <w:sz w:val="22"/>
                <w:szCs w:val="22"/>
              </w:rPr>
              <w:t xml:space="preserve">the recommendations in the EEF guidance documents </w:t>
            </w:r>
            <w:r w:rsidR="006C453A">
              <w:rPr>
                <w:sz w:val="22"/>
                <w:szCs w:val="22"/>
              </w:rPr>
              <w:t>and ‘T</w:t>
            </w:r>
            <w:r w:rsidR="00217360">
              <w:rPr>
                <w:sz w:val="22"/>
                <w:szCs w:val="22"/>
              </w:rPr>
              <w:t>eaching and Learning Toolkit</w:t>
            </w:r>
            <w:r w:rsidR="006C453A">
              <w:rPr>
                <w:sz w:val="22"/>
                <w:szCs w:val="22"/>
              </w:rPr>
              <w:t>’</w:t>
            </w:r>
            <w:r w:rsidR="00217360">
              <w:rPr>
                <w:sz w:val="22"/>
                <w:szCs w:val="22"/>
              </w:rPr>
              <w:t xml:space="preserve"> underpin these broader </w:t>
            </w:r>
            <w:r w:rsidR="00DB535F">
              <w:rPr>
                <w:sz w:val="22"/>
                <w:szCs w:val="22"/>
              </w:rPr>
              <w:t xml:space="preserve">areas and therefore these </w:t>
            </w:r>
            <w:proofErr w:type="gramStart"/>
            <w:r w:rsidR="00DB535F">
              <w:rPr>
                <w:sz w:val="22"/>
                <w:szCs w:val="22"/>
              </w:rPr>
              <w:t>are also</w:t>
            </w:r>
            <w:proofErr w:type="gramEnd"/>
            <w:r w:rsidR="00DB535F">
              <w:rPr>
                <w:sz w:val="22"/>
                <w:szCs w:val="22"/>
              </w:rPr>
              <w:t xml:space="preserve"> fundamental to the decisions that we have made in this pupil premium strategy. </w:t>
            </w:r>
          </w:p>
          <w:p w14:paraId="6577A2BA" w14:textId="77777777" w:rsidR="00DB535F" w:rsidRDefault="00DB535F" w:rsidP="00DB535F">
            <w:pPr>
              <w:pStyle w:val="NoSpacing"/>
              <w:rPr>
                <w:sz w:val="22"/>
                <w:szCs w:val="22"/>
              </w:rPr>
            </w:pPr>
          </w:p>
          <w:p w14:paraId="2A7D54E9" w14:textId="31280D93" w:rsidR="00DB535F" w:rsidRPr="00394197" w:rsidRDefault="00DB535F" w:rsidP="00DB535F">
            <w:pPr>
              <w:pStyle w:val="NoSpacing"/>
              <w:rPr>
                <w:sz w:val="22"/>
                <w:szCs w:val="22"/>
              </w:rPr>
            </w:pPr>
            <w:r>
              <w:rPr>
                <w:sz w:val="22"/>
                <w:szCs w:val="22"/>
              </w:rPr>
              <w:t>We believe that although we have a designated PP lead</w:t>
            </w:r>
            <w:r w:rsidR="006C453A">
              <w:rPr>
                <w:sz w:val="22"/>
                <w:szCs w:val="22"/>
              </w:rPr>
              <w:t>,</w:t>
            </w:r>
            <w:r>
              <w:rPr>
                <w:sz w:val="22"/>
                <w:szCs w:val="22"/>
              </w:rPr>
              <w:t xml:space="preserve"> it is all staff’s responsibility to ensure success for all our pupils and</w:t>
            </w:r>
            <w:r w:rsidR="006C453A">
              <w:rPr>
                <w:sz w:val="22"/>
                <w:szCs w:val="22"/>
              </w:rPr>
              <w:t xml:space="preserve"> it</w:t>
            </w:r>
            <w:r>
              <w:rPr>
                <w:sz w:val="22"/>
                <w:szCs w:val="22"/>
              </w:rPr>
              <w:t xml:space="preserve"> is </w:t>
            </w:r>
            <w:r w:rsidR="006C453A">
              <w:rPr>
                <w:sz w:val="22"/>
                <w:szCs w:val="22"/>
              </w:rPr>
              <w:t xml:space="preserve">therefore </w:t>
            </w:r>
            <w:r>
              <w:rPr>
                <w:sz w:val="22"/>
                <w:szCs w:val="22"/>
              </w:rPr>
              <w:t xml:space="preserve">an expectation for all staff in school. We also believe, in line with the EEF guidelines, that the needs of the disadvantaged children </w:t>
            </w:r>
            <w:proofErr w:type="gramStart"/>
            <w:r>
              <w:rPr>
                <w:sz w:val="22"/>
                <w:szCs w:val="22"/>
              </w:rPr>
              <w:t>are best served</w:t>
            </w:r>
            <w:proofErr w:type="gramEnd"/>
            <w:r>
              <w:rPr>
                <w:sz w:val="22"/>
                <w:szCs w:val="22"/>
              </w:rPr>
              <w:t xml:space="preserve"> by high quality first teaching and this is supplemented by targeted support and wider strategies to ensure that children are supported and able to learn.</w:t>
            </w:r>
          </w:p>
        </w:tc>
      </w:tr>
    </w:tbl>
    <w:p w14:paraId="55E631DA" w14:textId="77777777" w:rsidR="009A5C89" w:rsidRDefault="009A5C89">
      <w:pPr>
        <w:pStyle w:val="Heading2"/>
        <w:spacing w:before="600"/>
      </w:pPr>
    </w:p>
    <w:p w14:paraId="2A7D54EB" w14:textId="1DC2D15A"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5A2A3C"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CBA1AA7" w:rsidR="005A2A3C" w:rsidRDefault="005A2A3C" w:rsidP="005A2A3C">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A4E8D51" w:rsidR="005A2A3C" w:rsidRPr="005A2A3C" w:rsidRDefault="005A2A3C" w:rsidP="005A2A3C">
            <w:pPr>
              <w:pStyle w:val="TableRowCentered"/>
              <w:jc w:val="left"/>
              <w:rPr>
                <w:rFonts w:cs="Arial"/>
                <w:sz w:val="22"/>
                <w:szCs w:val="22"/>
              </w:rPr>
            </w:pPr>
            <w:r>
              <w:rPr>
                <w:rFonts w:cs="Arial"/>
                <w:sz w:val="22"/>
                <w:szCs w:val="22"/>
              </w:rPr>
              <w:t>Speech and language deficit, especially in early language acquisition</w:t>
            </w:r>
          </w:p>
        </w:tc>
      </w:tr>
      <w:tr w:rsidR="005A2A3C"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C84F6CF" w:rsidR="005A2A3C" w:rsidRDefault="005A2A3C" w:rsidP="005A2A3C">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32EE8A0" w:rsidR="005A2A3C" w:rsidRDefault="005A2A3C" w:rsidP="005A2A3C">
            <w:pPr>
              <w:pStyle w:val="TableRowCentered"/>
              <w:jc w:val="left"/>
              <w:rPr>
                <w:sz w:val="22"/>
                <w:szCs w:val="22"/>
              </w:rPr>
            </w:pPr>
            <w:r w:rsidRPr="00D91957">
              <w:rPr>
                <w:sz w:val="22"/>
                <w:szCs w:val="22"/>
              </w:rPr>
              <w:t>Gaps in key areas of learning</w:t>
            </w:r>
          </w:p>
        </w:tc>
      </w:tr>
      <w:tr w:rsidR="005A2A3C"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939D2BD" w:rsidR="005A2A3C" w:rsidRDefault="005A2A3C" w:rsidP="005A2A3C">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A569046" w:rsidR="005A2A3C" w:rsidRDefault="005A2A3C" w:rsidP="005A2A3C">
            <w:pPr>
              <w:pStyle w:val="TableRowCentered"/>
              <w:jc w:val="left"/>
              <w:rPr>
                <w:iCs/>
                <w:sz w:val="22"/>
              </w:rPr>
            </w:pPr>
            <w:r w:rsidRPr="00D91957">
              <w:rPr>
                <w:sz w:val="22"/>
                <w:szCs w:val="22"/>
              </w:rPr>
              <w:t>Poor reading skills and understanding</w:t>
            </w:r>
          </w:p>
        </w:tc>
      </w:tr>
      <w:tr w:rsidR="005A2A3C"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15261C3" w:rsidR="005A2A3C" w:rsidRDefault="005A2A3C" w:rsidP="005A2A3C">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07D51DB" w:rsidR="005A2A3C" w:rsidRDefault="005A2A3C" w:rsidP="005A2A3C">
            <w:pPr>
              <w:pStyle w:val="TableRowCentered"/>
              <w:jc w:val="left"/>
              <w:rPr>
                <w:iCs/>
                <w:sz w:val="22"/>
              </w:rPr>
            </w:pPr>
            <w:r w:rsidRPr="00D91957">
              <w:rPr>
                <w:iCs/>
                <w:sz w:val="22"/>
              </w:rPr>
              <w:t>Lack of parental engagement or skills to support child’s education</w:t>
            </w:r>
          </w:p>
        </w:tc>
      </w:tr>
      <w:tr w:rsidR="005A2A3C" w14:paraId="623F826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B6945" w14:textId="22D79153" w:rsidR="005A2A3C" w:rsidRDefault="005A2A3C" w:rsidP="005A2A3C">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261D2" w14:textId="42EECFE1" w:rsidR="005A2A3C" w:rsidRDefault="005A2A3C" w:rsidP="005A2A3C">
            <w:pPr>
              <w:pStyle w:val="TableRowCentered"/>
              <w:jc w:val="left"/>
              <w:rPr>
                <w:iCs/>
                <w:sz w:val="22"/>
              </w:rPr>
            </w:pPr>
            <w:r w:rsidRPr="00D91957">
              <w:rPr>
                <w:iCs/>
                <w:sz w:val="22"/>
              </w:rPr>
              <w:t>Social and emotional issues affecting learning behaviours</w:t>
            </w:r>
          </w:p>
        </w:tc>
      </w:tr>
      <w:tr w:rsidR="005A2A3C" w14:paraId="06C0973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51A83" w14:textId="31BC1561" w:rsidR="005A2A3C" w:rsidRDefault="005A2A3C" w:rsidP="005A2A3C">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6BEC0" w14:textId="178CF4B8" w:rsidR="005A2A3C" w:rsidRDefault="005A2A3C" w:rsidP="005A2A3C">
            <w:pPr>
              <w:pStyle w:val="TableRowCentered"/>
              <w:jc w:val="left"/>
              <w:rPr>
                <w:iCs/>
                <w:sz w:val="22"/>
              </w:rPr>
            </w:pPr>
            <w:r w:rsidRPr="00D91957">
              <w:rPr>
                <w:iCs/>
                <w:sz w:val="22"/>
              </w:rPr>
              <w:t>Attendance and punctuality</w:t>
            </w:r>
          </w:p>
        </w:tc>
      </w:tr>
      <w:tr w:rsidR="005A2A3C" w14:paraId="199BD7B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DB66D" w14:textId="0AAECE8A" w:rsidR="005A2A3C" w:rsidRDefault="005A2A3C" w:rsidP="005A2A3C">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3862" w14:textId="6F3635CF" w:rsidR="005A2A3C" w:rsidRPr="00D91957" w:rsidRDefault="005A2A3C" w:rsidP="005A2A3C">
            <w:pPr>
              <w:pStyle w:val="TableRowCentered"/>
              <w:jc w:val="left"/>
              <w:rPr>
                <w:iCs/>
                <w:sz w:val="22"/>
              </w:rPr>
            </w:pPr>
            <w:r w:rsidRPr="00D91957">
              <w:rPr>
                <w:iCs/>
                <w:sz w:val="22"/>
              </w:rPr>
              <w:t>Lack of opportunities to widen child’s experiences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xml:space="preserve">, and how we will measure whether they </w:t>
      </w:r>
      <w:proofErr w:type="gramStart"/>
      <w:r>
        <w:rPr>
          <w:color w:val="auto"/>
        </w:rPr>
        <w:t>have been achieved</w:t>
      </w:r>
      <w:proofErr w:type="gramEnd"/>
      <w:r>
        <w:rPr>
          <w:color w:val="auto"/>
        </w:rPr>
        <w:t>.</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CB4E99"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BE3997F" w:rsidR="00CB4E99" w:rsidRDefault="00CB4E99" w:rsidP="00CB4E99">
            <w:pPr>
              <w:pStyle w:val="TableRow"/>
            </w:pPr>
            <w:r>
              <w:t xml:space="preserve">Accelerated progress in 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58477E0" w:rsidR="00CB4E99" w:rsidRDefault="00CB4E99" w:rsidP="00CB4E99">
            <w:pPr>
              <w:pStyle w:val="TableRowCentered"/>
              <w:jc w:val="left"/>
              <w:rPr>
                <w:sz w:val="22"/>
                <w:szCs w:val="22"/>
              </w:rPr>
            </w:pPr>
            <w:r>
              <w:t>Achieve above national average progress scores in KS2 Reading</w:t>
            </w:r>
          </w:p>
        </w:tc>
      </w:tr>
      <w:tr w:rsidR="00CB4E9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5F7A4F2" w:rsidR="00CB4E99" w:rsidRDefault="00CB4E99" w:rsidP="00CB4E99">
            <w:pPr>
              <w:pStyle w:val="TableRow"/>
              <w:rPr>
                <w:sz w:val="22"/>
                <w:szCs w:val="22"/>
              </w:rPr>
            </w:pPr>
            <w:r>
              <w:t xml:space="preserve">Accelerated progress in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87F7FDB" w:rsidR="00CB4E99" w:rsidRDefault="00CB4E99" w:rsidP="00CB4E99">
            <w:pPr>
              <w:pStyle w:val="TableRowCentered"/>
              <w:jc w:val="left"/>
              <w:rPr>
                <w:sz w:val="22"/>
                <w:szCs w:val="22"/>
              </w:rPr>
            </w:pPr>
            <w:r>
              <w:t>Achieve above national average progress scores in KS2 Writing</w:t>
            </w:r>
          </w:p>
        </w:tc>
      </w:tr>
      <w:tr w:rsidR="00CB4E9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E58A0EB" w:rsidR="00CB4E99" w:rsidRDefault="00CB4E99" w:rsidP="00CB4E99">
            <w:pPr>
              <w:pStyle w:val="TableRow"/>
              <w:rPr>
                <w:sz w:val="22"/>
                <w:szCs w:val="22"/>
              </w:rPr>
            </w:pPr>
            <w:r>
              <w:t>Accelerated 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9221F3A" w:rsidR="00CB4E99" w:rsidRDefault="00CB4E99" w:rsidP="00CB4E99">
            <w:pPr>
              <w:pStyle w:val="TableRowCentered"/>
              <w:jc w:val="left"/>
              <w:rPr>
                <w:sz w:val="22"/>
                <w:szCs w:val="22"/>
              </w:rPr>
            </w:pPr>
            <w:r>
              <w:t>Achieve above national average progress scores in KS2 Maths</w:t>
            </w:r>
          </w:p>
        </w:tc>
      </w:tr>
      <w:tr w:rsidR="00CB4E9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D14D554" w:rsidR="00CB4E99" w:rsidRPr="00CB4E99" w:rsidRDefault="00CB4E99" w:rsidP="00CB4E99">
            <w:pPr>
              <w:pStyle w:val="TableRow"/>
            </w:pPr>
            <w:r w:rsidRPr="00CB4E99">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348C883" w:rsidR="00CB4E99" w:rsidRDefault="00CB4E99" w:rsidP="00CB4E99">
            <w:pPr>
              <w:pStyle w:val="TableRowCentered"/>
              <w:jc w:val="left"/>
              <w:rPr>
                <w:sz w:val="22"/>
                <w:szCs w:val="22"/>
              </w:rPr>
            </w:pPr>
            <w:r>
              <w:t>Achieve above national average expected standard in PSC</w:t>
            </w:r>
          </w:p>
        </w:tc>
      </w:tr>
      <w:tr w:rsidR="00CB4E99" w14:paraId="57892C2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2EB8" w14:textId="7A4130FD" w:rsidR="00CB4E99" w:rsidRPr="00CB4E99" w:rsidRDefault="00CB4E99" w:rsidP="00CB4E99">
            <w:pPr>
              <w:pStyle w:val="TableRow"/>
            </w:pPr>
            <w:r w:rsidRPr="00CB4E99">
              <w:t xml:space="preserve">Improved attendance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0C21" w14:textId="2858DA08" w:rsidR="00CB4E99" w:rsidRDefault="00BC08BE" w:rsidP="00CB4E99">
            <w:pPr>
              <w:pStyle w:val="TableRowCentered"/>
              <w:jc w:val="left"/>
              <w:rPr>
                <w:sz w:val="22"/>
                <w:szCs w:val="22"/>
              </w:rPr>
            </w:pPr>
            <w:r>
              <w:t>Pupil Premium children attendance to be within 1% of attendance of all pupils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A29DE48" w:rsidR="00E66558" w:rsidRDefault="00374BA0">
      <w:r>
        <w:t>Budgeted cost: £</w:t>
      </w:r>
      <w:r>
        <w:rPr>
          <w:i/>
          <w:iCs/>
        </w:rPr>
        <w:t>60,000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E2EADB7" w:rsidR="00E66558" w:rsidRDefault="00EB1C3B">
            <w:pPr>
              <w:pStyle w:val="TableRow"/>
            </w:pPr>
            <w:r>
              <w:t>Develop pedagogy and practice of teaching staff to improve pupil outcomes for all through whole school CPD and targeted support for individual staff.</w:t>
            </w:r>
            <w:r w:rsidR="006C453A">
              <w:t xml:space="preserve"> All </w:t>
            </w:r>
            <w:r w:rsidR="00B250D2">
              <w:t xml:space="preserve">subject leads </w:t>
            </w:r>
            <w:proofErr w:type="gramStart"/>
            <w:r w:rsidR="00B250D2">
              <w:t>will be released once a term and supported to lead their subject effectively</w:t>
            </w:r>
            <w:proofErr w:type="gramEnd"/>
            <w:r w:rsidR="00B250D2">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77BB96A" w:rsidR="00E66558" w:rsidRDefault="00F25D46">
            <w:pPr>
              <w:pStyle w:val="TableRowCentered"/>
              <w:jc w:val="left"/>
              <w:rPr>
                <w:sz w:val="22"/>
              </w:rPr>
            </w:pPr>
            <w:r>
              <w:t>High quality staff CPD is ess</w:t>
            </w:r>
            <w:r w:rsidR="006C453A">
              <w:t>ential to follow EEF principles and underpins our belief in high quality first teaching for all.</w:t>
            </w:r>
            <w:r>
              <w:t xml:space="preserve"> </w:t>
            </w:r>
            <w:r w:rsidR="00EE34E7">
              <w:t xml:space="preserve">In the ‘Transforming Tees – High Achievement Review’ in the strand </w:t>
            </w:r>
            <w:r w:rsidR="009F2EB9">
              <w:t>‘</w:t>
            </w:r>
            <w:r w:rsidR="00EE34E7">
              <w:t xml:space="preserve">Tackling Disadvantage’ one of the key drivers is </w:t>
            </w:r>
            <w:r w:rsidR="006C453A">
              <w:t>to ensure a ‘</w:t>
            </w:r>
            <w:r w:rsidR="00EE34E7">
              <w:t>differentiated professional improvement culture, that invests substantial resource in leadership, teacher and staff development, including research, is securely in place’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F3DC9D6" w:rsidR="00E66558" w:rsidRPr="002D0831" w:rsidRDefault="002D0831">
            <w:pPr>
              <w:pStyle w:val="TableRowCentered"/>
              <w:jc w:val="left"/>
              <w:rPr>
                <w:szCs w:val="24"/>
              </w:rPr>
            </w:pPr>
            <w:r w:rsidRPr="002D0831">
              <w:rPr>
                <w:szCs w:val="24"/>
              </w:rPr>
              <w:t>1,2,3</w:t>
            </w:r>
          </w:p>
        </w:tc>
      </w:tr>
      <w:tr w:rsidR="00CF1B7A" w14:paraId="0277700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5F15" w14:textId="7DF977F3" w:rsidR="00CF1B7A" w:rsidRDefault="00693B9F">
            <w:pPr>
              <w:pStyle w:val="TableRow"/>
            </w:pPr>
            <w:r>
              <w:t>P</w:t>
            </w:r>
            <w:r w:rsidR="00EE3F06">
              <w:t xml:space="preserve">urchase whole class texts </w:t>
            </w:r>
            <w:proofErr w:type="gramStart"/>
            <w:r w:rsidR="00EE3F06">
              <w:t>to further improve</w:t>
            </w:r>
            <w:proofErr w:type="gramEnd"/>
            <w:r w:rsidR="00EE3F06">
              <w:t xml:space="preserve"> provision in whole class reading lessons. Continue to monitor teaching and learning in reading and offer CPD and support where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F549C" w14:textId="30D494CE" w:rsidR="00CF1B7A" w:rsidRDefault="00EE3F06" w:rsidP="00435446">
            <w:pPr>
              <w:pStyle w:val="TableRowCentered"/>
              <w:jc w:val="left"/>
            </w:pPr>
            <w:r>
              <w:t xml:space="preserve">The ‘EEF </w:t>
            </w:r>
            <w:r w:rsidR="00CF1B7A">
              <w:t>Teaching and Learning Toolkit</w:t>
            </w:r>
            <w:r>
              <w:t xml:space="preserve">’ </w:t>
            </w:r>
            <w:r w:rsidR="00BC0DEE">
              <w:t xml:space="preserve">identifies the teaching of reading strategies </w:t>
            </w:r>
            <w:r w:rsidR="00435446">
              <w:t>as having the positive impact of adding six months</w:t>
            </w:r>
            <w:r w:rsidR="00BC0DEE">
              <w:t xml:space="preserve">. We feel that this is something that we already do well and </w:t>
            </w:r>
            <w:proofErr w:type="gramStart"/>
            <w:r w:rsidR="00BC0DEE">
              <w:t>is becoming increasingly</w:t>
            </w:r>
            <w:r w:rsidR="00435446">
              <w:t xml:space="preserve"> embedded</w:t>
            </w:r>
            <w:proofErr w:type="gramEnd"/>
            <w:r w:rsidR="00435446">
              <w:t xml:space="preserve"> in school as part of our practice</w:t>
            </w:r>
            <w:r w:rsidR="00C53E4B">
              <w:t>. We feel that h</w:t>
            </w:r>
            <w:r w:rsidR="00BC0DEE">
              <w:t>aving access to quality texts for each child</w:t>
            </w:r>
            <w:r w:rsidR="00C53E4B">
              <w:t xml:space="preserve"> is an important aspect of our provision.</w:t>
            </w:r>
            <w:r w:rsidR="00BC0DEE">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DD66A" w14:textId="1A68F982" w:rsidR="00CF1B7A" w:rsidRPr="002D0831" w:rsidRDefault="002D0831">
            <w:pPr>
              <w:pStyle w:val="TableRowCentered"/>
              <w:jc w:val="left"/>
              <w:rPr>
                <w:szCs w:val="24"/>
              </w:rPr>
            </w:pPr>
            <w:r w:rsidRPr="002D0831">
              <w:rPr>
                <w:szCs w:val="24"/>
              </w:rPr>
              <w:t>2,3</w:t>
            </w:r>
          </w:p>
        </w:tc>
      </w:tr>
      <w:tr w:rsidR="000E4820"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030C496" w:rsidR="000E4820" w:rsidRDefault="000E4820" w:rsidP="000E4820">
            <w:pPr>
              <w:pStyle w:val="TableRow"/>
              <w:rPr>
                <w:i/>
                <w:sz w:val="22"/>
              </w:rPr>
            </w:pPr>
            <w:r>
              <w:t>Develop vocabulary throughout the curriculum to narrow the language gap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C4A6" w14:textId="77777777" w:rsidR="000E4820" w:rsidRDefault="000E4820" w:rsidP="000E4820">
            <w:pPr>
              <w:pStyle w:val="TableRowCentered"/>
              <w:jc w:val="left"/>
            </w:pPr>
            <w:r>
              <w:t>Evidence from research shows the extent to which language affects the gap between disadvantaged and non-disadvantaged (Hirsch 2003). He describes the language gap as the chief cause of the achievement gap between socio-economic groups.</w:t>
            </w:r>
          </w:p>
          <w:p w14:paraId="2F10D003" w14:textId="77777777" w:rsidR="00DB036C" w:rsidRPr="00DB036C" w:rsidRDefault="00DB036C" w:rsidP="000E4820">
            <w:pPr>
              <w:pStyle w:val="TableRowCentered"/>
              <w:jc w:val="left"/>
            </w:pPr>
          </w:p>
          <w:p w14:paraId="2A7D551F" w14:textId="62171F36" w:rsidR="00DB036C" w:rsidRPr="00DB036C" w:rsidRDefault="00435446" w:rsidP="000E4820">
            <w:pPr>
              <w:pStyle w:val="TableRowCentered"/>
              <w:jc w:val="left"/>
            </w:pPr>
            <w:r>
              <w:t>In the EEF Guidance Report ‘</w:t>
            </w:r>
            <w:r w:rsidR="00DB036C" w:rsidRPr="00DB036C">
              <w:t xml:space="preserve">Improving </w:t>
            </w:r>
            <w:proofErr w:type="gramStart"/>
            <w:r w:rsidR="00DB036C" w:rsidRPr="00DB036C">
              <w:t>Literacy’</w:t>
            </w:r>
            <w:proofErr w:type="gramEnd"/>
            <w:r w:rsidR="00DB036C" w:rsidRPr="00DB036C">
              <w:t xml:space="preserve"> one of the recommendations is to ‘Develop pupils’ language capability to support their reading and writing.</w:t>
            </w:r>
            <w:r w:rsidR="00AF0530">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AB52262" w:rsidR="000E4820" w:rsidRPr="00DB036C" w:rsidRDefault="002D0831" w:rsidP="000E4820">
            <w:pPr>
              <w:pStyle w:val="TableRowCentered"/>
              <w:jc w:val="left"/>
            </w:pPr>
            <w:r>
              <w:t>1,2,3</w:t>
            </w:r>
          </w:p>
        </w:tc>
      </w:tr>
      <w:tr w:rsidR="009C7A83" w14:paraId="34501F0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A09" w14:textId="0FF4A0CA" w:rsidR="009C7A83" w:rsidRDefault="009C7A83" w:rsidP="009C7A83">
            <w:pPr>
              <w:pStyle w:val="TableRow"/>
            </w:pPr>
            <w:r>
              <w:t xml:space="preserve">Track all pupil groups through termly pupil progress </w:t>
            </w:r>
            <w:proofErr w:type="gramStart"/>
            <w:r>
              <w:t>meetings which</w:t>
            </w:r>
            <w:proofErr w:type="gramEnd"/>
            <w:r>
              <w:t xml:space="preserve"> will be rigorous, hold </w:t>
            </w:r>
            <w:r w:rsidR="00572D14">
              <w:t xml:space="preserve">staff to account and include a </w:t>
            </w:r>
            <w:r>
              <w:t xml:space="preserve">focus on the disadvantaged children. These </w:t>
            </w:r>
            <w:proofErr w:type="gramStart"/>
            <w:r>
              <w:t>will then be used</w:t>
            </w:r>
            <w:proofErr w:type="gramEnd"/>
            <w:r>
              <w:t xml:space="preserve"> to inform next steps in teaching for identified pupils</w:t>
            </w:r>
            <w:r w:rsidR="002D0831">
              <w:t xml:space="preserve"> and any additional support children may need</w:t>
            </w:r>
            <w:r w:rsidR="00435446">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4900" w14:textId="66F653B0" w:rsidR="009D7B61" w:rsidRDefault="009D7B61" w:rsidP="009D7B61">
            <w:pPr>
              <w:pStyle w:val="TableRowCentered"/>
              <w:ind w:left="0"/>
              <w:jc w:val="left"/>
            </w:pPr>
            <w:r>
              <w:t xml:space="preserve">In the ‘Transforming Tees – High Achievement Review’ in the strand </w:t>
            </w:r>
            <w:r w:rsidR="003E5891">
              <w:t>‘</w:t>
            </w:r>
            <w:r>
              <w:t xml:space="preserve">Tackling Disadvantage’ one of the key drivers is </w:t>
            </w:r>
            <w:r w:rsidR="003E5891">
              <w:t xml:space="preserve">that </w:t>
            </w:r>
            <w:r>
              <w:t xml:space="preserve">‘Intelligent analysis and accountability protocols are engrained in the work of each school to ensure: </w:t>
            </w:r>
          </w:p>
          <w:p w14:paraId="06E05F8B" w14:textId="77777777" w:rsidR="009D7B61" w:rsidRDefault="009D7B61" w:rsidP="009D7B61">
            <w:pPr>
              <w:pStyle w:val="TableRowCentered"/>
              <w:ind w:left="0"/>
              <w:jc w:val="left"/>
            </w:pPr>
            <w:r>
              <w:t xml:space="preserve">a. There is a constant review of the quality of educational and pastoral provision </w:t>
            </w:r>
          </w:p>
          <w:p w14:paraId="5D41E96E" w14:textId="77777777" w:rsidR="009D7B61" w:rsidRDefault="009D7B61" w:rsidP="009D7B61">
            <w:pPr>
              <w:pStyle w:val="TableRowCentered"/>
              <w:ind w:left="0"/>
              <w:jc w:val="left"/>
            </w:pPr>
            <w:r>
              <w:t xml:space="preserve">b. That actions being taken are constantly checked so that changes can be made when a better way of meeting need is identified </w:t>
            </w:r>
          </w:p>
          <w:p w14:paraId="0A782227" w14:textId="77777777" w:rsidR="009D7B61" w:rsidRDefault="009D7B61" w:rsidP="009D7B61">
            <w:pPr>
              <w:pStyle w:val="TableRowCentered"/>
              <w:ind w:left="0"/>
              <w:jc w:val="left"/>
            </w:pPr>
            <w:r>
              <w:t xml:space="preserve">c. Data and observational evidence is key to driving swift but carefully focused interventions when pupils are at risk of falling behind or experiencing difficulties </w:t>
            </w:r>
          </w:p>
          <w:p w14:paraId="566FBC83" w14:textId="44A509DC" w:rsidR="009D7B61" w:rsidRDefault="009D7B61" w:rsidP="009D7B61">
            <w:pPr>
              <w:pStyle w:val="TableRowCentered"/>
              <w:ind w:left="0"/>
              <w:jc w:val="left"/>
            </w:pPr>
            <w:r>
              <w:t>d. There is smart use of performance information and pastoral information at whole school, group and individual pupil level</w:t>
            </w:r>
          </w:p>
          <w:p w14:paraId="67C99799" w14:textId="77777777" w:rsidR="009D7B61" w:rsidRDefault="009D7B61" w:rsidP="009D7B61">
            <w:pPr>
              <w:pStyle w:val="TableRowCentered"/>
              <w:ind w:left="0"/>
              <w:jc w:val="left"/>
            </w:pPr>
          </w:p>
          <w:p w14:paraId="152E3869" w14:textId="1AFF1D24" w:rsidR="009C7A83" w:rsidRDefault="009C7A83" w:rsidP="009D7B61">
            <w:pPr>
              <w:pStyle w:val="TableRowCentered"/>
              <w:ind w:left="0"/>
              <w:jc w:val="left"/>
            </w:pPr>
            <w:r>
              <w:t xml:space="preserve">All staff must be able to use </w:t>
            </w:r>
            <w:r w:rsidR="003E5891">
              <w:t xml:space="preserve">formative and summative assessments to </w:t>
            </w:r>
            <w:r>
              <w:t>identify standards for all pupil groups, including disadvantaged children, to inform next steps and improve attainment for all.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6BF28" w14:textId="5D908272" w:rsidR="009C7A83" w:rsidRPr="00DB036C" w:rsidRDefault="002D0831" w:rsidP="009C7A83">
            <w:pPr>
              <w:pStyle w:val="TableRowCentered"/>
              <w:jc w:val="left"/>
            </w:pPr>
            <w:r>
              <w:t>2,3,5</w:t>
            </w:r>
            <w:r w:rsidR="000E21B1">
              <w:t>,6</w:t>
            </w:r>
          </w:p>
        </w:tc>
      </w:tr>
      <w:tr w:rsidR="00E172CA" w14:paraId="25A77E7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1B78A" w14:textId="4CA101DE" w:rsidR="00E172CA" w:rsidRDefault="00E172CA" w:rsidP="00E172CA">
            <w:pPr>
              <w:pStyle w:val="TableRow"/>
            </w:pPr>
            <w:r>
              <w:t>Additional teacher in Y6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3D210" w14:textId="77777777" w:rsidR="00E172CA" w:rsidRDefault="00E172CA" w:rsidP="00E172CA">
            <w:pPr>
              <w:pStyle w:val="TableRowCentered"/>
              <w:jc w:val="left"/>
            </w:pPr>
            <w:r w:rsidRPr="00680AF0">
              <w:t xml:space="preserve">To </w:t>
            </w:r>
            <w:r>
              <w:t>allow targeted support in smaller</w:t>
            </w:r>
            <w:r w:rsidRPr="00680AF0">
              <w:t xml:space="preserve"> </w:t>
            </w:r>
            <w:r>
              <w:t>groups in Y</w:t>
            </w:r>
            <w:r w:rsidRPr="00680AF0">
              <w:t xml:space="preserve">ear 6 and ensure that key marginal children </w:t>
            </w:r>
            <w:proofErr w:type="gramStart"/>
            <w:r w:rsidRPr="00680AF0">
              <w:t>are targeted</w:t>
            </w:r>
            <w:proofErr w:type="gramEnd"/>
            <w:r>
              <w:t>.  EEF evidence shows that children taught in groups of fewer than 16, if targeted appropriately, make accelerated progress.</w:t>
            </w:r>
          </w:p>
          <w:p w14:paraId="63FE98C9" w14:textId="77777777" w:rsidR="00E172CA" w:rsidRDefault="00E172CA" w:rsidP="00E172CA">
            <w:pPr>
              <w:pStyle w:val="TableRowCentered"/>
              <w:jc w:val="left"/>
            </w:pPr>
          </w:p>
          <w:p w14:paraId="6C7AFA0E" w14:textId="4A1BA402" w:rsidR="00E172CA" w:rsidRDefault="00E172CA" w:rsidP="00851426">
            <w:pPr>
              <w:pStyle w:val="TableRowCentered"/>
              <w:jc w:val="left"/>
            </w:pPr>
            <w:r w:rsidRPr="00E1491F">
              <w:rPr>
                <w:szCs w:val="24"/>
              </w:rPr>
              <w:t xml:space="preserve">There is </w:t>
            </w:r>
            <w:r w:rsidR="00F7410A">
              <w:rPr>
                <w:szCs w:val="24"/>
              </w:rPr>
              <w:t xml:space="preserve">currently </w:t>
            </w:r>
            <w:r w:rsidRPr="00E1491F">
              <w:rPr>
                <w:szCs w:val="24"/>
              </w:rPr>
              <w:t>a 23% gap between our disadvantaged and non-disadvantaged attainment at reading, writing and maths combined for our current Year 6 children. We feel that these additional support materials will support their accelerated progress this year</w:t>
            </w:r>
            <w:r w:rsidR="00F7410A">
              <w:rPr>
                <w:szCs w:val="24"/>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7CB85" w14:textId="3E7779E9" w:rsidR="00E172CA" w:rsidRDefault="00E172CA" w:rsidP="00E172CA">
            <w:pPr>
              <w:pStyle w:val="TableRowCentered"/>
              <w:jc w:val="left"/>
            </w:pPr>
            <w:r>
              <w:rPr>
                <w:sz w:val="22"/>
              </w:rPr>
              <w:t>1,2,3</w:t>
            </w:r>
          </w:p>
        </w:tc>
      </w:tr>
      <w:tr w:rsidR="00E172CA" w14:paraId="067552C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8369E" w14:textId="6DBB4C28" w:rsidR="00E172CA" w:rsidRDefault="00851426" w:rsidP="00E172CA">
            <w:pPr>
              <w:pStyle w:val="TableRow"/>
            </w:pPr>
            <w:r>
              <w:t>Reduced class sizes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41CFF" w14:textId="23DCDA9C" w:rsidR="00E172CA" w:rsidRPr="00680AF0" w:rsidRDefault="00851426" w:rsidP="00374BA0">
            <w:pPr>
              <w:pStyle w:val="TableRowCentered"/>
              <w:jc w:val="left"/>
            </w:pPr>
            <w:r>
              <w:t>The ratio of pupils to staff is a factor in the quality of teaching are learning and has a bearing on the amount of time a teacher has to focus in on specific support for individuals as well as providing detailed feedback and bespoke teaching and learning.  At Rose Wood</w:t>
            </w:r>
            <w:r w:rsidR="00F7410A">
              <w:t>,</w:t>
            </w:r>
            <w:r>
              <w:t xml:space="preserve"> we maintain small class sizes.  The school employs 3 additional teachers to allow us to keep the average class size in school down to 23.  The amount of time that teachers spend on the pupil premium children is disproportionate in advantage towards the pupil premium children who require the a</w:t>
            </w:r>
            <w:r w:rsidR="00374BA0">
              <w:t xml:space="preserve">dditional support and guidance.  The EEF toolkit indicates up to 2 months additional progress can be achieved </w:t>
            </w:r>
            <w:proofErr w:type="gramStart"/>
            <w:r w:rsidR="00374BA0">
              <w:t>as a result</w:t>
            </w:r>
            <w:proofErr w:type="gramEnd"/>
            <w:r w:rsidR="00374BA0">
              <w:t xml:space="preserve"> of reduced class sizes.</w:t>
            </w:r>
            <w: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9350F" w14:textId="557D1400" w:rsidR="00E172CA" w:rsidRDefault="00374BA0" w:rsidP="00E172CA">
            <w:pPr>
              <w:pStyle w:val="TableRowCentered"/>
              <w:jc w:val="left"/>
              <w:rPr>
                <w:sz w:val="22"/>
              </w:rPr>
            </w:pPr>
            <w:r>
              <w:rPr>
                <w:sz w:val="22"/>
              </w:rPr>
              <w:t>2,3,4,5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7AA084D" w:rsidR="00E66558" w:rsidRDefault="00337B9E">
      <w:r>
        <w:t>Budgeted cost: £45000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BE996" w14:textId="092556B2" w:rsidR="00A96E09" w:rsidRDefault="00A96E09" w:rsidP="00374BA0">
            <w:pPr>
              <w:pStyle w:val="TableRowCentered"/>
              <w:jc w:val="left"/>
            </w:pPr>
            <w:r>
              <w:t>Monitor, track and promote individual reading for all through the ‘Accelerated Reader’ program for children from Year 2 –Year 6.</w:t>
            </w:r>
          </w:p>
          <w:p w14:paraId="787BA2A2" w14:textId="202D075A" w:rsidR="00374BA0" w:rsidRDefault="00374BA0" w:rsidP="00374BA0">
            <w:pPr>
              <w:pStyle w:val="TableRowCentered"/>
              <w:jc w:val="left"/>
            </w:pPr>
          </w:p>
          <w:p w14:paraId="7A7FD7F1" w14:textId="77777777" w:rsidR="00374BA0" w:rsidRDefault="00374BA0" w:rsidP="00374BA0">
            <w:pPr>
              <w:pStyle w:val="TableRowCentered"/>
              <w:jc w:val="left"/>
            </w:pPr>
          </w:p>
          <w:p w14:paraId="2A7D5529" w14:textId="2B9E9F0A" w:rsidR="00E66558" w:rsidRDefault="00A96E09" w:rsidP="00374BA0">
            <w:pPr>
              <w:pStyle w:val="TableRowCentered"/>
              <w:jc w:val="left"/>
            </w:pPr>
            <w:r>
              <w:t>Purchase additional resources to support this.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7A3A6" w14:textId="77777777" w:rsidR="00E66558" w:rsidRDefault="00A96E09">
            <w:pPr>
              <w:pStyle w:val="TableRowCentered"/>
              <w:jc w:val="left"/>
            </w:pPr>
            <w:r>
              <w:t xml:space="preserve">The Education Endowment Foundation evidence based research concluded that AR increases the reading age of disadvantaged children by an additional 5 months against 3 months for non-disadvantaged children in a </w:t>
            </w:r>
            <w:proofErr w:type="gramStart"/>
            <w:r>
              <w:t>22 week</w:t>
            </w:r>
            <w:proofErr w:type="gramEnd"/>
            <w:r>
              <w:t xml:space="preserve"> time frame.</w:t>
            </w:r>
          </w:p>
          <w:p w14:paraId="4C846DEC" w14:textId="77777777" w:rsidR="00A96E09" w:rsidRDefault="00A96E09">
            <w:pPr>
              <w:pStyle w:val="TableRowCentered"/>
              <w:jc w:val="left"/>
              <w:rPr>
                <w:sz w:val="22"/>
              </w:rPr>
            </w:pPr>
          </w:p>
          <w:p w14:paraId="2A7D552A" w14:textId="1BE1E010" w:rsidR="00A96E09" w:rsidRPr="00E1491F" w:rsidRDefault="00E1491F" w:rsidP="00E1491F">
            <w:pPr>
              <w:pStyle w:val="TableRowCentered"/>
              <w:jc w:val="left"/>
              <w:rPr>
                <w:szCs w:val="24"/>
              </w:rPr>
            </w:pPr>
            <w:r w:rsidRPr="00E1491F">
              <w:rPr>
                <w:szCs w:val="24"/>
              </w:rPr>
              <w:t xml:space="preserve">Tracking and incentivising </w:t>
            </w:r>
            <w:proofErr w:type="gramStart"/>
            <w:r w:rsidRPr="00E1491F">
              <w:rPr>
                <w:szCs w:val="24"/>
              </w:rPr>
              <w:t>reading through</w:t>
            </w:r>
            <w:proofErr w:type="gramEnd"/>
            <w:r w:rsidRPr="00E1491F">
              <w:rPr>
                <w:szCs w:val="24"/>
              </w:rPr>
              <w:t xml:space="preserve"> this programme</w:t>
            </w:r>
            <w:r>
              <w:rPr>
                <w:szCs w:val="24"/>
              </w:rPr>
              <w:t>,</w:t>
            </w:r>
            <w:r w:rsidRPr="00E1491F">
              <w:rPr>
                <w:szCs w:val="24"/>
              </w:rPr>
              <w:t xml:space="preserve"> we feel is very important </w:t>
            </w:r>
            <w:r>
              <w:rPr>
                <w:szCs w:val="24"/>
              </w:rPr>
              <w:t>to our reading approach. Individual reading – in school and at home – is an important strand of our overarching reading aims.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8D72F69" w:rsidR="00E66558" w:rsidRDefault="000E21B1">
            <w:pPr>
              <w:pStyle w:val="TableRowCentered"/>
              <w:jc w:val="left"/>
              <w:rPr>
                <w:sz w:val="22"/>
              </w:rPr>
            </w:pPr>
            <w:r>
              <w:rPr>
                <w:sz w:val="22"/>
              </w:rPr>
              <w:t>2,3</w:t>
            </w:r>
          </w:p>
        </w:tc>
      </w:tr>
      <w:tr w:rsidR="00A96E09"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24E3290" w:rsidR="00A96E09" w:rsidRDefault="00A96E09" w:rsidP="00A96E09">
            <w:pPr>
              <w:pStyle w:val="TableRow"/>
              <w:rPr>
                <w:i/>
                <w:sz w:val="22"/>
              </w:rPr>
            </w:pPr>
            <w:r>
              <w:t>Purchase revision mate</w:t>
            </w:r>
            <w:r w:rsidR="00FF38CB">
              <w:t xml:space="preserve">rials for Year 6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600D0" w14:textId="77777777" w:rsidR="00A96E09" w:rsidRDefault="00A96E09" w:rsidP="00A96E09">
            <w:pPr>
              <w:pStyle w:val="TableRowCentered"/>
              <w:jc w:val="left"/>
            </w:pPr>
            <w:r>
              <w:t>To ensure that all children have access to quality SATS support materials at home</w:t>
            </w:r>
          </w:p>
          <w:p w14:paraId="617081E2" w14:textId="77777777" w:rsidR="00A96E09" w:rsidRDefault="00A96E09" w:rsidP="00A96E09">
            <w:pPr>
              <w:pStyle w:val="TableRowCentered"/>
              <w:jc w:val="left"/>
              <w:rPr>
                <w:sz w:val="22"/>
              </w:rPr>
            </w:pPr>
          </w:p>
          <w:p w14:paraId="2A7D552E" w14:textId="5460D9D9" w:rsidR="00A96E09" w:rsidRPr="00E1491F" w:rsidRDefault="00E1491F" w:rsidP="00A96E09">
            <w:pPr>
              <w:pStyle w:val="TableRowCentered"/>
              <w:jc w:val="left"/>
              <w:rPr>
                <w:szCs w:val="24"/>
              </w:rPr>
            </w:pPr>
            <w:r w:rsidRPr="00E1491F">
              <w:rPr>
                <w:szCs w:val="24"/>
              </w:rPr>
              <w:t>There is a 23% gap between our disadvantaged and non-disadvantaged attainment at reading, writing and maths combined for our current Year 6 children. We feel that these additional support materials will support their accelerated progress this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F6459B1" w:rsidR="00A96E09" w:rsidRDefault="000E21B1" w:rsidP="00A96E09">
            <w:pPr>
              <w:pStyle w:val="TableRowCentered"/>
              <w:ind w:left="0"/>
              <w:jc w:val="left"/>
              <w:rPr>
                <w:sz w:val="22"/>
              </w:rPr>
            </w:pPr>
            <w:r>
              <w:rPr>
                <w:sz w:val="22"/>
              </w:rPr>
              <w:t>2,3,4</w:t>
            </w:r>
          </w:p>
        </w:tc>
      </w:tr>
      <w:tr w:rsidR="0072587C" w14:paraId="140896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0705F" w14:textId="7389AC4B" w:rsidR="0072587C" w:rsidRPr="00E43E2B" w:rsidRDefault="0072587C" w:rsidP="0072587C">
            <w:pPr>
              <w:pStyle w:val="TableRow"/>
            </w:pPr>
            <w:r>
              <w:t xml:space="preserve">Additional HLTA in EYFS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DC9E4" w14:textId="77777777" w:rsidR="0072587C" w:rsidRPr="004C5676" w:rsidRDefault="0072587C" w:rsidP="0072587C">
            <w:pPr>
              <w:pStyle w:val="TableRowCentered"/>
              <w:jc w:val="left"/>
              <w:rPr>
                <w:rFonts w:cs="Arial"/>
                <w:color w:val="auto"/>
                <w:szCs w:val="24"/>
              </w:rPr>
            </w:pPr>
            <w:r w:rsidRPr="004C5676">
              <w:rPr>
                <w:rFonts w:cs="Arial"/>
                <w:color w:val="auto"/>
                <w:szCs w:val="24"/>
              </w:rPr>
              <w:t>The EEF EYFS guidance report ‘Preparing for Literacy’ recommends providing every child – but particularly those from disadvantaged homes – with a high quality and well-rounded grounding in early literacy, language and communication. It focuses on the importance of high quality interactions between adults and children to develop their communication and language skills. We therefore employ additional staff in EYFS to enable more adult/child interaction.</w:t>
            </w:r>
          </w:p>
          <w:p w14:paraId="7173DA6E" w14:textId="42964093" w:rsidR="0072587C" w:rsidRPr="00353363" w:rsidRDefault="00DA0AF0" w:rsidP="0072587C">
            <w:pPr>
              <w:pStyle w:val="TableRowCentered"/>
              <w:jc w:val="left"/>
              <w:rPr>
                <w:rFonts w:cs="Arial"/>
                <w:color w:val="37474F"/>
                <w:szCs w:val="24"/>
              </w:rPr>
            </w:pPr>
            <w:r w:rsidRPr="00353363">
              <w:rPr>
                <w:rFonts w:cs="Arial"/>
                <w:color w:val="auto"/>
                <w:szCs w:val="24"/>
              </w:rPr>
              <w:t xml:space="preserve">Evidence proves that the sooner the gap </w:t>
            </w:r>
            <w:proofErr w:type="gramStart"/>
            <w:r w:rsidRPr="00353363">
              <w:rPr>
                <w:rFonts w:cs="Arial"/>
                <w:color w:val="auto"/>
                <w:szCs w:val="24"/>
              </w:rPr>
              <w:t>can be narrowed</w:t>
            </w:r>
            <w:proofErr w:type="gramEnd"/>
            <w:r w:rsidRPr="00353363">
              <w:rPr>
                <w:rFonts w:cs="Arial"/>
                <w:color w:val="auto"/>
                <w:szCs w:val="24"/>
              </w:rPr>
              <w:t xml:space="preserve"> the more likely a pupil is to </w:t>
            </w:r>
            <w:r w:rsidR="007262CC">
              <w:rPr>
                <w:rFonts w:cs="Arial"/>
                <w:color w:val="auto"/>
                <w:szCs w:val="24"/>
              </w:rPr>
              <w:t xml:space="preserve">make </w:t>
            </w:r>
            <w:r w:rsidRPr="00353363">
              <w:rPr>
                <w:rFonts w:cs="Arial"/>
                <w:color w:val="auto"/>
                <w:szCs w:val="24"/>
              </w:rPr>
              <w:t>progress through school.  Having a high quality HLTA within the setting covers many aspects of the EEF toolkit for accelerated progress within the setting.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F99B6" w14:textId="01E6A40E" w:rsidR="0072587C" w:rsidRDefault="000E21B1" w:rsidP="0072587C">
            <w:pPr>
              <w:pStyle w:val="TableRowCentered"/>
              <w:ind w:left="0"/>
              <w:jc w:val="left"/>
              <w:rPr>
                <w:sz w:val="22"/>
              </w:rPr>
            </w:pPr>
            <w:r>
              <w:rPr>
                <w:sz w:val="22"/>
              </w:rPr>
              <w:t>1,2,3</w:t>
            </w:r>
          </w:p>
        </w:tc>
      </w:tr>
      <w:tr w:rsidR="002065CD" w14:paraId="37E9D6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98742" w14:textId="034EFE2B" w:rsidR="002065CD" w:rsidRDefault="002065CD" w:rsidP="0072587C">
            <w:pPr>
              <w:pStyle w:val="TableRow"/>
              <w:rPr>
                <w:rFonts w:cs="Arial"/>
              </w:rPr>
            </w:pPr>
            <w:r>
              <w:rPr>
                <w:rFonts w:cs="Arial"/>
              </w:rPr>
              <w:t>I</w:t>
            </w:r>
            <w:r w:rsidRPr="00DF1111">
              <w:rPr>
                <w:rFonts w:cs="Arial"/>
              </w:rPr>
              <w:t>mprove targeting and provision for  pupils at risk of underperformance through careful deployment of teaching assistants and HLTAs</w:t>
            </w:r>
            <w:r>
              <w:rPr>
                <w:rFonts w:cs="Arial"/>
              </w:rPr>
              <w:t xml:space="preserve"> </w:t>
            </w:r>
          </w:p>
          <w:p w14:paraId="08795A51" w14:textId="77777777" w:rsidR="004C5676" w:rsidRDefault="004C5676" w:rsidP="0072587C">
            <w:pPr>
              <w:pStyle w:val="TableRow"/>
              <w:rPr>
                <w:rFonts w:cs="Arial"/>
              </w:rPr>
            </w:pPr>
          </w:p>
          <w:p w14:paraId="679F07C6" w14:textId="48766C27" w:rsidR="00F83372" w:rsidRPr="00F83372" w:rsidRDefault="00F83372" w:rsidP="0072587C">
            <w:pPr>
              <w:pStyle w:val="TableRow"/>
              <w:rPr>
                <w:rFonts w:cs="Arial"/>
                <w:i/>
              </w:rPr>
            </w:pPr>
            <w:r w:rsidRPr="00F83372">
              <w:rPr>
                <w:rFonts w:cs="Arial"/>
                <w:i/>
              </w:rPr>
              <w:t>Fast Track Phonics</w:t>
            </w:r>
          </w:p>
          <w:p w14:paraId="021FEC10" w14:textId="0E8B890E" w:rsidR="00F83372" w:rsidRPr="00F83372" w:rsidRDefault="00F83372" w:rsidP="0072587C">
            <w:pPr>
              <w:pStyle w:val="TableRow"/>
              <w:rPr>
                <w:rFonts w:cs="Arial"/>
                <w:i/>
              </w:rPr>
            </w:pPr>
            <w:r w:rsidRPr="00F83372">
              <w:rPr>
                <w:rFonts w:cs="Arial"/>
                <w:i/>
              </w:rPr>
              <w:t>Bounce Back Phonics</w:t>
            </w:r>
          </w:p>
          <w:p w14:paraId="1A158414" w14:textId="0E6AA5E1" w:rsidR="00F83372" w:rsidRDefault="00F83372" w:rsidP="0072587C">
            <w:pPr>
              <w:pStyle w:val="TableRow"/>
              <w:rPr>
                <w:rFonts w:cs="Arial"/>
                <w:i/>
              </w:rPr>
            </w:pPr>
            <w:r w:rsidRPr="00F83372">
              <w:rPr>
                <w:rFonts w:cs="Arial"/>
                <w:i/>
              </w:rPr>
              <w:t>PIXL</w:t>
            </w:r>
          </w:p>
          <w:p w14:paraId="2C6A51E0" w14:textId="652A6A89" w:rsidR="00FF38CB" w:rsidRDefault="00FF38CB" w:rsidP="0072587C">
            <w:pPr>
              <w:pStyle w:val="TableRow"/>
              <w:rPr>
                <w:rFonts w:cs="Arial"/>
                <w:i/>
              </w:rPr>
            </w:pPr>
            <w:r>
              <w:rPr>
                <w:rFonts w:cs="Arial"/>
                <w:i/>
              </w:rPr>
              <w:t>Precision Teaching</w:t>
            </w:r>
          </w:p>
          <w:p w14:paraId="2745F55E" w14:textId="4E898304" w:rsidR="00A162D6" w:rsidRDefault="00A162D6" w:rsidP="0072587C">
            <w:pPr>
              <w:pStyle w:val="TableRow"/>
              <w:rPr>
                <w:rFonts w:cs="Arial"/>
                <w:i/>
              </w:rPr>
            </w:pPr>
            <w:r>
              <w:rPr>
                <w:rFonts w:cs="Arial"/>
                <w:i/>
              </w:rPr>
              <w:t>Reciprocal Reading</w:t>
            </w:r>
          </w:p>
          <w:p w14:paraId="0C741802" w14:textId="7C284464" w:rsidR="00A162D6" w:rsidRDefault="00A162D6" w:rsidP="0072587C">
            <w:pPr>
              <w:pStyle w:val="TableRow"/>
              <w:rPr>
                <w:rFonts w:cs="Arial"/>
                <w:i/>
              </w:rPr>
            </w:pPr>
            <w:r>
              <w:rPr>
                <w:rFonts w:cs="Arial"/>
                <w:i/>
              </w:rPr>
              <w:t>Write Away Together</w:t>
            </w:r>
          </w:p>
          <w:p w14:paraId="3CE49D98" w14:textId="55C80EEA" w:rsidR="00BF4869" w:rsidRDefault="00BF4869" w:rsidP="0072587C">
            <w:pPr>
              <w:pStyle w:val="TableRow"/>
              <w:rPr>
                <w:rFonts w:cs="Arial"/>
              </w:rPr>
            </w:pPr>
            <w:r>
              <w:rPr>
                <w:rFonts w:cs="Arial"/>
                <w:i/>
              </w:rPr>
              <w:t>Bespoke programmes of support – individual and small group</w:t>
            </w:r>
          </w:p>
          <w:p w14:paraId="6D17F2EE" w14:textId="4020B670" w:rsidR="00F83372" w:rsidRDefault="00F83372" w:rsidP="00FF38CB">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CD452" w14:textId="2DD7C039" w:rsidR="002065CD" w:rsidRPr="007262CC" w:rsidRDefault="00F83372" w:rsidP="0072587C">
            <w:pPr>
              <w:pStyle w:val="TableRowCentered"/>
              <w:jc w:val="left"/>
              <w:rPr>
                <w:rFonts w:cs="Arial"/>
                <w:color w:val="auto"/>
                <w:szCs w:val="24"/>
              </w:rPr>
            </w:pPr>
            <w:r w:rsidRPr="007262CC">
              <w:rPr>
                <w:rFonts w:cs="Arial"/>
                <w:color w:val="auto"/>
                <w:szCs w:val="24"/>
              </w:rPr>
              <w:t>The EEF guidance report on ‘Making the best use of Teaching Assistants’  recommends using</w:t>
            </w:r>
            <w:r w:rsidR="00BF4869">
              <w:rPr>
                <w:rFonts w:cs="Arial"/>
                <w:color w:val="auto"/>
                <w:szCs w:val="24"/>
              </w:rPr>
              <w:t xml:space="preserve"> teaching assistants</w:t>
            </w:r>
            <w:r w:rsidR="002065CD" w:rsidRPr="007262CC">
              <w:rPr>
                <w:rFonts w:cs="Arial"/>
                <w:color w:val="auto"/>
                <w:szCs w:val="24"/>
              </w:rPr>
              <w:t xml:space="preserve"> to deliver high quality one to one and small group support, using structured interventions</w:t>
            </w:r>
            <w:r w:rsidRPr="007262CC">
              <w:rPr>
                <w:rFonts w:cs="Arial"/>
                <w:color w:val="auto"/>
                <w:szCs w:val="24"/>
              </w:rPr>
              <w:t>. The evidence shows that this can add three to four months additional progress.</w:t>
            </w:r>
          </w:p>
          <w:p w14:paraId="4ACF902B" w14:textId="36CE443E" w:rsidR="00F83372" w:rsidRPr="00D67AA4" w:rsidRDefault="00F83372" w:rsidP="0072587C">
            <w:pPr>
              <w:pStyle w:val="TableRowCentered"/>
              <w:jc w:val="left"/>
              <w:rPr>
                <w:rFonts w:cs="Arial"/>
                <w:color w:val="37474F"/>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A9744" w14:textId="7A9187F6" w:rsidR="002065CD" w:rsidRDefault="000E21B1" w:rsidP="0072587C">
            <w:pPr>
              <w:pStyle w:val="TableRowCentered"/>
              <w:ind w:left="0"/>
              <w:jc w:val="left"/>
              <w:rPr>
                <w:sz w:val="22"/>
              </w:rPr>
            </w:pPr>
            <w:r>
              <w:rPr>
                <w:sz w:val="22"/>
              </w:rPr>
              <w:t>1,2,3</w:t>
            </w:r>
          </w:p>
        </w:tc>
      </w:tr>
      <w:tr w:rsidR="002065CD" w14:paraId="473D11C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24ED" w14:textId="2B69FCC6" w:rsidR="002065CD" w:rsidRDefault="00AE6993" w:rsidP="0072587C">
            <w:pPr>
              <w:pStyle w:val="TableRow"/>
            </w:pPr>
            <w:r>
              <w:t xml:space="preserve">Employ </w:t>
            </w:r>
            <w:r w:rsidR="002065CD">
              <w:t>Academic Mentor</w:t>
            </w:r>
          </w:p>
          <w:p w14:paraId="01F304B9" w14:textId="658CD6E4" w:rsidR="002065CD" w:rsidRDefault="002065CD" w:rsidP="0072587C">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D4B1" w14:textId="52A1F914" w:rsidR="002065CD" w:rsidRPr="00116F20" w:rsidRDefault="00DA0AF0" w:rsidP="0072587C">
            <w:pPr>
              <w:pStyle w:val="TableRowCentered"/>
              <w:jc w:val="left"/>
              <w:rPr>
                <w:rFonts w:cs="Arial"/>
                <w:color w:val="37474F"/>
                <w:szCs w:val="24"/>
              </w:rPr>
            </w:pPr>
            <w:r w:rsidRPr="00116F20">
              <w:rPr>
                <w:rFonts w:cs="Arial"/>
                <w:color w:val="auto"/>
                <w:szCs w:val="24"/>
              </w:rPr>
              <w:t xml:space="preserve">Small group tuition </w:t>
            </w:r>
            <w:r w:rsidR="00FF38CB" w:rsidRPr="00116F20">
              <w:rPr>
                <w:rFonts w:cs="Arial"/>
                <w:color w:val="auto"/>
                <w:szCs w:val="24"/>
              </w:rPr>
              <w:t>and mentoring can add 4 and 2 months progress r</w:t>
            </w:r>
            <w:r w:rsidR="00116F20" w:rsidRPr="00116F20">
              <w:rPr>
                <w:rFonts w:cs="Arial"/>
                <w:color w:val="auto"/>
                <w:szCs w:val="24"/>
              </w:rPr>
              <w:t>espectively according to the EEF</w:t>
            </w:r>
            <w:r w:rsidR="00FF38CB" w:rsidRPr="00116F20">
              <w:rPr>
                <w:rFonts w:cs="Arial"/>
                <w:color w:val="auto"/>
                <w:szCs w:val="24"/>
              </w:rPr>
              <w:t xml:space="preserve"> toolkit.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7FF0" w14:textId="317128DB" w:rsidR="002065CD" w:rsidRDefault="000E21B1" w:rsidP="0072587C">
            <w:pPr>
              <w:pStyle w:val="TableRowCentered"/>
              <w:ind w:left="0"/>
              <w:jc w:val="left"/>
              <w:rPr>
                <w:sz w:val="22"/>
              </w:rPr>
            </w:pPr>
            <w:r>
              <w:rPr>
                <w:sz w:val="22"/>
              </w:rPr>
              <w:t>1,2,3</w:t>
            </w:r>
          </w:p>
        </w:tc>
      </w:tr>
    </w:tbl>
    <w:p w14:paraId="2A7D5531" w14:textId="77777777" w:rsidR="00E66558" w:rsidRDefault="00E66558">
      <w:pPr>
        <w:spacing w:after="0"/>
        <w:rPr>
          <w:b/>
          <w:color w:val="104F75"/>
          <w:sz w:val="28"/>
          <w:szCs w:val="28"/>
        </w:rPr>
      </w:pPr>
    </w:p>
    <w:p w14:paraId="1F5389BA" w14:textId="77777777" w:rsidR="00AE6993" w:rsidRDefault="00AE6993">
      <w:pPr>
        <w:suppressAutoHyphens w:val="0"/>
        <w:spacing w:after="0" w:line="240" w:lineRule="auto"/>
        <w:rPr>
          <w:b/>
          <w:color w:val="104F75"/>
          <w:sz w:val="28"/>
          <w:szCs w:val="28"/>
        </w:rPr>
      </w:pPr>
      <w:r>
        <w:rPr>
          <w:b/>
          <w:color w:val="104F75"/>
          <w:sz w:val="28"/>
          <w:szCs w:val="28"/>
        </w:rPr>
        <w:br w:type="page"/>
      </w:r>
    </w:p>
    <w:p w14:paraId="2A7D5532" w14:textId="22F80138" w:rsidR="00E66558" w:rsidRDefault="009D71E8">
      <w:pPr>
        <w:rPr>
          <w:b/>
          <w:color w:val="104F75"/>
          <w:sz w:val="28"/>
          <w:szCs w:val="28"/>
        </w:rPr>
      </w:pPr>
      <w:r>
        <w:rPr>
          <w:b/>
          <w:color w:val="104F75"/>
          <w:sz w:val="28"/>
          <w:szCs w:val="28"/>
        </w:rPr>
        <w:t>Wider strategies (for example, related to attendance, behaviour, wellbeing)</w:t>
      </w:r>
    </w:p>
    <w:p w14:paraId="2A7D5533" w14:textId="78EF440C" w:rsidR="00E66558" w:rsidRDefault="009D71E8">
      <w:pPr>
        <w:spacing w:before="240" w:after="120"/>
      </w:pPr>
      <w:r>
        <w:t xml:space="preserve">Budgeted cost: £ </w:t>
      </w:r>
      <w:r w:rsidR="00337B9E">
        <w:rPr>
          <w:i/>
          <w:iCs/>
        </w:rPr>
        <w:t>25000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96E09"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F5D4479" w:rsidR="00A96E09" w:rsidRDefault="00FF2E31" w:rsidP="00A96E09">
            <w:pPr>
              <w:pStyle w:val="TableRow"/>
              <w:ind w:left="0"/>
            </w:pPr>
            <w:proofErr w:type="gramStart"/>
            <w:r>
              <w:t>Parents  open</w:t>
            </w:r>
            <w:proofErr w:type="gramEnd"/>
            <w:r>
              <w:t xml:space="preserve"> days/workshops t</w:t>
            </w:r>
            <w:r w:rsidR="00A96E09">
              <w:t>o increase parental engagement and break down barriers for disadvantaged children’s parents to ensure they engage with their children’s education and are</w:t>
            </w:r>
            <w:r>
              <w:t xml:space="preserve"> equipped</w:t>
            </w:r>
            <w:r w:rsidR="00A96E09">
              <w:t xml:space="preserve"> with the skills they need to support them</w:t>
            </w:r>
            <w:r w:rsidR="00B42D78">
              <w:t>. PSA to work with key families to support them with supporting their child.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DF18F" w14:textId="232C54E1" w:rsidR="00FF2E31" w:rsidRDefault="00116F20" w:rsidP="004D418F">
            <w:pPr>
              <w:pStyle w:val="TableRowCentered"/>
              <w:jc w:val="left"/>
            </w:pPr>
            <w:r>
              <w:t>The EEF Guidance Report ‘</w:t>
            </w:r>
            <w:r w:rsidR="00FF2E31">
              <w:t>Working with parents to support children’s learning’ states that ‘</w:t>
            </w:r>
            <w:r w:rsidR="00FF2E31" w:rsidRPr="004D418F">
              <w:t>Parents play a crucial role in supporting their children’s learning, and levels of parental engagement are consistently associated with better academic outcomes.</w:t>
            </w:r>
            <w:r w:rsidR="00FF2E31">
              <w:t>’</w:t>
            </w:r>
            <w:r w:rsidR="00FF2E31" w:rsidRPr="004D418F">
              <w:t xml:space="preserve"> Evidence from </w:t>
            </w:r>
            <w:r w:rsidR="00FF2E31">
              <w:t xml:space="preserve">their </w:t>
            </w:r>
            <w:hyperlink r:id="rId7" w:history="1">
              <w:r w:rsidR="00FF2E31" w:rsidRPr="004D418F">
                <w:t>Teaching and Learning Toolkit</w:t>
              </w:r>
            </w:hyperlink>
            <w:r w:rsidR="00FF2E31" w:rsidRPr="004D418F">
              <w:t> suggests that effective parental engagement can lead to learning gains of +3 months over the course of a year. </w:t>
            </w:r>
          </w:p>
          <w:p w14:paraId="2A7D5539" w14:textId="77777777" w:rsidR="00A96E09" w:rsidRDefault="00A96E09" w:rsidP="00B42D78">
            <w:pPr>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D21ABBB" w:rsidR="00A96E09" w:rsidRDefault="000E21B1" w:rsidP="00A96E09">
            <w:pPr>
              <w:pStyle w:val="TableRowCentered"/>
              <w:jc w:val="left"/>
              <w:rPr>
                <w:sz w:val="22"/>
              </w:rPr>
            </w:pPr>
            <w:r>
              <w:rPr>
                <w:sz w:val="22"/>
              </w:rPr>
              <w:t>1,2,3,4,6</w:t>
            </w:r>
          </w:p>
        </w:tc>
      </w:tr>
      <w:tr w:rsidR="00B42D7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E53C875" w:rsidR="00B42D78" w:rsidRDefault="00B42D78" w:rsidP="00B42D78">
            <w:pPr>
              <w:pStyle w:val="TableRow"/>
              <w:ind w:left="0"/>
              <w:rPr>
                <w:i/>
                <w:sz w:val="22"/>
              </w:rPr>
            </w:pPr>
            <w:r>
              <w:t>Enable all eligible children to access residential visits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288736B" w:rsidR="00B42D78" w:rsidRDefault="00B42D78" w:rsidP="00B42D78">
            <w:pPr>
              <w:pStyle w:val="TableRowCentered"/>
              <w:jc w:val="left"/>
              <w:rPr>
                <w:sz w:val="22"/>
              </w:rPr>
            </w:pPr>
            <w:r>
              <w:t xml:space="preserve">Through our strong belief that </w:t>
            </w:r>
            <w:proofErr w:type="spellStart"/>
            <w:r>
              <w:t>residentials</w:t>
            </w:r>
            <w:proofErr w:type="spellEnd"/>
            <w:r>
              <w:t xml:space="preserve"> can enhance classroom learning and develop self-esteem and social skills, we feel that ensuring this is an opportunity available to all is very important. This is particularly important following lockdown where children have had more limited experiences and have had fewer opportunities to experience time away from immediate family.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FE33DBC" w:rsidR="00B42D78" w:rsidRDefault="000E21B1" w:rsidP="00B42D78">
            <w:pPr>
              <w:pStyle w:val="TableRowCentered"/>
              <w:jc w:val="left"/>
              <w:rPr>
                <w:sz w:val="22"/>
              </w:rPr>
            </w:pPr>
            <w:r>
              <w:rPr>
                <w:sz w:val="22"/>
              </w:rPr>
              <w:t>7</w:t>
            </w:r>
          </w:p>
        </w:tc>
      </w:tr>
      <w:tr w:rsidR="00B42D78" w14:paraId="7BCDF66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AF0E" w14:textId="701C1153" w:rsidR="00B42D78" w:rsidRDefault="00B42D78" w:rsidP="00B42D78">
            <w:pPr>
              <w:pStyle w:val="TableRow"/>
              <w:ind w:left="0"/>
            </w:pPr>
            <w:r>
              <w:t xml:space="preserve">Support vulnerable children and address their emotional needs through the ELSA programme. Programme to </w:t>
            </w:r>
            <w:proofErr w:type="gramStart"/>
            <w:r>
              <w:t>be delivered</w:t>
            </w:r>
            <w:proofErr w:type="gramEnd"/>
            <w:r>
              <w:t xml:space="preserve"> by PSA.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46AAE" w14:textId="77777777" w:rsidR="00B42D78" w:rsidRDefault="00B42D78" w:rsidP="00B42D78">
            <w:pPr>
              <w:pStyle w:val="TableRowCentered"/>
              <w:jc w:val="left"/>
            </w:pPr>
            <w:r w:rsidRPr="004245C7">
              <w:t xml:space="preserve">Ensure that our most vulnerable children </w:t>
            </w:r>
            <w:r>
              <w:t>are supported and able to access education through strong social and emotional support.</w:t>
            </w:r>
          </w:p>
          <w:p w14:paraId="450E876F" w14:textId="77777777" w:rsidR="008909B1" w:rsidRDefault="008909B1" w:rsidP="00B42D78">
            <w:pPr>
              <w:pStyle w:val="TableRowCentered"/>
              <w:jc w:val="left"/>
            </w:pPr>
          </w:p>
          <w:p w14:paraId="6F5E706B" w14:textId="6BED788B" w:rsidR="008909B1" w:rsidRDefault="008909B1" w:rsidP="00B42D78">
            <w:pPr>
              <w:pStyle w:val="TableRowCentered"/>
              <w:jc w:val="left"/>
            </w:pPr>
            <w:r>
              <w:t xml:space="preserve">Following lockdown, we have had increased family breakdowns and incidents of poor parental mental health </w:t>
            </w:r>
            <w:proofErr w:type="gramStart"/>
            <w:r>
              <w:t>impacting on</w:t>
            </w:r>
            <w:proofErr w:type="gramEnd"/>
            <w:r>
              <w:t xml:space="preserve"> the mental health of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BABE4" w14:textId="09AFE3BE" w:rsidR="00B42D78" w:rsidRDefault="000E21B1" w:rsidP="00B42D78">
            <w:pPr>
              <w:pStyle w:val="TableRowCentered"/>
              <w:jc w:val="left"/>
              <w:rPr>
                <w:sz w:val="22"/>
              </w:rPr>
            </w:pPr>
            <w:r>
              <w:rPr>
                <w:sz w:val="22"/>
              </w:rPr>
              <w:t>5</w:t>
            </w:r>
          </w:p>
        </w:tc>
      </w:tr>
      <w:tr w:rsidR="00D335BB" w14:paraId="0D75CA8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FC797" w14:textId="0ED40A83" w:rsidR="00D335BB" w:rsidRDefault="00D335BB" w:rsidP="00B42D78">
            <w:pPr>
              <w:pStyle w:val="TableRow"/>
              <w:ind w:left="0"/>
            </w:pPr>
            <w:r>
              <w:t>Target the attendance and punctuality  of disadvantaged pupils through close monitoring,  the use of r</w:t>
            </w:r>
            <w:r w:rsidRPr="00F721F6">
              <w:t>e</w:t>
            </w:r>
            <w:r>
              <w:t>wards to incentivise attendance and the support of the PSA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9BF6" w14:textId="0C09B419" w:rsidR="00D335BB" w:rsidRPr="004245C7" w:rsidRDefault="00297725" w:rsidP="00B42D78">
            <w:pPr>
              <w:pStyle w:val="TableRowCentered"/>
              <w:jc w:val="left"/>
            </w:pPr>
            <w:r>
              <w:t>Data shows that attendance percentages for our PP children is below that of our non-PP children.  (2020/21 year the gap is 2.15%</w:t>
            </w:r>
            <w:r w:rsidR="00116F20">
              <w:t xml:space="preserve"> and wider than in pre lockdown years</w:t>
            </w:r>
            <w:r>
              <w:t>) This is a continued focus for us to try to narrow this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3F75F" w14:textId="7225F542" w:rsidR="00D335BB" w:rsidRDefault="000E21B1" w:rsidP="00B42D78">
            <w:pPr>
              <w:pStyle w:val="TableRowCentered"/>
              <w:jc w:val="left"/>
              <w:rPr>
                <w:sz w:val="22"/>
              </w:rPr>
            </w:pPr>
            <w:r>
              <w:rPr>
                <w:sz w:val="22"/>
              </w:rPr>
              <w:t>6</w:t>
            </w:r>
          </w:p>
        </w:tc>
      </w:tr>
      <w:tr w:rsidR="00D335BB" w14:paraId="21C610B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05408" w14:textId="1F2705B9" w:rsidR="00D335BB" w:rsidRDefault="00D335BB" w:rsidP="00D335BB">
            <w:pPr>
              <w:pStyle w:val="TableRow"/>
              <w:ind w:left="0"/>
            </w:pPr>
            <w:r>
              <w:t>Provide targeted support for children who have emotional, social needs and their families through the use of play therapy, 1:1 and group therapies, PSA support and the support of the Educational Psychologist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3450" w14:textId="77777777" w:rsidR="00D335BB" w:rsidRDefault="00D335BB" w:rsidP="00D335BB">
            <w:pPr>
              <w:pStyle w:val="TableRowCentered"/>
              <w:jc w:val="left"/>
            </w:pPr>
            <w:r>
              <w:t xml:space="preserve">Children’s emotional, social and behavioural needs should not be a barrier to learning and every effort </w:t>
            </w:r>
            <w:proofErr w:type="gramStart"/>
            <w:r>
              <w:t>should be made</w:t>
            </w:r>
            <w:proofErr w:type="gramEnd"/>
            <w:r>
              <w:t xml:space="preserve"> to minimise this through use of the services provided by external agencies and in school support</w:t>
            </w:r>
            <w:r w:rsidR="00EB1C3B">
              <w:t>.</w:t>
            </w:r>
          </w:p>
          <w:p w14:paraId="5B7F3DB5" w14:textId="77777777" w:rsidR="00EB1C3B" w:rsidRDefault="00EB1C3B" w:rsidP="00D335BB">
            <w:pPr>
              <w:pStyle w:val="TableRowCentered"/>
              <w:jc w:val="left"/>
              <w:rPr>
                <w:highlight w:val="yellow"/>
              </w:rPr>
            </w:pPr>
          </w:p>
          <w:p w14:paraId="5554735F" w14:textId="782994A2" w:rsidR="00EB1C3B" w:rsidRPr="00D335BB" w:rsidRDefault="00EB1C3B" w:rsidP="00D335BB">
            <w:pPr>
              <w:pStyle w:val="TableRowCentered"/>
              <w:jc w:val="left"/>
              <w:rPr>
                <w:highlight w:val="yellow"/>
              </w:rPr>
            </w:pPr>
            <w:r w:rsidRPr="00EB1C3B">
              <w:t>Due to th</w:t>
            </w:r>
            <w:r>
              <w:t>e impact of lockdowns, we have more children needing support with their social and emotional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F3C2" w14:textId="2C245D99" w:rsidR="00D335BB" w:rsidRDefault="000E21B1" w:rsidP="00D335BB">
            <w:pPr>
              <w:pStyle w:val="TableRowCentered"/>
              <w:jc w:val="left"/>
              <w:rPr>
                <w:sz w:val="22"/>
              </w:rPr>
            </w:pPr>
            <w:r>
              <w:rPr>
                <w:sz w:val="22"/>
              </w:rPr>
              <w:t>5</w:t>
            </w:r>
          </w:p>
        </w:tc>
      </w:tr>
      <w:tr w:rsidR="00F73A61" w14:paraId="3EDCECB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E59C4" w14:textId="16D860FA" w:rsidR="00F73A61" w:rsidRDefault="00F73A61" w:rsidP="00D335BB">
            <w:pPr>
              <w:pStyle w:val="TableRow"/>
              <w:ind w:left="0"/>
            </w:pPr>
            <w:r>
              <w:t>Deploy PSA to support the most vulnerable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D249B" w14:textId="77777777" w:rsidR="00CB0A1A" w:rsidRDefault="00CB0A1A" w:rsidP="00D335BB">
            <w:pPr>
              <w:pStyle w:val="TableRowCentered"/>
              <w:jc w:val="left"/>
            </w:pPr>
            <w:r>
              <w:t>In the ‘Transforming Tees – High Achievement Review’ in the strand ‘Tackling Disadvantage’ one of the key drivers is that ‘T</w:t>
            </w:r>
            <w:r w:rsidR="00F73A61">
              <w:t>here is substantial, but intelligent investment in securing pupils’ academic progress, their personal development and mental health. Significant resource is similarly targeted in providing familial support with targeted engagement particularly for the most vulnerable families often using a single point of contact acting as a confidence builder.</w:t>
            </w:r>
            <w:r>
              <w:t xml:space="preserve">’ </w:t>
            </w:r>
          </w:p>
          <w:p w14:paraId="16D68C8C" w14:textId="449E63EF" w:rsidR="00F73A61" w:rsidRDefault="00CB0A1A" w:rsidP="00D335BB">
            <w:pPr>
              <w:pStyle w:val="TableRowCentered"/>
              <w:jc w:val="left"/>
            </w:pPr>
            <w:r>
              <w:t>Our PSA is this single point of contact. We feel following the pressures of the pandemic that this role supporting our most vulnerable families is more important than ever.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A9041" w14:textId="0A906D09" w:rsidR="00F73A61" w:rsidRDefault="009C35A7" w:rsidP="00D335BB">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65BA4A37" w:rsidR="00E66558" w:rsidRDefault="009D71E8" w:rsidP="00120AB1">
      <w:r>
        <w:rPr>
          <w:b/>
          <w:bCs/>
          <w:color w:val="104F75"/>
          <w:sz w:val="28"/>
          <w:szCs w:val="28"/>
        </w:rPr>
        <w:t xml:space="preserve">Total budgeted cost: £ </w:t>
      </w:r>
      <w:r w:rsidR="00337B9E">
        <w:rPr>
          <w:i/>
          <w:iCs/>
          <w:color w:val="104F75"/>
          <w:sz w:val="28"/>
          <w:szCs w:val="28"/>
        </w:rPr>
        <w:t>130,000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2312D" w14:textId="2AEBB546" w:rsidR="007B792C" w:rsidRDefault="001B41E2" w:rsidP="007B792C">
            <w:pPr>
              <w:pStyle w:val="NoSpacing"/>
              <w:rPr>
                <w:lang w:eastAsia="en-US"/>
              </w:rPr>
            </w:pPr>
            <w:r>
              <w:rPr>
                <w:lang w:eastAsia="en-US"/>
              </w:rPr>
              <w:t>*</w:t>
            </w:r>
            <w:r w:rsidR="009F2EB9" w:rsidRPr="009F2EB9">
              <w:rPr>
                <w:lang w:eastAsia="en-US"/>
              </w:rPr>
              <w:t>O</w:t>
            </w:r>
            <w:r w:rsidR="004D5931">
              <w:rPr>
                <w:lang w:eastAsia="en-US"/>
              </w:rPr>
              <w:t xml:space="preserve">ur last published statutory data in 2018-2019 showed </w:t>
            </w:r>
            <w:r w:rsidR="007B792C">
              <w:rPr>
                <w:lang w:eastAsia="en-US"/>
              </w:rPr>
              <w:t xml:space="preserve">the following </w:t>
            </w:r>
            <w:r w:rsidR="004D5931">
              <w:rPr>
                <w:lang w:eastAsia="en-US"/>
              </w:rPr>
              <w:t>disadvantaged</w:t>
            </w:r>
            <w:r w:rsidR="007B792C">
              <w:rPr>
                <w:lang w:eastAsia="en-US"/>
              </w:rPr>
              <w:t xml:space="preserve"> progress:</w:t>
            </w:r>
          </w:p>
          <w:p w14:paraId="5F6496EA" w14:textId="2520D369" w:rsidR="007B792C" w:rsidRDefault="007B792C" w:rsidP="007B792C">
            <w:pPr>
              <w:pStyle w:val="NoSpacing"/>
              <w:rPr>
                <w:lang w:eastAsia="en-US"/>
              </w:rPr>
            </w:pPr>
            <w:r>
              <w:rPr>
                <w:lang w:eastAsia="en-US"/>
              </w:rPr>
              <w:t xml:space="preserve"> </w:t>
            </w:r>
          </w:p>
          <w:tbl>
            <w:tblPr>
              <w:tblStyle w:val="TableGrid"/>
              <w:tblW w:w="0" w:type="auto"/>
              <w:tblLook w:val="04A0" w:firstRow="1" w:lastRow="0" w:firstColumn="1" w:lastColumn="0" w:noHBand="0" w:noVBand="1"/>
            </w:tblPr>
            <w:tblGrid>
              <w:gridCol w:w="4633"/>
              <w:gridCol w:w="4634"/>
            </w:tblGrid>
            <w:tr w:rsidR="007B792C" w14:paraId="59EB27E3" w14:textId="77777777" w:rsidTr="007B792C">
              <w:tc>
                <w:tcPr>
                  <w:tcW w:w="4633" w:type="dxa"/>
                </w:tcPr>
                <w:p w14:paraId="621BC063" w14:textId="2BE4A40C" w:rsidR="007B792C" w:rsidRPr="00581905" w:rsidRDefault="007B792C" w:rsidP="007B792C">
                  <w:pPr>
                    <w:pStyle w:val="NoSpacing"/>
                    <w:rPr>
                      <w:sz w:val="20"/>
                      <w:szCs w:val="20"/>
                      <w:lang w:eastAsia="en-US"/>
                    </w:rPr>
                  </w:pPr>
                  <w:r w:rsidRPr="00581905">
                    <w:rPr>
                      <w:sz w:val="20"/>
                      <w:szCs w:val="20"/>
                      <w:lang w:eastAsia="en-US"/>
                    </w:rPr>
                    <w:t>Reading</w:t>
                  </w:r>
                </w:p>
              </w:tc>
              <w:tc>
                <w:tcPr>
                  <w:tcW w:w="4634" w:type="dxa"/>
                </w:tcPr>
                <w:p w14:paraId="5DB09258" w14:textId="401957E1" w:rsidR="007B792C" w:rsidRPr="00581905" w:rsidRDefault="007B792C" w:rsidP="007B792C">
                  <w:pPr>
                    <w:pStyle w:val="NoSpacing"/>
                    <w:rPr>
                      <w:sz w:val="20"/>
                      <w:szCs w:val="20"/>
                      <w:lang w:eastAsia="en-US"/>
                    </w:rPr>
                  </w:pPr>
                  <w:r w:rsidRPr="00581905">
                    <w:rPr>
                      <w:sz w:val="20"/>
                      <w:szCs w:val="20"/>
                      <w:lang w:eastAsia="en-US"/>
                    </w:rPr>
                    <w:t>+1.1</w:t>
                  </w:r>
                </w:p>
              </w:tc>
            </w:tr>
            <w:tr w:rsidR="007B792C" w14:paraId="3ABF4CFC" w14:textId="77777777" w:rsidTr="007B792C">
              <w:tc>
                <w:tcPr>
                  <w:tcW w:w="4633" w:type="dxa"/>
                </w:tcPr>
                <w:p w14:paraId="2D661B37" w14:textId="5395573B" w:rsidR="007B792C" w:rsidRPr="00581905" w:rsidRDefault="007B792C" w:rsidP="007B792C">
                  <w:pPr>
                    <w:pStyle w:val="NoSpacing"/>
                    <w:rPr>
                      <w:sz w:val="20"/>
                      <w:szCs w:val="20"/>
                      <w:lang w:eastAsia="en-US"/>
                    </w:rPr>
                  </w:pPr>
                  <w:r w:rsidRPr="00581905">
                    <w:rPr>
                      <w:sz w:val="20"/>
                      <w:szCs w:val="20"/>
                      <w:lang w:eastAsia="en-US"/>
                    </w:rPr>
                    <w:t>Writing</w:t>
                  </w:r>
                </w:p>
              </w:tc>
              <w:tc>
                <w:tcPr>
                  <w:tcW w:w="4634" w:type="dxa"/>
                </w:tcPr>
                <w:p w14:paraId="412EC819" w14:textId="06DA4FB5" w:rsidR="007B792C" w:rsidRPr="00581905" w:rsidRDefault="007B792C" w:rsidP="007B792C">
                  <w:pPr>
                    <w:pStyle w:val="NoSpacing"/>
                    <w:rPr>
                      <w:sz w:val="20"/>
                      <w:szCs w:val="20"/>
                      <w:lang w:eastAsia="en-US"/>
                    </w:rPr>
                  </w:pPr>
                  <w:r w:rsidRPr="00581905">
                    <w:rPr>
                      <w:sz w:val="20"/>
                      <w:szCs w:val="20"/>
                      <w:lang w:eastAsia="en-US"/>
                    </w:rPr>
                    <w:t>+2.5</w:t>
                  </w:r>
                </w:p>
              </w:tc>
            </w:tr>
            <w:tr w:rsidR="007B792C" w14:paraId="0C2450DC" w14:textId="77777777" w:rsidTr="007B792C">
              <w:tc>
                <w:tcPr>
                  <w:tcW w:w="4633" w:type="dxa"/>
                </w:tcPr>
                <w:p w14:paraId="57F93A95" w14:textId="13B270F7" w:rsidR="007B792C" w:rsidRPr="00581905" w:rsidRDefault="007B792C" w:rsidP="007B792C">
                  <w:pPr>
                    <w:pStyle w:val="NoSpacing"/>
                    <w:rPr>
                      <w:sz w:val="20"/>
                      <w:szCs w:val="20"/>
                      <w:lang w:eastAsia="en-US"/>
                    </w:rPr>
                  </w:pPr>
                  <w:r w:rsidRPr="00581905">
                    <w:rPr>
                      <w:sz w:val="20"/>
                      <w:szCs w:val="20"/>
                      <w:lang w:eastAsia="en-US"/>
                    </w:rPr>
                    <w:t>Maths</w:t>
                  </w:r>
                </w:p>
              </w:tc>
              <w:tc>
                <w:tcPr>
                  <w:tcW w:w="4634" w:type="dxa"/>
                </w:tcPr>
                <w:p w14:paraId="0F495A92" w14:textId="1F127BBF" w:rsidR="007B792C" w:rsidRPr="00581905" w:rsidRDefault="007B792C" w:rsidP="007B792C">
                  <w:pPr>
                    <w:pStyle w:val="NoSpacing"/>
                    <w:rPr>
                      <w:sz w:val="20"/>
                      <w:szCs w:val="20"/>
                      <w:lang w:eastAsia="en-US"/>
                    </w:rPr>
                  </w:pPr>
                  <w:r w:rsidRPr="00581905">
                    <w:rPr>
                      <w:sz w:val="20"/>
                      <w:szCs w:val="20"/>
                      <w:lang w:eastAsia="en-US"/>
                    </w:rPr>
                    <w:t>+2.9</w:t>
                  </w:r>
                </w:p>
              </w:tc>
            </w:tr>
          </w:tbl>
          <w:p w14:paraId="63C65E26" w14:textId="3172C340" w:rsidR="007B792C" w:rsidRDefault="007B792C" w:rsidP="007B792C">
            <w:pPr>
              <w:pStyle w:val="NoSpacing"/>
              <w:rPr>
                <w:lang w:eastAsia="en-US"/>
              </w:rPr>
            </w:pPr>
          </w:p>
          <w:p w14:paraId="1AB941DF" w14:textId="169380CD" w:rsidR="001B41E2" w:rsidRPr="00891F97" w:rsidRDefault="001B41E2" w:rsidP="007B792C">
            <w:pPr>
              <w:pStyle w:val="NoSpacing"/>
              <w:rPr>
                <w:i/>
                <w:lang w:eastAsia="en-US"/>
              </w:rPr>
            </w:pPr>
            <w:r>
              <w:rPr>
                <w:lang w:eastAsia="en-US"/>
              </w:rPr>
              <w:t>*</w:t>
            </w:r>
            <w:r w:rsidR="00440399" w:rsidRPr="00440399">
              <w:rPr>
                <w:i/>
                <w:lang w:eastAsia="en-US"/>
              </w:rPr>
              <w:t>This is i</w:t>
            </w:r>
            <w:r w:rsidRPr="00440399">
              <w:rPr>
                <w:i/>
                <w:lang w:eastAsia="en-US"/>
              </w:rPr>
              <w:t>ncluded</w:t>
            </w:r>
            <w:r w:rsidRPr="001B41E2">
              <w:rPr>
                <w:i/>
                <w:lang w:eastAsia="en-US"/>
              </w:rPr>
              <w:t xml:space="preserve"> as this data f</w:t>
            </w:r>
            <w:r w:rsidR="005576D6">
              <w:rPr>
                <w:i/>
                <w:lang w:eastAsia="en-US"/>
              </w:rPr>
              <w:t>alls within the three years</w:t>
            </w:r>
            <w:r w:rsidRPr="001B41E2">
              <w:rPr>
                <w:i/>
                <w:lang w:eastAsia="en-US"/>
              </w:rPr>
              <w:t xml:space="preserve"> of the previous</w:t>
            </w:r>
            <w:r>
              <w:rPr>
                <w:lang w:eastAsia="en-US"/>
              </w:rPr>
              <w:t xml:space="preserve"> </w:t>
            </w:r>
            <w:r w:rsidRPr="00891F97">
              <w:rPr>
                <w:i/>
                <w:lang w:eastAsia="en-US"/>
              </w:rPr>
              <w:t>pupil premium strategy</w:t>
            </w:r>
            <w:r w:rsidR="00440399">
              <w:rPr>
                <w:i/>
                <w:lang w:eastAsia="en-US"/>
              </w:rPr>
              <w:t>.</w:t>
            </w:r>
          </w:p>
          <w:p w14:paraId="18FAF08E" w14:textId="77777777" w:rsidR="001B41E2" w:rsidRDefault="001B41E2">
            <w:pPr>
              <w:rPr>
                <w:lang w:eastAsia="en-US"/>
              </w:rPr>
            </w:pPr>
          </w:p>
          <w:p w14:paraId="56A77070" w14:textId="37C3CBCB" w:rsidR="007B792C" w:rsidRDefault="007B792C" w:rsidP="00440399">
            <w:pPr>
              <w:rPr>
                <w:lang w:eastAsia="en-US"/>
              </w:rPr>
            </w:pPr>
            <w:r>
              <w:rPr>
                <w:lang w:eastAsia="en-US"/>
              </w:rPr>
              <w:t>Due to COVID</w:t>
            </w:r>
            <w:r w:rsidR="001B41E2">
              <w:rPr>
                <w:lang w:eastAsia="en-US"/>
              </w:rPr>
              <w:t xml:space="preserve">, there has been no </w:t>
            </w:r>
            <w:r w:rsidR="000D1507">
              <w:rPr>
                <w:lang w:eastAsia="en-US"/>
              </w:rPr>
              <w:t xml:space="preserve">external </w:t>
            </w:r>
            <w:r w:rsidR="001B41E2">
              <w:rPr>
                <w:lang w:eastAsia="en-US"/>
              </w:rPr>
              <w:t xml:space="preserve">statutory </w:t>
            </w:r>
            <w:r>
              <w:rPr>
                <w:lang w:eastAsia="en-US"/>
              </w:rPr>
              <w:t xml:space="preserve">data to draw upon to evidence </w:t>
            </w:r>
            <w:r w:rsidR="001B41E2">
              <w:rPr>
                <w:lang w:eastAsia="en-US"/>
              </w:rPr>
              <w:t>disadvantaged</w:t>
            </w:r>
            <w:r>
              <w:rPr>
                <w:lang w:eastAsia="en-US"/>
              </w:rPr>
              <w:t xml:space="preserve"> attainment </w:t>
            </w:r>
            <w:r w:rsidR="005576D6">
              <w:rPr>
                <w:lang w:eastAsia="en-US"/>
              </w:rPr>
              <w:t>and progress since 2018-2019</w:t>
            </w:r>
            <w:r w:rsidR="001B41E2">
              <w:rPr>
                <w:lang w:eastAsia="en-US"/>
              </w:rPr>
              <w:t xml:space="preserve">. </w:t>
            </w:r>
            <w:r w:rsidR="005576D6">
              <w:rPr>
                <w:lang w:eastAsia="en-US"/>
              </w:rPr>
              <w:t xml:space="preserve">We have robust assessment and moderation practices in </w:t>
            </w:r>
            <w:proofErr w:type="gramStart"/>
            <w:r w:rsidR="005576D6">
              <w:rPr>
                <w:lang w:eastAsia="en-US"/>
              </w:rPr>
              <w:t>school which have continued since statutory assessments</w:t>
            </w:r>
            <w:proofErr w:type="gramEnd"/>
            <w:r w:rsidR="005576D6">
              <w:rPr>
                <w:lang w:eastAsia="en-US"/>
              </w:rPr>
              <w:t xml:space="preserve"> were paused due to the pandemic. </w:t>
            </w:r>
            <w:proofErr w:type="spellStart"/>
            <w:r w:rsidR="001B41E2">
              <w:rPr>
                <w:lang w:eastAsia="en-US"/>
              </w:rPr>
              <w:t>T</w:t>
            </w:r>
            <w:r w:rsidR="000D1507">
              <w:rPr>
                <w:lang w:eastAsia="en-US"/>
              </w:rPr>
              <w:t>he</w:t>
            </w:r>
            <w:proofErr w:type="spellEnd"/>
            <w:r w:rsidR="000D1507">
              <w:rPr>
                <w:lang w:eastAsia="en-US"/>
              </w:rPr>
              <w:t xml:space="preserve"> following data is in-school </w:t>
            </w:r>
            <w:r w:rsidR="005F479A">
              <w:rPr>
                <w:lang w:eastAsia="en-US"/>
              </w:rPr>
              <w:t xml:space="preserve">end of key stage </w:t>
            </w:r>
            <w:r w:rsidR="001B41E2">
              <w:rPr>
                <w:lang w:eastAsia="en-US"/>
              </w:rPr>
              <w:t>data for the 2020/21</w:t>
            </w:r>
            <w:r w:rsidR="000D1507">
              <w:rPr>
                <w:lang w:eastAsia="en-US"/>
              </w:rPr>
              <w:t xml:space="preserve"> academic year. </w:t>
            </w:r>
            <w:r w:rsidR="00440399">
              <w:rPr>
                <w:lang w:eastAsia="en-US"/>
              </w:rPr>
              <w:t xml:space="preserve">This data </w:t>
            </w:r>
            <w:proofErr w:type="gramStart"/>
            <w:r w:rsidR="00440399">
              <w:rPr>
                <w:lang w:eastAsia="en-US"/>
              </w:rPr>
              <w:t>is informed</w:t>
            </w:r>
            <w:proofErr w:type="gramEnd"/>
            <w:r w:rsidR="00440399">
              <w:rPr>
                <w:lang w:eastAsia="en-US"/>
              </w:rPr>
              <w:t xml:space="preserve"> by the SATS assessment ma</w:t>
            </w:r>
            <w:r w:rsidR="005576D6">
              <w:rPr>
                <w:lang w:eastAsia="en-US"/>
              </w:rPr>
              <w:t>terials used in previous years as part of the statutory assessments.</w:t>
            </w:r>
          </w:p>
          <w:p w14:paraId="6D6E0050" w14:textId="525E0CF7" w:rsidR="0087066D" w:rsidRPr="00581905" w:rsidRDefault="0087066D" w:rsidP="00440399">
            <w:pPr>
              <w:rPr>
                <w:b/>
                <w:lang w:eastAsia="en-US"/>
              </w:rPr>
            </w:pPr>
            <w:r w:rsidRPr="00581905">
              <w:rPr>
                <w:b/>
                <w:lang w:eastAsia="en-US"/>
              </w:rPr>
              <w:t>KS1</w:t>
            </w:r>
          </w:p>
          <w:tbl>
            <w:tblPr>
              <w:tblStyle w:val="TableGrid"/>
              <w:tblW w:w="0" w:type="auto"/>
              <w:tblLook w:val="04A0" w:firstRow="1" w:lastRow="0" w:firstColumn="1" w:lastColumn="0" w:noHBand="0" w:noVBand="1"/>
            </w:tblPr>
            <w:tblGrid>
              <w:gridCol w:w="3089"/>
              <w:gridCol w:w="3089"/>
              <w:gridCol w:w="3089"/>
            </w:tblGrid>
            <w:tr w:rsidR="0087066D" w14:paraId="4B2024B6" w14:textId="77777777" w:rsidTr="0087066D">
              <w:trPr>
                <w:trHeight w:hRule="exact" w:val="284"/>
              </w:trPr>
              <w:tc>
                <w:tcPr>
                  <w:tcW w:w="3089" w:type="dxa"/>
                </w:tcPr>
                <w:p w14:paraId="76946D0C" w14:textId="49DF9533" w:rsidR="0087066D" w:rsidRPr="00581905" w:rsidRDefault="0087066D" w:rsidP="0087066D">
                  <w:pPr>
                    <w:jc w:val="center"/>
                    <w:rPr>
                      <w:b/>
                      <w:sz w:val="18"/>
                      <w:szCs w:val="18"/>
                      <w:lang w:eastAsia="en-US"/>
                    </w:rPr>
                  </w:pPr>
                  <w:r w:rsidRPr="00581905">
                    <w:rPr>
                      <w:b/>
                      <w:sz w:val="18"/>
                      <w:szCs w:val="18"/>
                      <w:lang w:eastAsia="en-US"/>
                    </w:rPr>
                    <w:t>Subject</w:t>
                  </w:r>
                </w:p>
              </w:tc>
              <w:tc>
                <w:tcPr>
                  <w:tcW w:w="3089" w:type="dxa"/>
                </w:tcPr>
                <w:p w14:paraId="37286184" w14:textId="4CAD9DC3" w:rsidR="0087066D" w:rsidRPr="00581905" w:rsidRDefault="0087066D" w:rsidP="0087066D">
                  <w:pPr>
                    <w:jc w:val="center"/>
                    <w:rPr>
                      <w:b/>
                      <w:sz w:val="18"/>
                      <w:szCs w:val="18"/>
                      <w:lang w:eastAsia="en-US"/>
                    </w:rPr>
                  </w:pPr>
                  <w:r w:rsidRPr="00581905">
                    <w:rPr>
                      <w:b/>
                      <w:sz w:val="18"/>
                      <w:szCs w:val="18"/>
                      <w:lang w:eastAsia="en-US"/>
                    </w:rPr>
                    <w:t>Disadvantaged</w:t>
                  </w:r>
                  <w:r w:rsidR="00581905" w:rsidRPr="00581905">
                    <w:rPr>
                      <w:b/>
                      <w:sz w:val="18"/>
                      <w:szCs w:val="18"/>
                      <w:lang w:eastAsia="en-US"/>
                    </w:rPr>
                    <w:t xml:space="preserve"> Attainment</w:t>
                  </w:r>
                </w:p>
              </w:tc>
              <w:tc>
                <w:tcPr>
                  <w:tcW w:w="3089" w:type="dxa"/>
                </w:tcPr>
                <w:p w14:paraId="2331DE0C" w14:textId="566EEBF4" w:rsidR="0087066D" w:rsidRPr="00581905" w:rsidRDefault="0087066D" w:rsidP="0087066D">
                  <w:pPr>
                    <w:jc w:val="center"/>
                    <w:rPr>
                      <w:b/>
                      <w:sz w:val="18"/>
                      <w:szCs w:val="18"/>
                      <w:lang w:eastAsia="en-US"/>
                    </w:rPr>
                  </w:pPr>
                  <w:r w:rsidRPr="00581905">
                    <w:rPr>
                      <w:b/>
                      <w:sz w:val="18"/>
                      <w:szCs w:val="18"/>
                      <w:lang w:eastAsia="en-US"/>
                    </w:rPr>
                    <w:t>N</w:t>
                  </w:r>
                  <w:r w:rsidR="00581905" w:rsidRPr="00581905">
                    <w:rPr>
                      <w:b/>
                      <w:sz w:val="18"/>
                      <w:szCs w:val="18"/>
                      <w:lang w:eastAsia="en-US"/>
                    </w:rPr>
                    <w:t>on-Disadvantaged Attainment</w:t>
                  </w:r>
                </w:p>
              </w:tc>
            </w:tr>
            <w:tr w:rsidR="0087066D" w14:paraId="371FADE0" w14:textId="77777777" w:rsidTr="0087066D">
              <w:trPr>
                <w:trHeight w:hRule="exact" w:val="284"/>
              </w:trPr>
              <w:tc>
                <w:tcPr>
                  <w:tcW w:w="3089" w:type="dxa"/>
                </w:tcPr>
                <w:p w14:paraId="2B2D365B" w14:textId="36126B05" w:rsidR="0087066D" w:rsidRPr="00581905" w:rsidRDefault="00581905" w:rsidP="00440399">
                  <w:pPr>
                    <w:rPr>
                      <w:sz w:val="20"/>
                      <w:szCs w:val="20"/>
                      <w:lang w:eastAsia="en-US"/>
                    </w:rPr>
                  </w:pPr>
                  <w:r w:rsidRPr="00581905">
                    <w:rPr>
                      <w:sz w:val="20"/>
                      <w:szCs w:val="20"/>
                      <w:lang w:eastAsia="en-US"/>
                    </w:rPr>
                    <w:t>Reading</w:t>
                  </w:r>
                </w:p>
              </w:tc>
              <w:tc>
                <w:tcPr>
                  <w:tcW w:w="3089" w:type="dxa"/>
                </w:tcPr>
                <w:p w14:paraId="008B0B8B" w14:textId="6114D7C6" w:rsidR="0087066D" w:rsidRPr="00581905" w:rsidRDefault="00EF6FC3" w:rsidP="00440399">
                  <w:pPr>
                    <w:rPr>
                      <w:sz w:val="20"/>
                      <w:szCs w:val="20"/>
                      <w:lang w:eastAsia="en-US"/>
                    </w:rPr>
                  </w:pPr>
                  <w:r>
                    <w:rPr>
                      <w:sz w:val="20"/>
                      <w:szCs w:val="20"/>
                      <w:lang w:eastAsia="en-US"/>
                    </w:rPr>
                    <w:t>71</w:t>
                  </w:r>
                  <w:r w:rsidR="00581905">
                    <w:rPr>
                      <w:sz w:val="20"/>
                      <w:szCs w:val="20"/>
                      <w:lang w:eastAsia="en-US"/>
                    </w:rPr>
                    <w:t>%</w:t>
                  </w:r>
                </w:p>
              </w:tc>
              <w:tc>
                <w:tcPr>
                  <w:tcW w:w="3089" w:type="dxa"/>
                </w:tcPr>
                <w:p w14:paraId="714675BC" w14:textId="43800EA3" w:rsidR="0087066D" w:rsidRPr="00581905" w:rsidRDefault="00EF6FC3" w:rsidP="00440399">
                  <w:pPr>
                    <w:rPr>
                      <w:sz w:val="20"/>
                      <w:szCs w:val="20"/>
                      <w:lang w:eastAsia="en-US"/>
                    </w:rPr>
                  </w:pPr>
                  <w:r>
                    <w:rPr>
                      <w:sz w:val="20"/>
                      <w:szCs w:val="20"/>
                      <w:lang w:eastAsia="en-US"/>
                    </w:rPr>
                    <w:t>81</w:t>
                  </w:r>
                  <w:r w:rsidR="00581905">
                    <w:rPr>
                      <w:sz w:val="20"/>
                      <w:szCs w:val="20"/>
                      <w:lang w:eastAsia="en-US"/>
                    </w:rPr>
                    <w:t>%</w:t>
                  </w:r>
                </w:p>
              </w:tc>
            </w:tr>
            <w:tr w:rsidR="0087066D" w14:paraId="6D0BE844" w14:textId="77777777" w:rsidTr="0087066D">
              <w:trPr>
                <w:trHeight w:hRule="exact" w:val="284"/>
              </w:trPr>
              <w:tc>
                <w:tcPr>
                  <w:tcW w:w="3089" w:type="dxa"/>
                </w:tcPr>
                <w:p w14:paraId="555E4410" w14:textId="362694E0" w:rsidR="0087066D" w:rsidRPr="00581905" w:rsidRDefault="00581905" w:rsidP="00440399">
                  <w:pPr>
                    <w:rPr>
                      <w:sz w:val="20"/>
                      <w:szCs w:val="20"/>
                      <w:lang w:eastAsia="en-US"/>
                    </w:rPr>
                  </w:pPr>
                  <w:r w:rsidRPr="00581905">
                    <w:rPr>
                      <w:sz w:val="20"/>
                      <w:szCs w:val="20"/>
                      <w:lang w:eastAsia="en-US"/>
                    </w:rPr>
                    <w:t>Writing</w:t>
                  </w:r>
                </w:p>
              </w:tc>
              <w:tc>
                <w:tcPr>
                  <w:tcW w:w="3089" w:type="dxa"/>
                </w:tcPr>
                <w:p w14:paraId="1C6603EA" w14:textId="50D88D99" w:rsidR="0087066D" w:rsidRPr="00581905" w:rsidRDefault="00EF6FC3" w:rsidP="00440399">
                  <w:pPr>
                    <w:rPr>
                      <w:sz w:val="20"/>
                      <w:szCs w:val="20"/>
                      <w:lang w:eastAsia="en-US"/>
                    </w:rPr>
                  </w:pPr>
                  <w:r>
                    <w:rPr>
                      <w:sz w:val="20"/>
                      <w:szCs w:val="20"/>
                      <w:lang w:eastAsia="en-US"/>
                    </w:rPr>
                    <w:t>50%</w:t>
                  </w:r>
                </w:p>
              </w:tc>
              <w:tc>
                <w:tcPr>
                  <w:tcW w:w="3089" w:type="dxa"/>
                </w:tcPr>
                <w:p w14:paraId="10B0E348" w14:textId="01D99317" w:rsidR="0087066D" w:rsidRPr="00581905" w:rsidRDefault="00EF6FC3" w:rsidP="00440399">
                  <w:pPr>
                    <w:rPr>
                      <w:sz w:val="20"/>
                      <w:szCs w:val="20"/>
                      <w:lang w:eastAsia="en-US"/>
                    </w:rPr>
                  </w:pPr>
                  <w:r>
                    <w:rPr>
                      <w:sz w:val="20"/>
                      <w:szCs w:val="20"/>
                      <w:lang w:eastAsia="en-US"/>
                    </w:rPr>
                    <w:t>65%</w:t>
                  </w:r>
                </w:p>
              </w:tc>
            </w:tr>
            <w:tr w:rsidR="0087066D" w14:paraId="3462AED5" w14:textId="77777777" w:rsidTr="0087066D">
              <w:trPr>
                <w:trHeight w:hRule="exact" w:val="284"/>
              </w:trPr>
              <w:tc>
                <w:tcPr>
                  <w:tcW w:w="3089" w:type="dxa"/>
                </w:tcPr>
                <w:p w14:paraId="7CDA71DC" w14:textId="440013ED" w:rsidR="0087066D" w:rsidRPr="00581905" w:rsidRDefault="00581905" w:rsidP="00440399">
                  <w:pPr>
                    <w:rPr>
                      <w:sz w:val="20"/>
                      <w:szCs w:val="20"/>
                      <w:lang w:eastAsia="en-US"/>
                    </w:rPr>
                  </w:pPr>
                  <w:r w:rsidRPr="00581905">
                    <w:rPr>
                      <w:sz w:val="20"/>
                      <w:szCs w:val="20"/>
                      <w:lang w:eastAsia="en-US"/>
                    </w:rPr>
                    <w:t>Maths</w:t>
                  </w:r>
                </w:p>
              </w:tc>
              <w:tc>
                <w:tcPr>
                  <w:tcW w:w="3089" w:type="dxa"/>
                </w:tcPr>
                <w:p w14:paraId="634EFA2F" w14:textId="3DDDCC94" w:rsidR="0087066D" w:rsidRPr="00581905" w:rsidRDefault="00EF6FC3" w:rsidP="00440399">
                  <w:pPr>
                    <w:rPr>
                      <w:sz w:val="20"/>
                      <w:szCs w:val="20"/>
                      <w:lang w:eastAsia="en-US"/>
                    </w:rPr>
                  </w:pPr>
                  <w:r>
                    <w:rPr>
                      <w:sz w:val="20"/>
                      <w:szCs w:val="20"/>
                      <w:lang w:eastAsia="en-US"/>
                    </w:rPr>
                    <w:t>64%</w:t>
                  </w:r>
                </w:p>
              </w:tc>
              <w:tc>
                <w:tcPr>
                  <w:tcW w:w="3089" w:type="dxa"/>
                </w:tcPr>
                <w:p w14:paraId="67E0C140" w14:textId="556DFCAE" w:rsidR="0087066D" w:rsidRPr="00581905" w:rsidRDefault="00EF6FC3" w:rsidP="00440399">
                  <w:pPr>
                    <w:rPr>
                      <w:sz w:val="20"/>
                      <w:szCs w:val="20"/>
                      <w:lang w:eastAsia="en-US"/>
                    </w:rPr>
                  </w:pPr>
                  <w:r>
                    <w:rPr>
                      <w:sz w:val="20"/>
                      <w:szCs w:val="20"/>
                      <w:lang w:eastAsia="en-US"/>
                    </w:rPr>
                    <w:t>68%</w:t>
                  </w:r>
                </w:p>
              </w:tc>
            </w:tr>
            <w:tr w:rsidR="0087066D" w14:paraId="52E534CD" w14:textId="77777777" w:rsidTr="0087066D">
              <w:trPr>
                <w:trHeight w:hRule="exact" w:val="284"/>
              </w:trPr>
              <w:tc>
                <w:tcPr>
                  <w:tcW w:w="3089" w:type="dxa"/>
                </w:tcPr>
                <w:p w14:paraId="48DA0183" w14:textId="4E6DDEE0" w:rsidR="0087066D" w:rsidRPr="00581905" w:rsidRDefault="00FA7685" w:rsidP="00440399">
                  <w:pPr>
                    <w:rPr>
                      <w:sz w:val="20"/>
                      <w:szCs w:val="20"/>
                      <w:lang w:eastAsia="en-US"/>
                    </w:rPr>
                  </w:pPr>
                  <w:r>
                    <w:rPr>
                      <w:sz w:val="20"/>
                      <w:szCs w:val="20"/>
                      <w:lang w:eastAsia="en-US"/>
                    </w:rPr>
                    <w:t>Combined</w:t>
                  </w:r>
                </w:p>
              </w:tc>
              <w:tc>
                <w:tcPr>
                  <w:tcW w:w="3089" w:type="dxa"/>
                </w:tcPr>
                <w:p w14:paraId="6E78DA26" w14:textId="67B58A5F" w:rsidR="0087066D" w:rsidRPr="00581905" w:rsidRDefault="00EF6FC3" w:rsidP="00440399">
                  <w:pPr>
                    <w:rPr>
                      <w:sz w:val="20"/>
                      <w:szCs w:val="20"/>
                      <w:lang w:eastAsia="en-US"/>
                    </w:rPr>
                  </w:pPr>
                  <w:r>
                    <w:rPr>
                      <w:sz w:val="20"/>
                      <w:szCs w:val="20"/>
                      <w:lang w:eastAsia="en-US"/>
                    </w:rPr>
                    <w:t>50%</w:t>
                  </w:r>
                </w:p>
              </w:tc>
              <w:tc>
                <w:tcPr>
                  <w:tcW w:w="3089" w:type="dxa"/>
                </w:tcPr>
                <w:p w14:paraId="2D55E2A9" w14:textId="4EFDC11D" w:rsidR="0087066D" w:rsidRPr="00581905" w:rsidRDefault="00EF6FC3" w:rsidP="00440399">
                  <w:pPr>
                    <w:rPr>
                      <w:sz w:val="20"/>
                      <w:szCs w:val="20"/>
                      <w:lang w:eastAsia="en-US"/>
                    </w:rPr>
                  </w:pPr>
                  <w:r>
                    <w:rPr>
                      <w:sz w:val="20"/>
                      <w:szCs w:val="20"/>
                      <w:lang w:eastAsia="en-US"/>
                    </w:rPr>
                    <w:t>65%</w:t>
                  </w:r>
                </w:p>
              </w:tc>
            </w:tr>
          </w:tbl>
          <w:p w14:paraId="7461333E" w14:textId="4E8CC999" w:rsidR="0087066D" w:rsidRDefault="0087066D" w:rsidP="00440399">
            <w:pPr>
              <w:rPr>
                <w:lang w:eastAsia="en-US"/>
              </w:rPr>
            </w:pPr>
          </w:p>
          <w:p w14:paraId="5ABFDD4A" w14:textId="5083AC8C" w:rsidR="007B29CF" w:rsidRPr="00581905" w:rsidRDefault="007B29CF" w:rsidP="007B29CF">
            <w:pPr>
              <w:rPr>
                <w:b/>
                <w:lang w:eastAsia="en-US"/>
              </w:rPr>
            </w:pPr>
            <w:r>
              <w:rPr>
                <w:b/>
                <w:lang w:eastAsia="en-US"/>
              </w:rPr>
              <w:t>KS2</w:t>
            </w:r>
          </w:p>
          <w:tbl>
            <w:tblPr>
              <w:tblStyle w:val="TableGrid"/>
              <w:tblW w:w="0" w:type="auto"/>
              <w:tblLook w:val="04A0" w:firstRow="1" w:lastRow="0" w:firstColumn="1" w:lastColumn="0" w:noHBand="0" w:noVBand="1"/>
            </w:tblPr>
            <w:tblGrid>
              <w:gridCol w:w="3089"/>
              <w:gridCol w:w="3089"/>
              <w:gridCol w:w="3089"/>
            </w:tblGrid>
            <w:tr w:rsidR="007B29CF" w14:paraId="3767DDCD" w14:textId="77777777" w:rsidTr="005242B6">
              <w:trPr>
                <w:trHeight w:hRule="exact" w:val="284"/>
              </w:trPr>
              <w:tc>
                <w:tcPr>
                  <w:tcW w:w="3089" w:type="dxa"/>
                </w:tcPr>
                <w:p w14:paraId="0D994F01" w14:textId="77777777" w:rsidR="007B29CF" w:rsidRPr="00581905" w:rsidRDefault="007B29CF" w:rsidP="007B29CF">
                  <w:pPr>
                    <w:jc w:val="center"/>
                    <w:rPr>
                      <w:b/>
                      <w:sz w:val="18"/>
                      <w:szCs w:val="18"/>
                      <w:lang w:eastAsia="en-US"/>
                    </w:rPr>
                  </w:pPr>
                  <w:r w:rsidRPr="00581905">
                    <w:rPr>
                      <w:b/>
                      <w:sz w:val="18"/>
                      <w:szCs w:val="18"/>
                      <w:lang w:eastAsia="en-US"/>
                    </w:rPr>
                    <w:t>Subject</w:t>
                  </w:r>
                </w:p>
              </w:tc>
              <w:tc>
                <w:tcPr>
                  <w:tcW w:w="3089" w:type="dxa"/>
                </w:tcPr>
                <w:p w14:paraId="4D789B26" w14:textId="77777777" w:rsidR="007B29CF" w:rsidRPr="00581905" w:rsidRDefault="007B29CF" w:rsidP="007B29CF">
                  <w:pPr>
                    <w:jc w:val="center"/>
                    <w:rPr>
                      <w:b/>
                      <w:sz w:val="18"/>
                      <w:szCs w:val="18"/>
                      <w:lang w:eastAsia="en-US"/>
                    </w:rPr>
                  </w:pPr>
                  <w:r w:rsidRPr="00581905">
                    <w:rPr>
                      <w:b/>
                      <w:sz w:val="18"/>
                      <w:szCs w:val="18"/>
                      <w:lang w:eastAsia="en-US"/>
                    </w:rPr>
                    <w:t>Disadvantaged Attainment</w:t>
                  </w:r>
                </w:p>
              </w:tc>
              <w:tc>
                <w:tcPr>
                  <w:tcW w:w="3089" w:type="dxa"/>
                </w:tcPr>
                <w:p w14:paraId="26E4ED14" w14:textId="77777777" w:rsidR="007B29CF" w:rsidRPr="00581905" w:rsidRDefault="007B29CF" w:rsidP="007B29CF">
                  <w:pPr>
                    <w:jc w:val="center"/>
                    <w:rPr>
                      <w:b/>
                      <w:sz w:val="18"/>
                      <w:szCs w:val="18"/>
                      <w:lang w:eastAsia="en-US"/>
                    </w:rPr>
                  </w:pPr>
                  <w:r w:rsidRPr="00581905">
                    <w:rPr>
                      <w:b/>
                      <w:sz w:val="18"/>
                      <w:szCs w:val="18"/>
                      <w:lang w:eastAsia="en-US"/>
                    </w:rPr>
                    <w:t>Non-Disadvantaged Attainment</w:t>
                  </w:r>
                </w:p>
              </w:tc>
            </w:tr>
            <w:tr w:rsidR="007B29CF" w14:paraId="0335D6C0" w14:textId="77777777" w:rsidTr="005242B6">
              <w:trPr>
                <w:trHeight w:hRule="exact" w:val="284"/>
              </w:trPr>
              <w:tc>
                <w:tcPr>
                  <w:tcW w:w="3089" w:type="dxa"/>
                </w:tcPr>
                <w:p w14:paraId="26B4CA88" w14:textId="77777777" w:rsidR="007B29CF" w:rsidRPr="00581905" w:rsidRDefault="007B29CF" w:rsidP="007B29CF">
                  <w:pPr>
                    <w:rPr>
                      <w:sz w:val="20"/>
                      <w:szCs w:val="20"/>
                      <w:lang w:eastAsia="en-US"/>
                    </w:rPr>
                  </w:pPr>
                  <w:r w:rsidRPr="00581905">
                    <w:rPr>
                      <w:sz w:val="20"/>
                      <w:szCs w:val="20"/>
                      <w:lang w:eastAsia="en-US"/>
                    </w:rPr>
                    <w:t>Reading</w:t>
                  </w:r>
                </w:p>
              </w:tc>
              <w:tc>
                <w:tcPr>
                  <w:tcW w:w="3089" w:type="dxa"/>
                </w:tcPr>
                <w:p w14:paraId="00CA7AB5" w14:textId="180067D9" w:rsidR="007B29CF" w:rsidRPr="00581905" w:rsidRDefault="007B29CF" w:rsidP="007B29CF">
                  <w:pPr>
                    <w:rPr>
                      <w:sz w:val="20"/>
                      <w:szCs w:val="20"/>
                      <w:lang w:eastAsia="en-US"/>
                    </w:rPr>
                  </w:pPr>
                  <w:r>
                    <w:rPr>
                      <w:sz w:val="20"/>
                      <w:szCs w:val="20"/>
                      <w:lang w:eastAsia="en-US"/>
                    </w:rPr>
                    <w:t>84</w:t>
                  </w:r>
                  <w:r>
                    <w:rPr>
                      <w:sz w:val="20"/>
                      <w:szCs w:val="20"/>
                      <w:lang w:eastAsia="en-US"/>
                    </w:rPr>
                    <w:t>%</w:t>
                  </w:r>
                </w:p>
              </w:tc>
              <w:tc>
                <w:tcPr>
                  <w:tcW w:w="3089" w:type="dxa"/>
                </w:tcPr>
                <w:p w14:paraId="72D2272D" w14:textId="614AEC54" w:rsidR="007B29CF" w:rsidRPr="00581905" w:rsidRDefault="007B29CF" w:rsidP="007B29CF">
                  <w:pPr>
                    <w:rPr>
                      <w:sz w:val="20"/>
                      <w:szCs w:val="20"/>
                      <w:lang w:eastAsia="en-US"/>
                    </w:rPr>
                  </w:pPr>
                  <w:r>
                    <w:rPr>
                      <w:sz w:val="20"/>
                      <w:szCs w:val="20"/>
                      <w:lang w:eastAsia="en-US"/>
                    </w:rPr>
                    <w:t>83</w:t>
                  </w:r>
                  <w:r>
                    <w:rPr>
                      <w:sz w:val="20"/>
                      <w:szCs w:val="20"/>
                      <w:lang w:eastAsia="en-US"/>
                    </w:rPr>
                    <w:t>%</w:t>
                  </w:r>
                </w:p>
              </w:tc>
            </w:tr>
            <w:tr w:rsidR="007B29CF" w14:paraId="201743B8" w14:textId="77777777" w:rsidTr="005242B6">
              <w:trPr>
                <w:trHeight w:hRule="exact" w:val="284"/>
              </w:trPr>
              <w:tc>
                <w:tcPr>
                  <w:tcW w:w="3089" w:type="dxa"/>
                </w:tcPr>
                <w:p w14:paraId="437C23E5" w14:textId="77777777" w:rsidR="007B29CF" w:rsidRPr="00581905" w:rsidRDefault="007B29CF" w:rsidP="007B29CF">
                  <w:pPr>
                    <w:rPr>
                      <w:sz w:val="20"/>
                      <w:szCs w:val="20"/>
                      <w:lang w:eastAsia="en-US"/>
                    </w:rPr>
                  </w:pPr>
                  <w:r w:rsidRPr="00581905">
                    <w:rPr>
                      <w:sz w:val="20"/>
                      <w:szCs w:val="20"/>
                      <w:lang w:eastAsia="en-US"/>
                    </w:rPr>
                    <w:t>Writing</w:t>
                  </w:r>
                </w:p>
              </w:tc>
              <w:tc>
                <w:tcPr>
                  <w:tcW w:w="3089" w:type="dxa"/>
                </w:tcPr>
                <w:p w14:paraId="0C79DF1D" w14:textId="613BAB57" w:rsidR="007B29CF" w:rsidRPr="00581905" w:rsidRDefault="007B29CF" w:rsidP="007B29CF">
                  <w:pPr>
                    <w:rPr>
                      <w:sz w:val="20"/>
                      <w:szCs w:val="20"/>
                      <w:lang w:eastAsia="en-US"/>
                    </w:rPr>
                  </w:pPr>
                  <w:r>
                    <w:rPr>
                      <w:sz w:val="20"/>
                      <w:szCs w:val="20"/>
                      <w:lang w:eastAsia="en-US"/>
                    </w:rPr>
                    <w:t>84%</w:t>
                  </w:r>
                </w:p>
              </w:tc>
              <w:tc>
                <w:tcPr>
                  <w:tcW w:w="3089" w:type="dxa"/>
                </w:tcPr>
                <w:p w14:paraId="3A711AA0" w14:textId="67E58756" w:rsidR="007B29CF" w:rsidRPr="00581905" w:rsidRDefault="007B29CF" w:rsidP="007B29CF">
                  <w:pPr>
                    <w:rPr>
                      <w:sz w:val="20"/>
                      <w:szCs w:val="20"/>
                      <w:lang w:eastAsia="en-US"/>
                    </w:rPr>
                  </w:pPr>
                  <w:r>
                    <w:rPr>
                      <w:sz w:val="20"/>
                      <w:szCs w:val="20"/>
                      <w:lang w:eastAsia="en-US"/>
                    </w:rPr>
                    <w:t>79%</w:t>
                  </w:r>
                </w:p>
              </w:tc>
            </w:tr>
            <w:tr w:rsidR="007B29CF" w14:paraId="4C019148" w14:textId="77777777" w:rsidTr="005242B6">
              <w:trPr>
                <w:trHeight w:hRule="exact" w:val="284"/>
              </w:trPr>
              <w:tc>
                <w:tcPr>
                  <w:tcW w:w="3089" w:type="dxa"/>
                </w:tcPr>
                <w:p w14:paraId="378DAA48" w14:textId="77777777" w:rsidR="007B29CF" w:rsidRPr="00581905" w:rsidRDefault="007B29CF" w:rsidP="007B29CF">
                  <w:pPr>
                    <w:rPr>
                      <w:sz w:val="20"/>
                      <w:szCs w:val="20"/>
                      <w:lang w:eastAsia="en-US"/>
                    </w:rPr>
                  </w:pPr>
                  <w:r w:rsidRPr="00581905">
                    <w:rPr>
                      <w:sz w:val="20"/>
                      <w:szCs w:val="20"/>
                      <w:lang w:eastAsia="en-US"/>
                    </w:rPr>
                    <w:t>Maths</w:t>
                  </w:r>
                </w:p>
              </w:tc>
              <w:tc>
                <w:tcPr>
                  <w:tcW w:w="3089" w:type="dxa"/>
                </w:tcPr>
                <w:p w14:paraId="50CA6E16" w14:textId="60673BA2" w:rsidR="007B29CF" w:rsidRPr="00581905" w:rsidRDefault="007B29CF" w:rsidP="007B29CF">
                  <w:pPr>
                    <w:rPr>
                      <w:sz w:val="20"/>
                      <w:szCs w:val="20"/>
                      <w:lang w:eastAsia="en-US"/>
                    </w:rPr>
                  </w:pPr>
                  <w:r>
                    <w:rPr>
                      <w:sz w:val="20"/>
                      <w:szCs w:val="20"/>
                      <w:lang w:eastAsia="en-US"/>
                    </w:rPr>
                    <w:t>89%</w:t>
                  </w:r>
                </w:p>
              </w:tc>
              <w:tc>
                <w:tcPr>
                  <w:tcW w:w="3089" w:type="dxa"/>
                </w:tcPr>
                <w:p w14:paraId="00EE2B58" w14:textId="65628A79" w:rsidR="007B29CF" w:rsidRPr="00581905" w:rsidRDefault="007B29CF" w:rsidP="007B29CF">
                  <w:pPr>
                    <w:rPr>
                      <w:sz w:val="20"/>
                      <w:szCs w:val="20"/>
                      <w:lang w:eastAsia="en-US"/>
                    </w:rPr>
                  </w:pPr>
                  <w:r>
                    <w:rPr>
                      <w:sz w:val="20"/>
                      <w:szCs w:val="20"/>
                      <w:lang w:eastAsia="en-US"/>
                    </w:rPr>
                    <w:t>86%</w:t>
                  </w:r>
                </w:p>
              </w:tc>
            </w:tr>
            <w:tr w:rsidR="007B29CF" w14:paraId="08C7882E" w14:textId="77777777" w:rsidTr="005242B6">
              <w:trPr>
                <w:trHeight w:hRule="exact" w:val="284"/>
              </w:trPr>
              <w:tc>
                <w:tcPr>
                  <w:tcW w:w="3089" w:type="dxa"/>
                </w:tcPr>
                <w:p w14:paraId="732F477A" w14:textId="29F178FE" w:rsidR="007B29CF" w:rsidRPr="00581905" w:rsidRDefault="007B29CF" w:rsidP="007B29CF">
                  <w:pPr>
                    <w:rPr>
                      <w:sz w:val="20"/>
                      <w:szCs w:val="20"/>
                      <w:lang w:eastAsia="en-US"/>
                    </w:rPr>
                  </w:pPr>
                  <w:r>
                    <w:rPr>
                      <w:sz w:val="20"/>
                      <w:szCs w:val="20"/>
                      <w:lang w:eastAsia="en-US"/>
                    </w:rPr>
                    <w:t>Combined</w:t>
                  </w:r>
                </w:p>
              </w:tc>
              <w:tc>
                <w:tcPr>
                  <w:tcW w:w="3089" w:type="dxa"/>
                </w:tcPr>
                <w:p w14:paraId="77D61432" w14:textId="6A116106" w:rsidR="007B29CF" w:rsidRPr="00581905" w:rsidRDefault="007B29CF" w:rsidP="007B29CF">
                  <w:pPr>
                    <w:rPr>
                      <w:sz w:val="20"/>
                      <w:szCs w:val="20"/>
                      <w:lang w:eastAsia="en-US"/>
                    </w:rPr>
                  </w:pPr>
                  <w:r>
                    <w:rPr>
                      <w:sz w:val="20"/>
                      <w:szCs w:val="20"/>
                      <w:lang w:eastAsia="en-US"/>
                    </w:rPr>
                    <w:t>84%</w:t>
                  </w:r>
                </w:p>
              </w:tc>
              <w:tc>
                <w:tcPr>
                  <w:tcW w:w="3089" w:type="dxa"/>
                </w:tcPr>
                <w:p w14:paraId="6AD1AC2F" w14:textId="2737969A" w:rsidR="007B29CF" w:rsidRPr="00581905" w:rsidRDefault="007B29CF" w:rsidP="007B29CF">
                  <w:pPr>
                    <w:rPr>
                      <w:sz w:val="20"/>
                      <w:szCs w:val="20"/>
                      <w:lang w:eastAsia="en-US"/>
                    </w:rPr>
                  </w:pPr>
                  <w:r>
                    <w:rPr>
                      <w:sz w:val="20"/>
                      <w:szCs w:val="20"/>
                      <w:lang w:eastAsia="en-US"/>
                    </w:rPr>
                    <w:t>76%</w:t>
                  </w:r>
                </w:p>
              </w:tc>
            </w:tr>
          </w:tbl>
          <w:p w14:paraId="0A1EDA36" w14:textId="152F7A97" w:rsidR="007B29CF" w:rsidRDefault="007B29CF" w:rsidP="00440399">
            <w:pPr>
              <w:rPr>
                <w:lang w:eastAsia="en-US"/>
              </w:rPr>
            </w:pPr>
          </w:p>
          <w:p w14:paraId="2A7D5546" w14:textId="7EC540B1" w:rsidR="007B29CF" w:rsidRPr="009F2EB9" w:rsidRDefault="002564E6" w:rsidP="00440399">
            <w:pPr>
              <w:rPr>
                <w:lang w:eastAsia="en-US"/>
              </w:rPr>
            </w:pPr>
            <w:r>
              <w:rPr>
                <w:lang w:eastAsia="en-US"/>
              </w:rPr>
              <w:t xml:space="preserve">Prior to the pandemic, </w:t>
            </w:r>
            <w:r w:rsidR="00B21FC6">
              <w:rPr>
                <w:lang w:eastAsia="en-US"/>
              </w:rPr>
              <w:t xml:space="preserve">the attendance gap between disadvantaged and </w:t>
            </w:r>
            <w:r w:rsidR="006E4109">
              <w:rPr>
                <w:lang w:eastAsia="en-US"/>
              </w:rPr>
              <w:t>non-disadvantaged pupils</w:t>
            </w:r>
            <w:r w:rsidR="00B21FC6">
              <w:rPr>
                <w:lang w:eastAsia="en-US"/>
              </w:rPr>
              <w:t xml:space="preserve"> had narrowed to 0.87% for the year 2018/19</w:t>
            </w:r>
            <w:r w:rsidR="00E64D54">
              <w:rPr>
                <w:lang w:eastAsia="en-US"/>
              </w:rPr>
              <w:t>, which was part of a narrowing trend</w:t>
            </w:r>
            <w:r w:rsidR="00B21FC6">
              <w:rPr>
                <w:lang w:eastAsia="en-US"/>
              </w:rPr>
              <w:t xml:space="preserve">. This trend </w:t>
            </w:r>
            <w:r w:rsidR="00E64D54">
              <w:rPr>
                <w:lang w:eastAsia="en-US"/>
              </w:rPr>
              <w:t>was continuing for the year 2019/20</w:t>
            </w:r>
            <w:r w:rsidR="00B21FC6">
              <w:rPr>
                <w:lang w:eastAsia="en-US"/>
              </w:rPr>
              <w:t xml:space="preserve"> until the pandemic</w:t>
            </w:r>
            <w:r w:rsidR="006E4109">
              <w:rPr>
                <w:lang w:eastAsia="en-US"/>
              </w:rPr>
              <w:t xml:space="preserve"> hit</w:t>
            </w:r>
            <w:r w:rsidR="00B21FC6">
              <w:rPr>
                <w:lang w:eastAsia="en-US"/>
              </w:rPr>
              <w:t>.</w:t>
            </w:r>
            <w:r>
              <w:rPr>
                <w:lang w:eastAsia="en-US"/>
              </w:rPr>
              <w:t xml:space="preserve"> This gap </w:t>
            </w:r>
            <w:r w:rsidR="00E64D54">
              <w:rPr>
                <w:lang w:eastAsia="en-US"/>
              </w:rPr>
              <w:t>has widened since the first lockdown so remains a focus of our pupil premium strategy moving forwards</w:t>
            </w:r>
            <w:r w:rsidR="006E4109">
              <w:rPr>
                <w:lang w:eastAsia="en-US"/>
              </w:rPr>
              <w:t>.</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E327134" w:rsidR="00E66558" w:rsidRDefault="009F2EB9">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98B9696" w:rsidR="00E66558" w:rsidRDefault="00E94460">
            <w:pPr>
              <w:pStyle w:val="TableRowCentered"/>
              <w:jc w:val="left"/>
            </w:pPr>
            <w:r>
              <w:t>R</w:t>
            </w:r>
            <w:r w:rsidR="006E4109">
              <w:t>enaissance</w:t>
            </w:r>
          </w:p>
        </w:tc>
      </w:tr>
    </w:tbl>
    <w:p w14:paraId="2A7D555F" w14:textId="77777777" w:rsidR="00E66558" w:rsidRDefault="00E66558">
      <w:pPr>
        <w:spacing w:after="0" w:line="240" w:lineRule="auto"/>
      </w:pPr>
    </w:p>
    <w:bookmarkEnd w:id="15"/>
    <w:bookmarkEnd w:id="16"/>
    <w:bookmarkEnd w:id="17"/>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825AF4C" w:rsidR="005E28A4" w:rsidRDefault="009D71E8">
    <w:pPr>
      <w:pStyle w:val="Footer"/>
      <w:ind w:firstLine="4513"/>
    </w:pPr>
    <w:r>
      <w:fldChar w:fldCharType="begin"/>
    </w:r>
    <w:r>
      <w:instrText xml:space="preserve"> PAGE </w:instrText>
    </w:r>
    <w:r>
      <w:fldChar w:fldCharType="separate"/>
    </w:r>
    <w:r w:rsidR="008324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832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B9A4622"/>
    <w:multiLevelType w:val="hybridMultilevel"/>
    <w:tmpl w:val="7D464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7201"/>
    <w:rsid w:val="000515D8"/>
    <w:rsid w:val="00066B73"/>
    <w:rsid w:val="00067723"/>
    <w:rsid w:val="0007596F"/>
    <w:rsid w:val="000D1507"/>
    <w:rsid w:val="000D625C"/>
    <w:rsid w:val="000E21B1"/>
    <w:rsid w:val="000E4820"/>
    <w:rsid w:val="00116F20"/>
    <w:rsid w:val="00120AB1"/>
    <w:rsid w:val="00126CAB"/>
    <w:rsid w:val="001B41E2"/>
    <w:rsid w:val="002065CD"/>
    <w:rsid w:val="00217360"/>
    <w:rsid w:val="002564E6"/>
    <w:rsid w:val="00297725"/>
    <w:rsid w:val="002A2DDB"/>
    <w:rsid w:val="002D0831"/>
    <w:rsid w:val="00317766"/>
    <w:rsid w:val="00337B9E"/>
    <w:rsid w:val="00353363"/>
    <w:rsid w:val="00374BA0"/>
    <w:rsid w:val="00394197"/>
    <w:rsid w:val="003B5F26"/>
    <w:rsid w:val="003E5891"/>
    <w:rsid w:val="003E5CB1"/>
    <w:rsid w:val="004044AA"/>
    <w:rsid w:val="00435446"/>
    <w:rsid w:val="00440399"/>
    <w:rsid w:val="00483B4D"/>
    <w:rsid w:val="004C5676"/>
    <w:rsid w:val="004D418F"/>
    <w:rsid w:val="004D5931"/>
    <w:rsid w:val="004E33D1"/>
    <w:rsid w:val="00544FB4"/>
    <w:rsid w:val="005576D6"/>
    <w:rsid w:val="00564C07"/>
    <w:rsid w:val="00572D14"/>
    <w:rsid w:val="00581905"/>
    <w:rsid w:val="005A2A3C"/>
    <w:rsid w:val="005B428F"/>
    <w:rsid w:val="005F479A"/>
    <w:rsid w:val="00626AEC"/>
    <w:rsid w:val="00663398"/>
    <w:rsid w:val="00693B9F"/>
    <w:rsid w:val="006C453A"/>
    <w:rsid w:val="006E4109"/>
    <w:rsid w:val="006E7FB1"/>
    <w:rsid w:val="0072587C"/>
    <w:rsid w:val="007262CC"/>
    <w:rsid w:val="00741B9E"/>
    <w:rsid w:val="00772AF8"/>
    <w:rsid w:val="007B29CF"/>
    <w:rsid w:val="007B792C"/>
    <w:rsid w:val="007C1D67"/>
    <w:rsid w:val="007C2F04"/>
    <w:rsid w:val="008324F9"/>
    <w:rsid w:val="00851426"/>
    <w:rsid w:val="0087066D"/>
    <w:rsid w:val="008909B1"/>
    <w:rsid w:val="00891F97"/>
    <w:rsid w:val="009A5C89"/>
    <w:rsid w:val="009C35A7"/>
    <w:rsid w:val="009C7A83"/>
    <w:rsid w:val="009D71E8"/>
    <w:rsid w:val="009D7B61"/>
    <w:rsid w:val="009F2EB9"/>
    <w:rsid w:val="00A162D6"/>
    <w:rsid w:val="00A96E09"/>
    <w:rsid w:val="00AB7A38"/>
    <w:rsid w:val="00AE6993"/>
    <w:rsid w:val="00AF0530"/>
    <w:rsid w:val="00B21FC6"/>
    <w:rsid w:val="00B250D2"/>
    <w:rsid w:val="00B42D78"/>
    <w:rsid w:val="00BC08BE"/>
    <w:rsid w:val="00BC0DEE"/>
    <w:rsid w:val="00BE29E6"/>
    <w:rsid w:val="00BF4869"/>
    <w:rsid w:val="00C01C4A"/>
    <w:rsid w:val="00C53E4B"/>
    <w:rsid w:val="00C90A69"/>
    <w:rsid w:val="00C9580C"/>
    <w:rsid w:val="00CB0A1A"/>
    <w:rsid w:val="00CB4E99"/>
    <w:rsid w:val="00CF1B7A"/>
    <w:rsid w:val="00D335BB"/>
    <w:rsid w:val="00D33FE5"/>
    <w:rsid w:val="00D67AA4"/>
    <w:rsid w:val="00DA0AF0"/>
    <w:rsid w:val="00DA6B87"/>
    <w:rsid w:val="00DB036C"/>
    <w:rsid w:val="00DB535F"/>
    <w:rsid w:val="00DC1E24"/>
    <w:rsid w:val="00E1491F"/>
    <w:rsid w:val="00E172CA"/>
    <w:rsid w:val="00E64D54"/>
    <w:rsid w:val="00E66558"/>
    <w:rsid w:val="00E94460"/>
    <w:rsid w:val="00EB1C3B"/>
    <w:rsid w:val="00EE34E7"/>
    <w:rsid w:val="00EE3F06"/>
    <w:rsid w:val="00EF6FC3"/>
    <w:rsid w:val="00F25D46"/>
    <w:rsid w:val="00F73A61"/>
    <w:rsid w:val="00F7410A"/>
    <w:rsid w:val="00F83372"/>
    <w:rsid w:val="00FA7685"/>
    <w:rsid w:val="00FF2E31"/>
    <w:rsid w:val="00FF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AF0530"/>
    <w:pPr>
      <w:suppressAutoHyphens w:val="0"/>
      <w:autoSpaceDN/>
      <w:spacing w:before="100" w:beforeAutospacing="1" w:after="100" w:afterAutospacing="1" w:line="240" w:lineRule="auto"/>
    </w:pPr>
    <w:rPr>
      <w:rFonts w:ascii="Times New Roman" w:hAnsi="Times New Roman"/>
      <w:color w:val="auto"/>
    </w:rPr>
  </w:style>
  <w:style w:type="paragraph" w:customStyle="1" w:styleId="Default">
    <w:name w:val="Default"/>
    <w:rsid w:val="005A2A3C"/>
    <w:pPr>
      <w:autoSpaceDE w:val="0"/>
      <w:adjustRightInd w:val="0"/>
    </w:pPr>
    <w:rPr>
      <w:rFonts w:ascii="Calibri" w:hAnsi="Calibri" w:cs="Calibri"/>
      <w:color w:val="000000"/>
      <w:sz w:val="24"/>
      <w:szCs w:val="24"/>
    </w:rPr>
  </w:style>
  <w:style w:type="paragraph" w:styleId="NoSpacing">
    <w:name w:val="No Spacing"/>
    <w:uiPriority w:val="1"/>
    <w:qFormat/>
    <w:rsid w:val="00394197"/>
    <w:pPr>
      <w:suppressAutoHyphens/>
    </w:pPr>
    <w:rPr>
      <w:color w:val="0D0D0D"/>
      <w:sz w:val="24"/>
      <w:szCs w:val="24"/>
    </w:rPr>
  </w:style>
  <w:style w:type="table" w:styleId="TableGrid">
    <w:name w:val="Table Grid"/>
    <w:basedOn w:val="TableNormal"/>
    <w:uiPriority w:val="39"/>
    <w:rsid w:val="007B7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7177">
      <w:bodyDiv w:val="1"/>
      <w:marLeft w:val="0"/>
      <w:marRight w:val="0"/>
      <w:marTop w:val="0"/>
      <w:marBottom w:val="0"/>
      <w:divBdr>
        <w:top w:val="none" w:sz="0" w:space="0" w:color="auto"/>
        <w:left w:val="none" w:sz="0" w:space="0" w:color="auto"/>
        <w:bottom w:val="none" w:sz="0" w:space="0" w:color="auto"/>
        <w:right w:val="none" w:sz="0" w:space="0" w:color="auto"/>
      </w:divBdr>
    </w:div>
    <w:div w:id="130176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parental-eng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12</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Carney, L</cp:lastModifiedBy>
  <cp:revision>42</cp:revision>
  <cp:lastPrinted>2021-09-27T15:17:00Z</cp:lastPrinted>
  <dcterms:created xsi:type="dcterms:W3CDTF">2021-09-26T19:17:00Z</dcterms:created>
  <dcterms:modified xsi:type="dcterms:W3CDTF">2021-09-30T10:44:00Z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