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52" w:rsidRDefault="0034471E">
      <w:pPr>
        <w:widowContro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971393" cy="72162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393" cy="721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>RUSHEY GREEN PRIMARY SCHOOL</w:t>
      </w:r>
    </w:p>
    <w:p w:rsidR="00600352" w:rsidRDefault="003447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Accessibility Policy and Plan</w:t>
      </w:r>
    </w:p>
    <w:p w:rsidR="00600352" w:rsidRDefault="003447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PRINCIPLES AND OBJECTIVES</w:t>
      </w: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00352">
        <w:tc>
          <w:tcPr>
            <w:tcW w:w="9242" w:type="dxa"/>
            <w:shd w:val="clear" w:color="auto" w:fill="auto"/>
          </w:tcPr>
          <w:p w:rsidR="00600352" w:rsidRDefault="0034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SEN and Disability Act 2001 (SENDA) extended </w:t>
            </w:r>
            <w:r>
              <w:rPr>
                <w:b/>
                <w:color w:val="000000"/>
              </w:rPr>
              <w:t>The Disability Discrimination Act 1995 (DDA)</w:t>
            </w:r>
            <w:r>
              <w:rPr>
                <w:color w:val="000000"/>
              </w:rPr>
              <w:t xml:space="preserve"> to cover education. The Equality Act 2010 replaced nine major Acts of Parliament, as well as almost a hundred sets of regulations, dealing with equality and discrimination. The Act provides a single, consolidated source of discrimination law, covering all</w:t>
            </w:r>
            <w:r>
              <w:rPr>
                <w:color w:val="000000"/>
              </w:rPr>
              <w:t xml:space="preserve"> the types of discrimination that are unlawful.</w:t>
            </w:r>
          </w:p>
          <w:p w:rsidR="00600352" w:rsidRDefault="0034471E">
            <w:pPr>
              <w:spacing w:after="150" w:line="240" w:lineRule="auto"/>
            </w:pPr>
            <w:r>
              <w:t>The law makes it easier for school leaders and governors to understand their legal responsibilities and tackle inequalities in education.</w:t>
            </w:r>
          </w:p>
          <w:p w:rsidR="00600352" w:rsidRDefault="0034471E">
            <w:pPr>
              <w:spacing w:after="150" w:line="240" w:lineRule="auto"/>
            </w:pPr>
            <w:r>
              <w:t xml:space="preserve">It covers all aspects of school life to do with how the school treats </w:t>
            </w:r>
            <w:r>
              <w:t>pupils and prospective pupils, parents and carers, employees and members of the community. Everything the school does must be fair, non-discriminatory and not put individuals or groups of people at a disadvantage. In particular, the school must not discrim</w:t>
            </w:r>
            <w:r>
              <w:t>inate, harass or victimise a pupil or potential pupil in relation to: </w:t>
            </w:r>
          </w:p>
          <w:p w:rsidR="00600352" w:rsidRDefault="0034471E">
            <w:pPr>
              <w:numPr>
                <w:ilvl w:val="0"/>
                <w:numId w:val="15"/>
              </w:numPr>
              <w:spacing w:after="150" w:line="240" w:lineRule="auto"/>
              <w:ind w:left="645"/>
            </w:pPr>
            <w:r>
              <w:t>Admissions;</w:t>
            </w:r>
          </w:p>
          <w:p w:rsidR="00600352" w:rsidRDefault="0034471E">
            <w:pPr>
              <w:numPr>
                <w:ilvl w:val="0"/>
                <w:numId w:val="15"/>
              </w:numPr>
              <w:spacing w:after="150" w:line="240" w:lineRule="auto"/>
              <w:ind w:left="645"/>
            </w:pPr>
            <w:r>
              <w:t>The way it provides education for pupils;</w:t>
            </w:r>
          </w:p>
          <w:p w:rsidR="00600352" w:rsidRDefault="0034471E">
            <w:pPr>
              <w:numPr>
                <w:ilvl w:val="0"/>
                <w:numId w:val="15"/>
              </w:numPr>
              <w:spacing w:after="150" w:line="240" w:lineRule="auto"/>
              <w:ind w:left="645"/>
            </w:pPr>
            <w:r>
              <w:t>How it provides pupils access to any benefit, facility or service;</w:t>
            </w:r>
          </w:p>
          <w:p w:rsidR="00600352" w:rsidRDefault="0034471E">
            <w:pPr>
              <w:numPr>
                <w:ilvl w:val="0"/>
                <w:numId w:val="15"/>
              </w:numPr>
              <w:spacing w:after="150" w:line="240" w:lineRule="auto"/>
              <w:ind w:left="645"/>
            </w:pPr>
            <w:r>
              <w:t>Excluding a pupil or subjecting them to any other detriment.</w:t>
            </w:r>
          </w:p>
          <w:p w:rsidR="00600352" w:rsidRDefault="0034471E">
            <w:pPr>
              <w:spacing w:before="280" w:after="280" w:line="240" w:lineRule="auto"/>
            </w:pPr>
            <w:r>
              <w:t>Sin</w:t>
            </w:r>
            <w:r>
              <w:t>ce September 2002, the Governing Body has had three key duties towards pupils with special educational needs and disabilities (SEND), under Part 4 of the DDA:</w:t>
            </w:r>
          </w:p>
          <w:p w:rsidR="00600352" w:rsidRDefault="0034471E">
            <w:pPr>
              <w:numPr>
                <w:ilvl w:val="0"/>
                <w:numId w:val="10"/>
              </w:numPr>
              <w:spacing w:before="280" w:after="0" w:line="240" w:lineRule="auto"/>
            </w:pPr>
            <w:r>
              <w:t>not to treat pupils with SEND less favourably for a reason related to their disability;</w:t>
            </w:r>
          </w:p>
          <w:p w:rsidR="00600352" w:rsidRDefault="0034471E">
            <w:pPr>
              <w:numPr>
                <w:ilvl w:val="0"/>
                <w:numId w:val="10"/>
              </w:numPr>
              <w:spacing w:after="0" w:line="240" w:lineRule="auto"/>
            </w:pPr>
            <w:r>
              <w:t>to make reasonable adjustments for Pupils with SEND, so that they are not at a substantial disadvantage;</w:t>
            </w:r>
          </w:p>
          <w:p w:rsidR="00600352" w:rsidRDefault="0034471E">
            <w:pPr>
              <w:numPr>
                <w:ilvl w:val="0"/>
                <w:numId w:val="10"/>
              </w:numPr>
              <w:spacing w:after="280" w:line="240" w:lineRule="auto"/>
            </w:pPr>
            <w:r>
              <w:t>to plan to increase access to education for pupils with SEND.</w:t>
            </w:r>
          </w:p>
          <w:p w:rsidR="00600352" w:rsidRDefault="0034471E">
            <w:pPr>
              <w:spacing w:before="280" w:after="280" w:line="240" w:lineRule="auto"/>
            </w:pPr>
            <w:r>
              <w:t>The Plan sets out the governors’ proposals to increase access to education for pupils wit</w:t>
            </w:r>
            <w:r>
              <w:t>h SEND in the three areas required by the planning duties set out in the DDA:</w:t>
            </w:r>
          </w:p>
          <w:p w:rsidR="00600352" w:rsidRDefault="0034471E">
            <w:pPr>
              <w:numPr>
                <w:ilvl w:val="0"/>
                <w:numId w:val="11"/>
              </w:numPr>
              <w:spacing w:before="280" w:after="0" w:line="240" w:lineRule="auto"/>
            </w:pPr>
            <w:r>
              <w:t>to increase access to the curriculum</w:t>
            </w:r>
          </w:p>
          <w:p w:rsidR="00600352" w:rsidRDefault="0034471E">
            <w:pPr>
              <w:numPr>
                <w:ilvl w:val="0"/>
                <w:numId w:val="11"/>
              </w:numPr>
              <w:shd w:val="clear" w:color="auto" w:fill="FFFFFF"/>
              <w:spacing w:after="0"/>
            </w:pPr>
            <w:r>
              <w:t>to improve the physical environment</w:t>
            </w:r>
          </w:p>
          <w:p w:rsidR="00600352" w:rsidRDefault="0034471E">
            <w:pPr>
              <w:numPr>
                <w:ilvl w:val="0"/>
                <w:numId w:val="11"/>
              </w:numPr>
              <w:shd w:val="clear" w:color="auto" w:fill="FFFFFF"/>
              <w:spacing w:after="280"/>
            </w:pPr>
            <w:r>
              <w:t>to make improvements in the provision of information</w:t>
            </w:r>
          </w:p>
          <w:p w:rsidR="00600352" w:rsidRDefault="0034471E">
            <w:pPr>
              <w:shd w:val="clear" w:color="auto" w:fill="FFFFFF"/>
              <w:spacing w:before="280" w:after="280"/>
            </w:pPr>
            <w:r>
              <w:t>Rushey Green Primary school recognises its duty unde</w:t>
            </w:r>
            <w:r>
              <w:t>r the DDA (as amended by the SENDA):</w:t>
            </w:r>
          </w:p>
          <w:p w:rsidR="00600352" w:rsidRDefault="0034471E">
            <w:pPr>
              <w:numPr>
                <w:ilvl w:val="0"/>
                <w:numId w:val="4"/>
              </w:numPr>
              <w:shd w:val="clear" w:color="auto" w:fill="FFFFFF"/>
              <w:spacing w:after="135"/>
              <w:ind w:left="675"/>
            </w:pPr>
            <w:r>
              <w:t>not to discriminate against pupils with SEND in their admissions and exclusions, and provision of education and associated services</w:t>
            </w:r>
          </w:p>
          <w:p w:rsidR="00600352" w:rsidRDefault="0034471E">
            <w:pPr>
              <w:numPr>
                <w:ilvl w:val="0"/>
                <w:numId w:val="4"/>
              </w:numPr>
              <w:shd w:val="clear" w:color="auto" w:fill="FFFFFF"/>
              <w:spacing w:after="135"/>
              <w:ind w:left="675"/>
            </w:pPr>
            <w:r>
              <w:t>not to treat pupils with SEND less favourably</w:t>
            </w:r>
          </w:p>
          <w:p w:rsidR="00600352" w:rsidRDefault="0034471E">
            <w:pPr>
              <w:numPr>
                <w:ilvl w:val="0"/>
                <w:numId w:val="4"/>
              </w:numPr>
              <w:shd w:val="clear" w:color="auto" w:fill="FFFFFF"/>
              <w:spacing w:after="135"/>
              <w:ind w:left="675"/>
            </w:pPr>
            <w:r>
              <w:t>to take reasonable steps to avoid putting pupils with SEND at a substantial disadvantage</w:t>
            </w:r>
          </w:p>
          <w:p w:rsidR="00600352" w:rsidRDefault="0034471E">
            <w:pPr>
              <w:numPr>
                <w:ilvl w:val="0"/>
                <w:numId w:val="4"/>
              </w:numPr>
              <w:shd w:val="clear" w:color="auto" w:fill="FFFFFF"/>
              <w:spacing w:after="135"/>
              <w:ind w:left="675"/>
            </w:pPr>
            <w:r>
              <w:lastRenderedPageBreak/>
              <w:t>To publish an Accessibility Plan.</w:t>
            </w:r>
          </w:p>
          <w:p w:rsidR="00600352" w:rsidRDefault="0034471E">
            <w:pPr>
              <w:shd w:val="clear" w:color="auto" w:fill="FFFFFF"/>
              <w:spacing w:after="135"/>
            </w:pPr>
            <w:r>
              <w:t>The school provides all pupils with a broad and balanced curriculum, which is scaffolded and adjusted to meet the needs of individual</w:t>
            </w:r>
            <w:r>
              <w:t xml:space="preserve"> pupils and their preferred learning styles. We endorse the key principles in the National Curriculum 2014 framework, which underpin the development of a more inclusive curriculum:</w:t>
            </w:r>
          </w:p>
          <w:p w:rsidR="00600352" w:rsidRDefault="0034471E">
            <w:pPr>
              <w:numPr>
                <w:ilvl w:val="0"/>
                <w:numId w:val="6"/>
              </w:numPr>
              <w:shd w:val="clear" w:color="auto" w:fill="FFFFFF"/>
              <w:spacing w:after="135"/>
              <w:ind w:left="675"/>
            </w:pPr>
            <w:r>
              <w:t>setting suitable learning challenges</w:t>
            </w:r>
          </w:p>
          <w:p w:rsidR="00600352" w:rsidRDefault="0034471E">
            <w:pPr>
              <w:numPr>
                <w:ilvl w:val="0"/>
                <w:numId w:val="6"/>
              </w:numPr>
              <w:shd w:val="clear" w:color="auto" w:fill="FFFFFF"/>
              <w:spacing w:after="135"/>
              <w:ind w:left="675"/>
            </w:pPr>
            <w:r>
              <w:t>responding to pupils’ needs</w:t>
            </w:r>
          </w:p>
          <w:p w:rsidR="00600352" w:rsidRDefault="0034471E">
            <w:pPr>
              <w:numPr>
                <w:ilvl w:val="0"/>
                <w:numId w:val="6"/>
              </w:numPr>
              <w:shd w:val="clear" w:color="auto" w:fill="FFFFFF"/>
              <w:spacing w:after="135"/>
              <w:ind w:left="675"/>
            </w:pPr>
            <w:r>
              <w:t>overcoming potential barriers for individuals and groups of pupils.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Curriculum Access: Teaching, Learning and Assessment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Our aim is that pupils with </w:t>
            </w:r>
            <w:r>
              <w:rPr>
                <w:sz w:val="21"/>
                <w:szCs w:val="21"/>
              </w:rPr>
              <w:t>SEND</w:t>
            </w:r>
            <w:r>
              <w:rPr>
                <w:color w:val="000000"/>
                <w:sz w:val="21"/>
                <w:szCs w:val="21"/>
              </w:rPr>
              <w:t xml:space="preserve"> should, as far as possible, have access to a full and broad curriculum, similar to that followed by th</w:t>
            </w:r>
            <w:r>
              <w:rPr>
                <w:color w:val="000000"/>
                <w:sz w:val="21"/>
                <w:szCs w:val="21"/>
              </w:rPr>
              <w:t xml:space="preserve">eir peers. 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As a mainstream primary </w:t>
            </w:r>
            <w:proofErr w:type="gramStart"/>
            <w:r>
              <w:rPr>
                <w:color w:val="000000"/>
                <w:sz w:val="21"/>
                <w:szCs w:val="21"/>
              </w:rPr>
              <w:t>school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we cannot replicate the range of support and resources that</w:t>
            </w:r>
            <w:r>
              <w:rPr>
                <w:sz w:val="21"/>
                <w:szCs w:val="21"/>
              </w:rPr>
              <w:t xml:space="preserve"> specialist provisions</w:t>
            </w:r>
            <w:r>
              <w:rPr>
                <w:color w:val="000000"/>
                <w:sz w:val="21"/>
                <w:szCs w:val="21"/>
              </w:rPr>
              <w:t xml:space="preserve"> can provide. However, the school has successfully supported pupils with a range of </w:t>
            </w:r>
            <w:r>
              <w:rPr>
                <w:sz w:val="21"/>
                <w:szCs w:val="21"/>
              </w:rPr>
              <w:t>SEND</w:t>
            </w:r>
            <w:r>
              <w:rPr>
                <w:color w:val="000000"/>
                <w:sz w:val="21"/>
                <w:szCs w:val="21"/>
              </w:rPr>
              <w:t xml:space="preserve"> - those with hearing and vision impairments</w:t>
            </w:r>
            <w:r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social communication differences</w:t>
            </w:r>
            <w:r>
              <w:rPr>
                <w:color w:val="000000"/>
                <w:sz w:val="21"/>
                <w:szCs w:val="21"/>
              </w:rPr>
              <w:t>, physical disability and learning di</w:t>
            </w:r>
            <w:r>
              <w:rPr>
                <w:sz w:val="21"/>
                <w:szCs w:val="21"/>
              </w:rPr>
              <w:t>fferences</w:t>
            </w:r>
            <w:r>
              <w:rPr>
                <w:color w:val="000000"/>
                <w:sz w:val="21"/>
                <w:szCs w:val="21"/>
              </w:rPr>
              <w:t xml:space="preserve"> of varying degrees. Decisions are taken on an individual basis following a full assessment of a child's needs. Such assessment is carried out </w:t>
            </w:r>
            <w:r>
              <w:rPr>
                <w:sz w:val="21"/>
                <w:szCs w:val="21"/>
              </w:rPr>
              <w:t>in line with</w:t>
            </w:r>
            <w:r>
              <w:rPr>
                <w:color w:val="000000"/>
                <w:sz w:val="21"/>
                <w:szCs w:val="21"/>
              </w:rPr>
              <w:t xml:space="preserve"> the school's SEND Po</w:t>
            </w:r>
            <w:r>
              <w:rPr>
                <w:color w:val="000000"/>
                <w:sz w:val="21"/>
                <w:szCs w:val="21"/>
              </w:rPr>
              <w:t>licy</w:t>
            </w:r>
            <w:r>
              <w:rPr>
                <w:sz w:val="21"/>
                <w:szCs w:val="21"/>
              </w:rPr>
              <w:t>.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Access to the curriculum is a key issue for consideration at the stage of admission, transition within the school or when a</w:t>
            </w:r>
            <w:r>
              <w:rPr>
                <w:sz w:val="21"/>
                <w:szCs w:val="21"/>
              </w:rPr>
              <w:t>n additional need</w:t>
            </w:r>
            <w:r>
              <w:rPr>
                <w:color w:val="000000"/>
                <w:sz w:val="21"/>
                <w:szCs w:val="21"/>
              </w:rPr>
              <w:t xml:space="preserve"> develops. The Individual Education Plan (IEP) for the pupil will address the issue, which will therefore be k</w:t>
            </w:r>
            <w:r>
              <w:rPr>
                <w:color w:val="000000"/>
                <w:sz w:val="21"/>
                <w:szCs w:val="21"/>
              </w:rPr>
              <w:t xml:space="preserve">ept under constant review. 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Advice is sought from </w:t>
            </w:r>
            <w:r>
              <w:rPr>
                <w:sz w:val="21"/>
                <w:szCs w:val="21"/>
              </w:rPr>
              <w:t xml:space="preserve">professional </w:t>
            </w:r>
            <w:r>
              <w:rPr>
                <w:color w:val="000000"/>
                <w:sz w:val="21"/>
                <w:szCs w:val="21"/>
              </w:rPr>
              <w:t xml:space="preserve">agencies. Support can come in a variety of formats through the school's staged intervention strategy. </w:t>
            </w:r>
          </w:p>
          <w:p w:rsidR="00600352" w:rsidRDefault="0034471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changes to teaching and learning arrangements</w:t>
            </w:r>
          </w:p>
          <w:p w:rsidR="00600352" w:rsidRDefault="0034471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classroom organisation</w:t>
            </w:r>
          </w:p>
          <w:p w:rsidR="00600352" w:rsidRDefault="0034471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of assistive tech</w:t>
            </w:r>
            <w:r>
              <w:rPr>
                <w:sz w:val="21"/>
                <w:szCs w:val="21"/>
              </w:rPr>
              <w:t>nology</w:t>
            </w:r>
          </w:p>
          <w:p w:rsidR="00600352" w:rsidRDefault="0034471E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timetabling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 conjunction with the SENDCO</w:t>
            </w:r>
            <w:r>
              <w:rPr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teachers will assess a pupil's need for support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This will include both internal assessment procedures and external assessment such as those associated with National </w:t>
            </w:r>
            <w:r>
              <w:rPr>
                <w:sz w:val="21"/>
                <w:szCs w:val="21"/>
              </w:rPr>
              <w:t>Curriculum Assessments</w:t>
            </w:r>
            <w:r>
              <w:rPr>
                <w:color w:val="000000"/>
                <w:sz w:val="21"/>
                <w:szCs w:val="21"/>
              </w:rPr>
              <w:t xml:space="preserve">. 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The school's policy on Teaching and Learning incorporates advice for teachers on supporting pupils with SEND. The school has an on-going program of</w:t>
            </w:r>
            <w:r>
              <w:rPr>
                <w:sz w:val="21"/>
                <w:szCs w:val="21"/>
              </w:rPr>
              <w:t xml:space="preserve"> professional development</w:t>
            </w:r>
            <w:r>
              <w:rPr>
                <w:color w:val="000000"/>
                <w:sz w:val="21"/>
                <w:szCs w:val="21"/>
              </w:rPr>
              <w:t xml:space="preserve"> related to meeting the needs of different learners. Specific training on the needs </w:t>
            </w:r>
            <w:r>
              <w:rPr>
                <w:color w:val="000000"/>
                <w:sz w:val="21"/>
                <w:szCs w:val="21"/>
              </w:rPr>
              <w:t xml:space="preserve">of pupils with hearing impairment and those with specific learning difficulties is carried out as required.  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Pupils at Rushey Green Primary School have always been able to participate fully in the wide range of activities offered beyond the classroom cons</w:t>
            </w:r>
            <w:r>
              <w:rPr>
                <w:color w:val="000000"/>
                <w:sz w:val="21"/>
                <w:szCs w:val="21"/>
              </w:rPr>
              <w:t xml:space="preserve">istent with the limitations imposed by any disability. This has included </w:t>
            </w:r>
          </w:p>
          <w:p w:rsidR="00600352" w:rsidRDefault="0034471E">
            <w:pPr>
              <w:numPr>
                <w:ilvl w:val="0"/>
                <w:numId w:val="1"/>
              </w:numPr>
              <w:spacing w:before="280"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Outdoor Education </w:t>
            </w:r>
          </w:p>
          <w:p w:rsidR="00600352" w:rsidRDefault="0034471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Sports </w:t>
            </w:r>
          </w:p>
          <w:p w:rsidR="00600352" w:rsidRDefault="0034471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Music </w:t>
            </w:r>
          </w:p>
          <w:p w:rsidR="00600352" w:rsidRDefault="0034471E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Clubs and </w:t>
            </w:r>
            <w:r>
              <w:rPr>
                <w:sz w:val="21"/>
                <w:szCs w:val="21"/>
              </w:rPr>
              <w:t>extra-curricular activities</w:t>
            </w:r>
          </w:p>
          <w:p w:rsidR="00600352" w:rsidRDefault="0034471E">
            <w:pPr>
              <w:numPr>
                <w:ilvl w:val="0"/>
                <w:numId w:val="1"/>
              </w:numPr>
              <w:spacing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School visits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Arrangements for play, recreation and other aspects of a child's social development are incorpo</w:t>
            </w:r>
            <w:r>
              <w:rPr>
                <w:color w:val="000000"/>
                <w:sz w:val="21"/>
                <w:szCs w:val="21"/>
              </w:rPr>
              <w:t xml:space="preserve">rated into a child's </w:t>
            </w:r>
            <w:r>
              <w:rPr>
                <w:sz w:val="21"/>
                <w:szCs w:val="21"/>
              </w:rPr>
              <w:t>care plan or risk assessment.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The school’s Health and Safety Policy lays down basic procedures for the </w:t>
            </w:r>
            <w:r>
              <w:rPr>
                <w:sz w:val="21"/>
                <w:szCs w:val="21"/>
              </w:rPr>
              <w:t>safe, efficient</w:t>
            </w:r>
            <w:r>
              <w:rPr>
                <w:color w:val="000000"/>
                <w:sz w:val="21"/>
                <w:szCs w:val="21"/>
              </w:rPr>
              <w:t xml:space="preserve"> evacuation of the school buildings.</w:t>
            </w:r>
          </w:p>
          <w:p w:rsidR="00600352" w:rsidRDefault="0034471E">
            <w:pPr>
              <w:spacing w:before="280" w:after="28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These procedures will be adapted to meet the specific needs of an individual. S</w:t>
            </w:r>
            <w:r>
              <w:rPr>
                <w:color w:val="000000"/>
                <w:sz w:val="21"/>
                <w:szCs w:val="21"/>
              </w:rPr>
              <w:t xml:space="preserve">uch procedures will be discussed with the pupil and parents and will be set out in the </w:t>
            </w:r>
            <w:r>
              <w:rPr>
                <w:sz w:val="21"/>
                <w:szCs w:val="21"/>
              </w:rPr>
              <w:t>risk assessment</w:t>
            </w:r>
            <w:r>
              <w:rPr>
                <w:color w:val="000000"/>
                <w:sz w:val="21"/>
                <w:szCs w:val="21"/>
              </w:rPr>
              <w:t xml:space="preserve"> for the pupil. </w:t>
            </w:r>
          </w:p>
          <w:p w:rsidR="00600352" w:rsidRDefault="0034471E">
            <w:pPr>
              <w:spacing w:before="280" w:after="28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The suitability of any event and the need for additional support is discussed fully with parents in advance. </w:t>
            </w:r>
          </w:p>
          <w:p w:rsidR="00600352" w:rsidRDefault="003447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areas considered in the action plan are:</w:t>
            </w:r>
          </w:p>
          <w:p w:rsidR="00600352" w:rsidRDefault="00600352">
            <w:pPr>
              <w:shd w:val="clear" w:color="auto" w:fill="FFFFFF"/>
              <w:spacing w:after="0"/>
            </w:pPr>
          </w:p>
          <w:p w:rsidR="00600352" w:rsidRDefault="0034471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aware of the access needs of pupils with SEND, staff, governors, parents and carers including access for parents/carers who have physical difficulties</w:t>
            </w:r>
          </w:p>
          <w:p w:rsidR="00600352" w:rsidRDefault="003447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school will continue to seek and follow the advice of </w:t>
            </w:r>
            <w:r>
              <w:rPr>
                <w:sz w:val="20"/>
                <w:szCs w:val="20"/>
              </w:rPr>
              <w:t>professional agencies</w:t>
            </w:r>
            <w:r>
              <w:rPr>
                <w:color w:val="000000"/>
                <w:sz w:val="20"/>
                <w:szCs w:val="20"/>
              </w:rPr>
              <w:t>, and of appropriate health professionals</w:t>
            </w:r>
            <w:r>
              <w:rPr>
                <w:sz w:val="20"/>
                <w:szCs w:val="20"/>
              </w:rPr>
              <w:t>.</w:t>
            </w:r>
          </w:p>
          <w:p w:rsidR="00600352" w:rsidRDefault="00600352">
            <w:pPr>
              <w:shd w:val="clear" w:color="auto" w:fill="FFFFFF"/>
              <w:spacing w:after="0"/>
            </w:pPr>
          </w:p>
          <w:p w:rsidR="00600352" w:rsidRDefault="0034471E">
            <w:pPr>
              <w:shd w:val="clear" w:color="auto" w:fill="FFFFFF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Maintain safe access and evacuation for people with additional needs and disabilities</w:t>
            </w:r>
          </w:p>
          <w:p w:rsidR="00600352" w:rsidRDefault="003447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school will take account of the needs of pu</w:t>
            </w:r>
            <w:r>
              <w:rPr>
                <w:color w:val="000000"/>
                <w:sz w:val="20"/>
                <w:szCs w:val="20"/>
              </w:rPr>
              <w:t>pils and visitors with physical difficulties and sensory impairments when planning and undertaking future improvements and refurbishments of the site and premises</w:t>
            </w:r>
          </w:p>
          <w:p w:rsidR="00600352" w:rsidRDefault="003447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school will make itself aware of local services, including those provided through the L</w:t>
            </w:r>
            <w:r>
              <w:rPr>
                <w:sz w:val="20"/>
                <w:szCs w:val="20"/>
              </w:rPr>
              <w:t>oc</w:t>
            </w:r>
            <w:r>
              <w:rPr>
                <w:sz w:val="20"/>
                <w:szCs w:val="20"/>
              </w:rPr>
              <w:t>al Authority</w:t>
            </w:r>
            <w:r>
              <w:rPr>
                <w:color w:val="000000"/>
                <w:sz w:val="20"/>
                <w:szCs w:val="20"/>
              </w:rPr>
              <w:t>, for providing information in alternative formats when required or requested.</w:t>
            </w:r>
          </w:p>
          <w:p w:rsidR="00600352" w:rsidRDefault="0034471E">
            <w:pPr>
              <w:spacing w:before="280" w:after="280" w:line="240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This Accessibility plan has been developed in consultation with the staff and governors of the school and covers the period from June 2022 - September 2025.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600352" w:rsidRDefault="0034471E">
            <w:pPr>
              <w:spacing w:before="280" w:after="28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Managem</w:t>
            </w:r>
            <w:r>
              <w:rPr>
                <w:b/>
                <w:color w:val="000000"/>
                <w:sz w:val="21"/>
                <w:szCs w:val="21"/>
              </w:rPr>
              <w:t>ent of the Plan</w:t>
            </w:r>
          </w:p>
          <w:p w:rsidR="00600352" w:rsidRDefault="0034471E">
            <w:pPr>
              <w:numPr>
                <w:ilvl w:val="0"/>
                <w:numId w:val="3"/>
              </w:numPr>
              <w:spacing w:before="280"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governors</w:t>
            </w:r>
            <w:r>
              <w:rPr>
                <w:sz w:val="20"/>
                <w:szCs w:val="20"/>
              </w:rPr>
              <w:t>’</w:t>
            </w:r>
            <w:r>
              <w:rPr>
                <w:color w:val="000000"/>
                <w:sz w:val="20"/>
                <w:szCs w:val="20"/>
              </w:rPr>
              <w:t xml:space="preserve"> Premises Committee will be responsible for the strategic direction of the School’s Accessibility Plan. </w:t>
            </w:r>
          </w:p>
          <w:p w:rsidR="00600352" w:rsidRDefault="0034471E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governors</w:t>
            </w:r>
            <w:r>
              <w:rPr>
                <w:sz w:val="20"/>
                <w:szCs w:val="20"/>
              </w:rPr>
              <w:t>’</w:t>
            </w:r>
            <w:r>
              <w:rPr>
                <w:color w:val="000000"/>
                <w:sz w:val="20"/>
                <w:szCs w:val="20"/>
              </w:rPr>
              <w:t xml:space="preserve"> Finance Committee will be responsible for obtaining and allocating the funds needed to implement the priorities in the plan.</w:t>
            </w:r>
          </w:p>
          <w:p w:rsidR="00600352" w:rsidRDefault="0034471E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Headteacher and the </w:t>
            </w:r>
            <w:r>
              <w:rPr>
                <w:sz w:val="20"/>
                <w:szCs w:val="20"/>
              </w:rPr>
              <w:t>SENDCO</w:t>
            </w:r>
            <w:r>
              <w:rPr>
                <w:color w:val="000000"/>
                <w:sz w:val="20"/>
                <w:szCs w:val="20"/>
              </w:rPr>
              <w:t xml:space="preserve"> will be responsible for the </w:t>
            </w:r>
            <w:proofErr w:type="gramStart"/>
            <w:r>
              <w:rPr>
                <w:color w:val="000000"/>
                <w:sz w:val="20"/>
                <w:szCs w:val="20"/>
              </w:rPr>
              <w:t>plans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day to day implementation.</w:t>
            </w:r>
          </w:p>
          <w:p w:rsidR="00600352" w:rsidRDefault="0034471E">
            <w:pPr>
              <w:numPr>
                <w:ilvl w:val="0"/>
                <w:numId w:val="3"/>
              </w:numPr>
              <w:spacing w:after="28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Progress of the </w:t>
            </w:r>
            <w:r>
              <w:rPr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lan’s priorities will</w:t>
            </w:r>
            <w:r>
              <w:rPr>
                <w:color w:val="000000"/>
                <w:sz w:val="20"/>
                <w:szCs w:val="20"/>
              </w:rPr>
              <w:t xml:space="preserve"> be reported to the premises committee </w:t>
            </w:r>
            <w:r>
              <w:rPr>
                <w:sz w:val="20"/>
                <w:szCs w:val="20"/>
              </w:rPr>
              <w:t>regularly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00352" w:rsidRDefault="0034471E">
            <w:pPr>
              <w:spacing w:after="0" w:line="240" w:lineRule="auto"/>
              <w:rPr>
                <w:color w:val="000000"/>
              </w:rPr>
            </w:pPr>
            <w:r>
              <w:t>The Accessibility Policy and Plan is available on the website</w:t>
            </w:r>
            <w:r>
              <w:rPr>
                <w:color w:val="000000"/>
              </w:rPr>
              <w:t xml:space="preserve">. </w:t>
            </w:r>
            <w:r>
              <w:t>Parents may request paper copies via the school office.</w:t>
            </w:r>
          </w:p>
          <w:p w:rsidR="00600352" w:rsidRDefault="00600352">
            <w:pPr>
              <w:widowControl w:val="0"/>
              <w:rPr>
                <w:b/>
                <w:sz w:val="8"/>
                <w:szCs w:val="8"/>
              </w:rPr>
            </w:pPr>
          </w:p>
        </w:tc>
      </w:tr>
    </w:tbl>
    <w:p w:rsidR="00600352" w:rsidRDefault="00600352">
      <w:pPr>
        <w:widowControl w:val="0"/>
        <w:rPr>
          <w:sz w:val="24"/>
          <w:szCs w:val="24"/>
          <w:u w:val="single"/>
        </w:rPr>
      </w:pPr>
    </w:p>
    <w:p w:rsidR="00600352" w:rsidRDefault="0034471E">
      <w:pPr>
        <w:widowControl w:val="0"/>
        <w:rPr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sz w:val="24"/>
          <w:szCs w:val="24"/>
          <w:u w:val="single"/>
        </w:rPr>
        <w:t>The following is an excerpt from the Rushey Green Admissions policy</w:t>
      </w:r>
    </w:p>
    <w:p w:rsidR="00600352" w:rsidRDefault="00600352">
      <w:pPr>
        <w:spacing w:after="0" w:line="240" w:lineRule="auto"/>
        <w:jc w:val="center"/>
        <w:rPr>
          <w:b/>
          <w:sz w:val="24"/>
          <w:szCs w:val="24"/>
        </w:rPr>
      </w:pPr>
    </w:p>
    <w:p w:rsidR="00600352" w:rsidRDefault="0034471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 ADMIT PUPILS TO THE SCHOOL ACCORDING TO THE POLICY AGREED BY LEWISHAM EDUCATION AUTHORITY FOR COMMUNITY PRIMARY SCHOOLS</w:t>
      </w:r>
    </w:p>
    <w:p w:rsidR="00600352" w:rsidRDefault="00600352">
      <w:pPr>
        <w:tabs>
          <w:tab w:val="left" w:pos="709"/>
        </w:tabs>
        <w:spacing w:after="0" w:line="240" w:lineRule="auto"/>
        <w:rPr>
          <w:sz w:val="24"/>
          <w:szCs w:val="24"/>
          <w:u w:val="single"/>
        </w:rPr>
      </w:pPr>
    </w:p>
    <w:p w:rsidR="00600352" w:rsidRDefault="0034471E">
      <w:pPr>
        <w:numPr>
          <w:ilvl w:val="0"/>
          <w:numId w:val="16"/>
        </w:numPr>
        <w:spacing w:after="0" w:line="240" w:lineRule="auto"/>
        <w:ind w:left="709" w:hanging="709"/>
        <w:jc w:val="both"/>
      </w:pPr>
      <w:r>
        <w:t>The school has a maximum intake of 90 pupils in the reception year and is currently over subscribed</w:t>
      </w:r>
    </w:p>
    <w:p w:rsidR="00600352" w:rsidRDefault="00600352">
      <w:pPr>
        <w:spacing w:after="0" w:line="240" w:lineRule="auto"/>
        <w:ind w:left="709" w:hanging="709"/>
        <w:jc w:val="both"/>
      </w:pPr>
    </w:p>
    <w:p w:rsidR="00600352" w:rsidRDefault="0034471E">
      <w:pPr>
        <w:numPr>
          <w:ilvl w:val="0"/>
          <w:numId w:val="16"/>
        </w:numPr>
        <w:spacing w:after="0" w:line="240" w:lineRule="auto"/>
        <w:ind w:left="709" w:hanging="709"/>
        <w:jc w:val="both"/>
      </w:pPr>
      <w:r>
        <w:t>Places are offered in the following order:</w:t>
      </w:r>
    </w:p>
    <w:p w:rsidR="00600352" w:rsidRDefault="00600352">
      <w:pPr>
        <w:spacing w:after="0" w:line="240" w:lineRule="auto"/>
        <w:ind w:left="709" w:hanging="709"/>
        <w:jc w:val="both"/>
      </w:pPr>
    </w:p>
    <w:p w:rsidR="00600352" w:rsidRDefault="0034471E">
      <w:pPr>
        <w:numPr>
          <w:ilvl w:val="0"/>
          <w:numId w:val="17"/>
        </w:numPr>
        <w:spacing w:after="0" w:line="240" w:lineRule="auto"/>
        <w:jc w:val="both"/>
      </w:pPr>
      <w:r>
        <w:t>Children in public care - also called looked after children (LAC)</w:t>
      </w:r>
    </w:p>
    <w:p w:rsidR="00600352" w:rsidRDefault="00600352">
      <w:pPr>
        <w:spacing w:after="0" w:line="240" w:lineRule="auto"/>
        <w:ind w:left="709" w:hanging="709"/>
        <w:jc w:val="both"/>
      </w:pPr>
    </w:p>
    <w:p w:rsidR="00600352" w:rsidRDefault="0034471E">
      <w:pPr>
        <w:numPr>
          <w:ilvl w:val="0"/>
          <w:numId w:val="17"/>
        </w:numPr>
        <w:spacing w:after="0" w:line="240" w:lineRule="auto"/>
        <w:jc w:val="both"/>
      </w:pPr>
      <w:r>
        <w:t>Children who have an acute medical or social need</w:t>
      </w:r>
    </w:p>
    <w:p w:rsidR="00600352" w:rsidRDefault="0034471E">
      <w:pPr>
        <w:spacing w:after="0" w:line="240" w:lineRule="auto"/>
        <w:ind w:left="709" w:hanging="709"/>
        <w:jc w:val="both"/>
      </w:pPr>
      <w:r>
        <w:tab/>
        <w:t xml:space="preserve"> </w:t>
      </w:r>
    </w:p>
    <w:p w:rsidR="00600352" w:rsidRDefault="0034471E">
      <w:pPr>
        <w:numPr>
          <w:ilvl w:val="0"/>
          <w:numId w:val="17"/>
        </w:numPr>
        <w:spacing w:after="0" w:line="240" w:lineRule="auto"/>
      </w:pPr>
      <w:r>
        <w:t>Applicants who have a brother or sister attending the school on the intended date of admissi</w:t>
      </w:r>
      <w:r>
        <w:t>on</w:t>
      </w:r>
    </w:p>
    <w:p w:rsidR="00600352" w:rsidRDefault="00600352">
      <w:pPr>
        <w:spacing w:after="0" w:line="240" w:lineRule="auto"/>
        <w:ind w:left="709" w:hanging="709"/>
        <w:jc w:val="both"/>
      </w:pPr>
    </w:p>
    <w:p w:rsidR="00600352" w:rsidRDefault="0034471E">
      <w:pPr>
        <w:numPr>
          <w:ilvl w:val="0"/>
          <w:numId w:val="17"/>
        </w:numPr>
        <w:spacing w:after="0" w:line="240" w:lineRule="auto"/>
        <w:jc w:val="both"/>
      </w:pPr>
      <w:r>
        <w:t>Children who live closest to the school</w:t>
      </w:r>
    </w:p>
    <w:p w:rsidR="00600352" w:rsidRDefault="00600352">
      <w:pPr>
        <w:spacing w:after="0" w:line="240" w:lineRule="auto"/>
        <w:ind w:left="720"/>
      </w:pPr>
    </w:p>
    <w:p w:rsidR="00600352" w:rsidRDefault="0034471E">
      <w:pPr>
        <w:numPr>
          <w:ilvl w:val="0"/>
          <w:numId w:val="16"/>
        </w:numPr>
        <w:spacing w:after="0" w:line="240" w:lineRule="auto"/>
        <w:ind w:left="709" w:hanging="709"/>
      </w:pPr>
      <w:r>
        <w:t xml:space="preserve">For admission into Reception, the LA uses a measurement of home to school gate (front or back gate, whichever is nearer). All measurements are made with the same measuring gauge on a large-scale map.  </w:t>
      </w:r>
    </w:p>
    <w:p w:rsidR="00600352" w:rsidRDefault="00600352">
      <w:pPr>
        <w:spacing w:after="0" w:line="240" w:lineRule="auto"/>
        <w:ind w:left="360"/>
      </w:pPr>
    </w:p>
    <w:p w:rsidR="00600352" w:rsidRDefault="0034471E">
      <w:pPr>
        <w:numPr>
          <w:ilvl w:val="0"/>
          <w:numId w:val="16"/>
        </w:numPr>
        <w:spacing w:after="0" w:line="240" w:lineRule="auto"/>
        <w:ind w:left="709" w:hanging="709"/>
      </w:pPr>
      <w:r>
        <w:t>For admi</w:t>
      </w:r>
      <w:r>
        <w:t>ssion to Nursery, the school will apply the same criteria.</w:t>
      </w:r>
    </w:p>
    <w:p w:rsidR="00600352" w:rsidRDefault="00600352">
      <w:pPr>
        <w:spacing w:after="0" w:line="240" w:lineRule="auto"/>
      </w:pPr>
    </w:p>
    <w:p w:rsidR="00600352" w:rsidRDefault="0034471E">
      <w:pPr>
        <w:spacing w:after="0" w:line="240" w:lineRule="auto"/>
        <w:ind w:left="851" w:hanging="851"/>
        <w:jc w:val="both"/>
        <w:rPr>
          <w:b/>
        </w:rPr>
      </w:pPr>
      <w:r>
        <w:rPr>
          <w:b/>
        </w:rPr>
        <w:t>NB</w:t>
      </w:r>
      <w:r>
        <w:rPr>
          <w:b/>
        </w:rPr>
        <w:tab/>
        <w:t>THERE IS NO AUTOMATIC TRANSFER FROM THE NURSERY TO THE SCHOOL</w:t>
      </w:r>
    </w:p>
    <w:p w:rsidR="00600352" w:rsidRDefault="00600352">
      <w:pPr>
        <w:spacing w:after="0" w:line="240" w:lineRule="auto"/>
        <w:ind w:left="851" w:hanging="851"/>
        <w:jc w:val="both"/>
      </w:pPr>
    </w:p>
    <w:p w:rsidR="00600352" w:rsidRDefault="003447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more information on the Lewisham admission criteria please view: </w:t>
      </w:r>
    </w:p>
    <w:p w:rsidR="00600352" w:rsidRDefault="0034471E">
      <w:pPr>
        <w:widowControl w:val="0"/>
        <w:rPr>
          <w:sz w:val="24"/>
          <w:szCs w:val="24"/>
        </w:rPr>
        <w:sectPr w:rsidR="00600352"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hyperlink r:id="rId10">
        <w:r>
          <w:rPr>
            <w:color w:val="0000FF"/>
            <w:sz w:val="24"/>
            <w:szCs w:val="24"/>
            <w:u w:val="single"/>
          </w:rPr>
          <w:t>https://www.lewisham.gov.uk/myservices/education/schools/school-admission</w:t>
        </w:r>
        <w:r>
          <w:rPr>
            <w:color w:val="0000FF"/>
            <w:sz w:val="24"/>
            <w:szCs w:val="24"/>
            <w:u w:val="single"/>
          </w:rPr>
          <w:t>/applying-to-start-primary-school/Pages/Admissions-policy-for-community-primary-schools.aspx</w:t>
        </w:r>
      </w:hyperlink>
    </w:p>
    <w:p w:rsidR="00600352" w:rsidRDefault="0034471E">
      <w:pPr>
        <w:shd w:val="clear" w:color="auto" w:fill="FFFFFF"/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Accessibility Plan</w:t>
      </w:r>
    </w:p>
    <w:tbl>
      <w:tblPr>
        <w:tblStyle w:val="a0"/>
        <w:tblW w:w="147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110"/>
        <w:gridCol w:w="1448"/>
        <w:gridCol w:w="1821"/>
        <w:gridCol w:w="4536"/>
      </w:tblGrid>
      <w:tr w:rsidR="00600352"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Targets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Strategies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Timeframe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Responsibility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Success Criteria</w:t>
            </w:r>
          </w:p>
        </w:tc>
      </w:tr>
      <w:tr w:rsidR="00600352">
        <w:tc>
          <w:tcPr>
            <w:tcW w:w="0" w:type="auto"/>
          </w:tcPr>
          <w:p w:rsidR="00600352" w:rsidRDefault="0034471E">
            <w:pPr>
              <w:spacing w:after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 be aware of the access needs of </w:t>
            </w:r>
            <w:r>
              <w:rPr>
                <w:sz w:val="20"/>
                <w:szCs w:val="20"/>
              </w:rPr>
              <w:t>pupils with SEND</w:t>
            </w:r>
            <w:r>
              <w:rPr>
                <w:color w:val="000000"/>
                <w:sz w:val="20"/>
                <w:szCs w:val="20"/>
              </w:rPr>
              <w:t>, staff, governors, parents and carers</w:t>
            </w:r>
          </w:p>
        </w:tc>
        <w:tc>
          <w:tcPr>
            <w:tcW w:w="0" w:type="auto"/>
          </w:tcPr>
          <w:p w:rsidR="00600352" w:rsidRDefault="003447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Create </w:t>
            </w:r>
            <w:r>
              <w:rPr>
                <w:sz w:val="20"/>
                <w:szCs w:val="20"/>
              </w:rPr>
              <w:t>care</w:t>
            </w:r>
            <w:r>
              <w:rPr>
                <w:color w:val="000000"/>
                <w:sz w:val="20"/>
                <w:szCs w:val="20"/>
              </w:rPr>
              <w:t xml:space="preserve"> plans / risk assessments for individual </w:t>
            </w:r>
            <w:r>
              <w:rPr>
                <w:sz w:val="20"/>
                <w:szCs w:val="20"/>
              </w:rPr>
              <w:t>pupils with SEND</w:t>
            </w:r>
          </w:p>
          <w:p w:rsidR="00600352" w:rsidRDefault="0060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sz w:val="20"/>
                <w:szCs w:val="20"/>
              </w:rPr>
            </w:pPr>
          </w:p>
          <w:p w:rsidR="00600352" w:rsidRDefault="00600352">
            <w:pPr>
              <w:rPr>
                <w:color w:val="000000"/>
                <w:sz w:val="20"/>
                <w:szCs w:val="20"/>
              </w:rPr>
            </w:pPr>
          </w:p>
          <w:p w:rsidR="00600352" w:rsidRDefault="003447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visitors and staff can access all relevant areas of school</w:t>
            </w:r>
          </w:p>
          <w:p w:rsidR="00600352" w:rsidRDefault="00600352">
            <w:pPr>
              <w:rPr>
                <w:color w:val="000000"/>
                <w:sz w:val="20"/>
                <w:szCs w:val="20"/>
              </w:rPr>
            </w:pPr>
          </w:p>
          <w:p w:rsidR="00600352" w:rsidRDefault="00600352">
            <w:pPr>
              <w:rPr>
                <w:color w:val="000000"/>
                <w:sz w:val="20"/>
                <w:szCs w:val="20"/>
              </w:rPr>
            </w:pPr>
          </w:p>
          <w:p w:rsidR="00600352" w:rsidRDefault="003447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Issue an annual reminder to parents/carers through the newsletter to inform th</w:t>
            </w:r>
            <w:r>
              <w:rPr>
                <w:color w:val="000000"/>
                <w:sz w:val="20"/>
                <w:szCs w:val="20"/>
              </w:rPr>
              <w:t>e school of any problems with access</w:t>
            </w:r>
          </w:p>
          <w:p w:rsidR="00600352" w:rsidRDefault="00600352">
            <w:pPr>
              <w:rPr>
                <w:color w:val="000000"/>
                <w:sz w:val="20"/>
                <w:szCs w:val="20"/>
              </w:rPr>
            </w:pPr>
          </w:p>
          <w:p w:rsidR="00600352" w:rsidRDefault="003447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 to share SEND information with volunteers and support staff to ensure continuity of care for the children</w:t>
            </w:r>
          </w:p>
          <w:p w:rsidR="00600352" w:rsidRDefault="00600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 required</w:t>
            </w:r>
          </w:p>
          <w:p w:rsidR="00600352" w:rsidRDefault="00600352">
            <w:pPr>
              <w:spacing w:after="278"/>
              <w:rPr>
                <w:color w:val="000000"/>
                <w:sz w:val="20"/>
                <w:szCs w:val="20"/>
              </w:rPr>
            </w:pPr>
          </w:p>
          <w:p w:rsidR="00600352" w:rsidRDefault="0034471E">
            <w:pPr>
              <w:spacing w:after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ongoing</w:t>
            </w:r>
          </w:p>
          <w:p w:rsidR="00600352" w:rsidRDefault="00600352">
            <w:pPr>
              <w:spacing w:after="278"/>
              <w:rPr>
                <w:color w:val="000000"/>
                <w:sz w:val="20"/>
                <w:szCs w:val="20"/>
              </w:rPr>
            </w:pPr>
          </w:p>
          <w:p w:rsidR="00600352" w:rsidRDefault="0034471E">
            <w:pPr>
              <w:spacing w:after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annually</w:t>
            </w:r>
          </w:p>
          <w:p w:rsidR="00600352" w:rsidRDefault="00600352">
            <w:pPr>
              <w:spacing w:after="278"/>
              <w:rPr>
                <w:sz w:val="20"/>
                <w:szCs w:val="20"/>
              </w:rPr>
            </w:pPr>
          </w:p>
          <w:p w:rsidR="00600352" w:rsidRDefault="00600352">
            <w:pPr>
              <w:spacing w:after="278"/>
              <w:rPr>
                <w:sz w:val="20"/>
                <w:szCs w:val="20"/>
              </w:rPr>
            </w:pPr>
          </w:p>
          <w:p w:rsidR="00600352" w:rsidRDefault="0034471E">
            <w:pPr>
              <w:spacing w:after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ongoing</w:t>
            </w:r>
          </w:p>
        </w:tc>
        <w:tc>
          <w:tcPr>
            <w:tcW w:w="0" w:type="auto"/>
          </w:tcPr>
          <w:p w:rsidR="00600352" w:rsidRDefault="0034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SENDCO/ Class teachers</w:t>
            </w: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34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Headteacher/ Premises manager</w:t>
            </w: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34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Headteacher/ Health and Safety committee</w:t>
            </w: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600352">
            <w:pPr>
              <w:rPr>
                <w:sz w:val="20"/>
                <w:szCs w:val="20"/>
              </w:rPr>
            </w:pPr>
          </w:p>
          <w:p w:rsidR="00600352" w:rsidRDefault="00344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 / Class teachers</w:t>
            </w:r>
          </w:p>
          <w:p w:rsidR="00600352" w:rsidRDefault="00600352">
            <w:pPr>
              <w:spacing w:after="278"/>
              <w:rPr>
                <w:color w:val="404040"/>
                <w:sz w:val="20"/>
                <w:szCs w:val="20"/>
              </w:rPr>
            </w:pPr>
          </w:p>
          <w:p w:rsidR="00600352" w:rsidRDefault="00600352">
            <w:pPr>
              <w:spacing w:after="278"/>
              <w:rPr>
                <w:color w:val="404040"/>
                <w:sz w:val="20"/>
                <w:szCs w:val="20"/>
              </w:rPr>
            </w:pPr>
          </w:p>
        </w:tc>
        <w:tc>
          <w:tcPr>
            <w:tcW w:w="0" w:type="auto"/>
          </w:tcPr>
          <w:p w:rsidR="00600352" w:rsidRDefault="0034471E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Care plans/ risk assessments are in place for key pupils with SEND; all staff are aware of pupils’ needs.</w:t>
            </w:r>
          </w:p>
          <w:p w:rsidR="00600352" w:rsidRDefault="0034471E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Staff and governors are confident that their needs are met</w:t>
            </w: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34471E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Lifts available to f</w:t>
            </w:r>
            <w:r>
              <w:rPr>
                <w:color w:val="404040"/>
                <w:sz w:val="20"/>
                <w:szCs w:val="20"/>
              </w:rPr>
              <w:t>irst floor</w:t>
            </w: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34471E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Continual monitoring to ensure any new needs are addressed </w:t>
            </w: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600352">
            <w:pPr>
              <w:rPr>
                <w:color w:val="404040"/>
                <w:sz w:val="20"/>
                <w:szCs w:val="20"/>
              </w:rPr>
            </w:pPr>
          </w:p>
          <w:p w:rsidR="00600352" w:rsidRDefault="0034471E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Parents have full access to all areas of the school</w:t>
            </w:r>
          </w:p>
          <w:p w:rsidR="00600352" w:rsidRDefault="0034471E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Volunteers are aware of the needs of all children with SEND </w:t>
            </w:r>
          </w:p>
        </w:tc>
      </w:tr>
      <w:tr w:rsidR="00600352"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parents/carers/pupils with visual impairment have equal opportunity to access information from school</w:t>
            </w:r>
          </w:p>
          <w:p w:rsidR="00600352" w:rsidRDefault="00600352">
            <w:pPr>
              <w:spacing w:after="2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0352" w:rsidRDefault="003447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Check the condition of the yellow paint on the edges of the steps regularly</w:t>
            </w:r>
          </w:p>
          <w:p w:rsidR="00600352" w:rsidRDefault="003447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Check exterior lighting is working </w:t>
            </w:r>
          </w:p>
          <w:p w:rsidR="00600352" w:rsidRDefault="003447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8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Put black and yellow hazard tape at the ends of play equipment as required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Facilities manager/</w:t>
            </w:r>
          </w:p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SENDCO/ Health &amp; Safety Committee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with vision impairments will feel safe in school grounds</w:t>
            </w:r>
          </w:p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information is accessible to parents/carers with vi</w:t>
            </w:r>
            <w:r>
              <w:rPr>
                <w:sz w:val="20"/>
                <w:szCs w:val="20"/>
              </w:rPr>
              <w:t>sion impairments</w:t>
            </w:r>
          </w:p>
        </w:tc>
      </w:tr>
      <w:tr w:rsidR="00600352"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adults and children, with physical needs in the building, can be safely evacuated</w:t>
            </w:r>
          </w:p>
        </w:tc>
        <w:tc>
          <w:tcPr>
            <w:tcW w:w="0" w:type="auto"/>
          </w:tcPr>
          <w:p w:rsidR="00600352" w:rsidRDefault="003447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there is a Personal Emergency Evacuation Plan (PEEP) for all </w:t>
            </w:r>
            <w:r>
              <w:rPr>
                <w:sz w:val="20"/>
                <w:szCs w:val="20"/>
              </w:rPr>
              <w:t>pupils with physical needs</w:t>
            </w:r>
          </w:p>
          <w:p w:rsidR="00600352" w:rsidRDefault="003447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all staff are aware of their responsibilities in the event of a fire drill or emergency evacuation </w:t>
            </w:r>
          </w:p>
          <w:p w:rsidR="00600352" w:rsidRDefault="003447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that staff are aware of need to keep fire exits clear</w:t>
            </w:r>
          </w:p>
          <w:p w:rsidR="00600352" w:rsidRDefault="003447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8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Provide training in manual handling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  <w:tc>
          <w:tcPr>
            <w:tcW w:w="0" w:type="auto"/>
          </w:tcPr>
          <w:p w:rsidR="00600352" w:rsidRDefault="00600352">
            <w:pPr>
              <w:spacing w:after="27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PEEPs in place</w:t>
            </w:r>
          </w:p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adults and pupils, with ph</w:t>
            </w:r>
            <w:r>
              <w:rPr>
                <w:sz w:val="20"/>
                <w:szCs w:val="20"/>
              </w:rPr>
              <w:t xml:space="preserve">ysical needs in the </w:t>
            </w:r>
            <w:proofErr w:type="gramStart"/>
            <w:r>
              <w:rPr>
                <w:sz w:val="20"/>
                <w:szCs w:val="20"/>
              </w:rPr>
              <w:t>building,  have</w:t>
            </w:r>
            <w:proofErr w:type="gramEnd"/>
            <w:r>
              <w:rPr>
                <w:sz w:val="20"/>
                <w:szCs w:val="20"/>
              </w:rPr>
              <w:t xml:space="preserve"> safe, independent exits and  are evacuated in line with the set procedure and in good time</w:t>
            </w:r>
          </w:p>
        </w:tc>
      </w:tr>
    </w:tbl>
    <w:p w:rsidR="00600352" w:rsidRDefault="00600352">
      <w:pPr>
        <w:shd w:val="clear" w:color="auto" w:fill="FFFFFF"/>
        <w:spacing w:after="0"/>
        <w:jc w:val="center"/>
        <w:rPr>
          <w:b/>
          <w:color w:val="404040"/>
          <w:sz w:val="36"/>
          <w:szCs w:val="36"/>
        </w:rPr>
      </w:pPr>
    </w:p>
    <w:p w:rsidR="00600352" w:rsidRDefault="00600352">
      <w:pPr>
        <w:shd w:val="clear" w:color="auto" w:fill="FFFFFF"/>
        <w:spacing w:after="0"/>
        <w:jc w:val="center"/>
        <w:rPr>
          <w:b/>
          <w:color w:val="404040"/>
          <w:sz w:val="36"/>
          <w:szCs w:val="36"/>
        </w:rPr>
      </w:pPr>
    </w:p>
    <w:p w:rsidR="00600352" w:rsidRDefault="00600352">
      <w:pPr>
        <w:shd w:val="clear" w:color="auto" w:fill="FFFFFF"/>
        <w:spacing w:after="0"/>
        <w:jc w:val="center"/>
        <w:rPr>
          <w:b/>
          <w:color w:val="404040"/>
          <w:sz w:val="36"/>
          <w:szCs w:val="36"/>
        </w:rPr>
      </w:pPr>
    </w:p>
    <w:p w:rsidR="00600352" w:rsidRDefault="00600352">
      <w:pPr>
        <w:shd w:val="clear" w:color="auto" w:fill="FFFFFF"/>
        <w:spacing w:after="0"/>
        <w:jc w:val="center"/>
        <w:rPr>
          <w:b/>
          <w:color w:val="404040"/>
          <w:sz w:val="36"/>
          <w:szCs w:val="36"/>
        </w:rPr>
      </w:pPr>
    </w:p>
    <w:p w:rsidR="00600352" w:rsidRDefault="00600352">
      <w:pPr>
        <w:shd w:val="clear" w:color="auto" w:fill="FFFFFF"/>
        <w:spacing w:after="0"/>
        <w:jc w:val="center"/>
        <w:rPr>
          <w:b/>
          <w:color w:val="404040"/>
          <w:sz w:val="36"/>
          <w:szCs w:val="36"/>
        </w:rPr>
      </w:pPr>
    </w:p>
    <w:p w:rsidR="00600352" w:rsidRDefault="0034471E">
      <w:pPr>
        <w:rPr>
          <w:b/>
          <w:color w:val="404040"/>
          <w:sz w:val="36"/>
          <w:szCs w:val="36"/>
        </w:rPr>
        <w:sectPr w:rsidR="00600352">
          <w:pgSz w:w="16838" w:h="11906" w:orient="landscape"/>
          <w:pgMar w:top="1440" w:right="1440" w:bottom="1440" w:left="1440" w:header="708" w:footer="708" w:gutter="0"/>
          <w:cols w:space="720"/>
        </w:sectPr>
      </w:pPr>
      <w:r>
        <w:br w:type="page"/>
      </w:r>
    </w:p>
    <w:p w:rsidR="00600352" w:rsidRDefault="006003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404040"/>
          <w:sz w:val="36"/>
          <w:szCs w:val="36"/>
        </w:rPr>
      </w:pPr>
    </w:p>
    <w:tbl>
      <w:tblPr>
        <w:tblStyle w:val="a1"/>
        <w:tblW w:w="1474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4110"/>
        <w:gridCol w:w="1418"/>
        <w:gridCol w:w="1842"/>
        <w:gridCol w:w="4536"/>
      </w:tblGrid>
      <w:tr w:rsidR="00600352"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Targets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Strategies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Timeframe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Responsibility</w:t>
            </w:r>
          </w:p>
        </w:tc>
        <w:tc>
          <w:tcPr>
            <w:tcW w:w="0" w:type="auto"/>
          </w:tcPr>
          <w:p w:rsidR="00600352" w:rsidRDefault="0034471E">
            <w:pPr>
              <w:spacing w:after="135"/>
              <w:jc w:val="center"/>
              <w:rPr>
                <w:color w:val="404040"/>
              </w:rPr>
            </w:pPr>
            <w:r>
              <w:rPr>
                <w:b/>
                <w:color w:val="404040"/>
              </w:rPr>
              <w:t>Success Criteria</w:t>
            </w:r>
          </w:p>
        </w:tc>
      </w:tr>
      <w:tr w:rsidR="00600352"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curriculum access for all children</w:t>
            </w:r>
          </w:p>
        </w:tc>
        <w:tc>
          <w:tcPr>
            <w:tcW w:w="0" w:type="auto"/>
          </w:tcPr>
          <w:p w:rsidR="00600352" w:rsidRDefault="003447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Continuous professional development (CPD) for </w:t>
            </w:r>
            <w:r>
              <w:rPr>
                <w:sz w:val="20"/>
                <w:szCs w:val="20"/>
              </w:rPr>
              <w:t>all staff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quality first teaching and meeting the needs of pupils with additional needs</w:t>
            </w:r>
          </w:p>
          <w:p w:rsidR="00600352" w:rsidRDefault="003447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Development of ICT and </w:t>
            </w:r>
            <w:r>
              <w:rPr>
                <w:sz w:val="20"/>
                <w:szCs w:val="20"/>
              </w:rPr>
              <w:t xml:space="preserve">assistive technology to </w:t>
            </w:r>
            <w:r>
              <w:rPr>
                <w:color w:val="000000"/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>most</w:t>
            </w:r>
            <w:r>
              <w:rPr>
                <w:color w:val="000000"/>
                <w:sz w:val="20"/>
                <w:szCs w:val="20"/>
              </w:rPr>
              <w:t xml:space="preserve"> curriculum areas</w:t>
            </w:r>
          </w:p>
          <w:p w:rsidR="00600352" w:rsidRDefault="003447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adjustments made in the classroo</w:t>
            </w:r>
            <w:r>
              <w:rPr>
                <w:sz w:val="20"/>
                <w:szCs w:val="20"/>
              </w:rPr>
              <w:t>m</w:t>
            </w:r>
          </w:p>
          <w:p w:rsidR="00600352" w:rsidRDefault="0034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workstations, visual supports, large print,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SLT/SENDCO/ Class teachers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with SEND are fully supported and engaged throughout the school day</w:t>
            </w:r>
          </w:p>
        </w:tc>
      </w:tr>
      <w:tr w:rsidR="00600352"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school journeys and visits need to be accessible to all pupils as far as possible</w:t>
            </w:r>
          </w:p>
        </w:tc>
        <w:tc>
          <w:tcPr>
            <w:tcW w:w="0" w:type="auto"/>
          </w:tcPr>
          <w:p w:rsidR="00600352" w:rsidRDefault="003447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visits to be made for all school visits</w:t>
            </w:r>
          </w:p>
          <w:p w:rsidR="00600352" w:rsidRDefault="003447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Ensure venues and means of transport are </w:t>
            </w:r>
            <w:proofErr w:type="gramStart"/>
            <w:r>
              <w:rPr>
                <w:color w:val="000000"/>
                <w:sz w:val="20"/>
                <w:szCs w:val="20"/>
              </w:rPr>
              <w:t>vetted  for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suitability</w:t>
            </w:r>
          </w:p>
          <w:p w:rsidR="00600352" w:rsidRDefault="003447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78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guidance on making trips accessible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EVC/SENDCO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pupils are able to access school visits (including residential visit</w:t>
            </w:r>
            <w:r>
              <w:rPr>
                <w:sz w:val="20"/>
                <w:szCs w:val="20"/>
              </w:rPr>
              <w:t>s) and take part in a range of activities</w:t>
            </w:r>
          </w:p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Reasonable adjustments will be made to ensure that all pupils can access school visits</w:t>
            </w:r>
          </w:p>
        </w:tc>
      </w:tr>
      <w:tr w:rsidR="00600352"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 review of PE Curriculum</w:t>
            </w:r>
          </w:p>
        </w:tc>
        <w:tc>
          <w:tcPr>
            <w:tcW w:w="0" w:type="auto"/>
          </w:tcPr>
          <w:p w:rsidR="00600352" w:rsidRDefault="0034471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PE curriculum to include disability sports</w:t>
            </w:r>
          </w:p>
          <w:p w:rsidR="00600352" w:rsidRDefault="0034471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resources available within PE lessons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SENDCO &amp; PE Coordinator</w:t>
            </w:r>
          </w:p>
        </w:tc>
        <w:tc>
          <w:tcPr>
            <w:tcW w:w="0" w:type="auto"/>
          </w:tcPr>
          <w:p w:rsidR="00600352" w:rsidRDefault="0034471E">
            <w:pPr>
              <w:spacing w:after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pupil </w:t>
            </w: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>
              <w:rPr>
                <w:sz w:val="20"/>
                <w:szCs w:val="20"/>
              </w:rPr>
              <w:t xml:space="preserve"> access to physical education and are able to excel</w:t>
            </w:r>
          </w:p>
        </w:tc>
      </w:tr>
    </w:tbl>
    <w:p w:rsidR="00600352" w:rsidRDefault="00600352">
      <w:pPr>
        <w:spacing w:before="280" w:line="240" w:lineRule="auto"/>
        <w:rPr>
          <w:sz w:val="21"/>
          <w:szCs w:val="21"/>
        </w:rPr>
      </w:pPr>
    </w:p>
    <w:p w:rsidR="00600352" w:rsidRDefault="0034471E">
      <w:pPr>
        <w:spacing w:before="280" w:line="240" w:lineRule="auto"/>
        <w:rPr>
          <w:sz w:val="21"/>
          <w:szCs w:val="21"/>
        </w:rPr>
      </w:pPr>
      <w:r>
        <w:rPr>
          <w:sz w:val="21"/>
          <w:szCs w:val="21"/>
        </w:rPr>
        <w:t>Last reviewed: June 2022</w:t>
      </w:r>
    </w:p>
    <w:p w:rsidR="00600352" w:rsidRDefault="0034471E">
      <w:pPr>
        <w:spacing w:before="280" w:line="240" w:lineRule="auto"/>
        <w:rPr>
          <w:sz w:val="21"/>
          <w:szCs w:val="21"/>
        </w:rPr>
      </w:pPr>
      <w:r>
        <w:rPr>
          <w:sz w:val="21"/>
          <w:szCs w:val="21"/>
        </w:rPr>
        <w:t>Next review: November 2024</w:t>
      </w:r>
    </w:p>
    <w:sectPr w:rsidR="00600352"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471E">
      <w:pPr>
        <w:spacing w:after="0" w:line="240" w:lineRule="auto"/>
      </w:pPr>
      <w:r>
        <w:separator/>
      </w:r>
    </w:p>
  </w:endnote>
  <w:endnote w:type="continuationSeparator" w:id="0">
    <w:p w:rsidR="00000000" w:rsidRDefault="0034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352" w:rsidRDefault="0034471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808080"/>
        <w:sz w:val="16"/>
        <w:szCs w:val="16"/>
      </w:rPr>
      <w:t>Page</w:t>
    </w:r>
  </w:p>
  <w:p w:rsidR="00600352" w:rsidRDefault="006003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471E">
      <w:pPr>
        <w:spacing w:after="0" w:line="240" w:lineRule="auto"/>
      </w:pPr>
      <w:r>
        <w:separator/>
      </w:r>
    </w:p>
  </w:footnote>
  <w:footnote w:type="continuationSeparator" w:id="0">
    <w:p w:rsidR="00000000" w:rsidRDefault="0034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605"/>
    <w:multiLevelType w:val="multilevel"/>
    <w:tmpl w:val="50FAF0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260117"/>
    <w:multiLevelType w:val="multilevel"/>
    <w:tmpl w:val="056A33EA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20221E"/>
    <w:multiLevelType w:val="multilevel"/>
    <w:tmpl w:val="278EF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ED761A"/>
    <w:multiLevelType w:val="multilevel"/>
    <w:tmpl w:val="45DEE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B4953A3"/>
    <w:multiLevelType w:val="multilevel"/>
    <w:tmpl w:val="CCF20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CD858B4"/>
    <w:multiLevelType w:val="multilevel"/>
    <w:tmpl w:val="9836F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33B5F89"/>
    <w:multiLevelType w:val="multilevel"/>
    <w:tmpl w:val="8BA6F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498335B"/>
    <w:multiLevelType w:val="multilevel"/>
    <w:tmpl w:val="C12C4A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46119F"/>
    <w:multiLevelType w:val="multilevel"/>
    <w:tmpl w:val="4BF8E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05779"/>
    <w:multiLevelType w:val="multilevel"/>
    <w:tmpl w:val="258A9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A2E28"/>
    <w:multiLevelType w:val="multilevel"/>
    <w:tmpl w:val="ECB0B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CB13D50"/>
    <w:multiLevelType w:val="multilevel"/>
    <w:tmpl w:val="B0AC4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13613BA"/>
    <w:multiLevelType w:val="multilevel"/>
    <w:tmpl w:val="D03C0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D937AE1"/>
    <w:multiLevelType w:val="multilevel"/>
    <w:tmpl w:val="AF90CD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793E31"/>
    <w:multiLevelType w:val="multilevel"/>
    <w:tmpl w:val="4EDEF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15944F6"/>
    <w:multiLevelType w:val="multilevel"/>
    <w:tmpl w:val="A8E617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5C2149"/>
    <w:multiLevelType w:val="multilevel"/>
    <w:tmpl w:val="5A201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5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52"/>
    <w:rsid w:val="0034471E"/>
    <w:rsid w:val="0060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3914E-413A-47D0-8519-76CE5E7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EC"/>
  </w:style>
  <w:style w:type="paragraph" w:styleId="Footer">
    <w:name w:val="footer"/>
    <w:basedOn w:val="Normal"/>
    <w:link w:val="FooterChar"/>
    <w:uiPriority w:val="99"/>
    <w:unhideWhenUsed/>
    <w:rsid w:val="00A55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EC"/>
  </w:style>
  <w:style w:type="paragraph" w:styleId="NormalWeb">
    <w:name w:val="Normal (Web)"/>
    <w:basedOn w:val="Normal"/>
    <w:uiPriority w:val="99"/>
    <w:unhideWhenUsed/>
    <w:rsid w:val="003B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4AB"/>
    <w:rPr>
      <w:b/>
      <w:bCs/>
    </w:rPr>
  </w:style>
  <w:style w:type="paragraph" w:styleId="BodyText">
    <w:name w:val="Body Text"/>
    <w:basedOn w:val="Normal"/>
    <w:link w:val="BodyTextChar"/>
    <w:rsid w:val="003F0E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F0E6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3F0E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rsid w:val="003F0E68"/>
    <w:rPr>
      <w:rFonts w:ascii="Times New Roman" w:eastAsia="Times New Roman" w:hAnsi="Times New Roman" w:cs="Times New Roman"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13C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847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47C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7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7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wisham.gov.uk/myservices/education/schools/school-admission/applying-to-start-primary-school/Pages/Admissions-policy-for-community-primary-schools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gN5A205DmaQoqib2fDev+9MlQ==">CgMxLjAyCGguZ2pkZ3hzOAByITFlUE9KclFrbGNKbVlVd0FiSmlvYy1TUVpERGp2ZHZLSg==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Purkiss</dc:creator>
  <cp:lastModifiedBy>Marina Kilcoyne</cp:lastModifiedBy>
  <cp:revision>2</cp:revision>
  <dcterms:created xsi:type="dcterms:W3CDTF">2023-11-06T17:52:00Z</dcterms:created>
  <dcterms:modified xsi:type="dcterms:W3CDTF">2023-11-06T17:52:00Z</dcterms:modified>
</cp:coreProperties>
</file>