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CE5B" w14:textId="77777777" w:rsidR="004957D1" w:rsidRPr="0018016B" w:rsidRDefault="00C322EA" w:rsidP="0018016B">
      <w:pPr>
        <w:rPr>
          <w:rFonts w:ascii="Century Gothic" w:hAnsi="Century Gothic" w:cs="Apple Chancery"/>
          <w:b/>
          <w:color w:val="000090"/>
          <w:sz w:val="52"/>
          <w:szCs w:val="52"/>
        </w:rPr>
      </w:pP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5EB2B" wp14:editId="732BF831">
                <wp:simplePos x="0" y="0"/>
                <wp:positionH relativeFrom="column">
                  <wp:posOffset>1257300</wp:posOffset>
                </wp:positionH>
                <wp:positionV relativeFrom="paragraph">
                  <wp:posOffset>-276225</wp:posOffset>
                </wp:positionV>
                <wp:extent cx="5886450" cy="6286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6AADE8" w14:textId="77777777" w:rsidR="0067747A" w:rsidRPr="003E5AFB" w:rsidRDefault="0067747A" w:rsidP="0067747A">
                            <w:pPr>
                              <w:rPr>
                                <w:rFonts w:ascii="Poppins" w:hAnsi="Poppins" w:cs="Poppins"/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3E5AFB">
                              <w:rPr>
                                <w:rFonts w:ascii="Poppins" w:hAnsi="Poppins" w:cs="Poppins"/>
                                <w:b/>
                                <w:color w:val="000099"/>
                                <w:sz w:val="28"/>
                                <w:szCs w:val="28"/>
                              </w:rPr>
                              <w:t>SAMLESBURY Church of England Primary School</w:t>
                            </w:r>
                          </w:p>
                          <w:p w14:paraId="719E50D4" w14:textId="4CD2437F" w:rsidR="0067747A" w:rsidRPr="003E5AFB" w:rsidRDefault="003E5AFB">
                            <w:pPr>
                              <w:rPr>
                                <w:rFonts w:ascii="Poppins" w:hAnsi="Poppins" w:cs="Poppins"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3E5AFB">
                              <w:rPr>
                                <w:rFonts w:ascii="Poppins" w:hAnsi="Poppins" w:cs="Poppins"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Let your light shine!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5EB2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99pt;margin-top:-21.75pt;width:463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" fillcolor="white [3201]" stroked="f" strokeweight=".5pt">
                <v:textbox>
                  <w:txbxContent>
                    <w:p w14:paraId="226AADE8" w14:textId="77777777" w:rsidR="0067747A" w:rsidRPr="003E5AFB" w:rsidRDefault="0067747A" w:rsidP="0067747A">
                      <w:pPr>
                        <w:rPr>
                          <w:rFonts w:ascii="Poppins" w:hAnsi="Poppins" w:cs="Poppins"/>
                          <w:b/>
                          <w:color w:val="000090"/>
                          <w:sz w:val="28"/>
                          <w:szCs w:val="28"/>
                        </w:rPr>
                      </w:pPr>
                      <w:r w:rsidRPr="003E5AFB">
                        <w:rPr>
                          <w:rFonts w:ascii="Poppins" w:hAnsi="Poppins" w:cs="Poppins"/>
                          <w:b/>
                          <w:color w:val="000099"/>
                          <w:sz w:val="28"/>
                          <w:szCs w:val="28"/>
                        </w:rPr>
                        <w:t>SAMLESBURY Church of England Primary School</w:t>
                      </w:r>
                    </w:p>
                    <w:p w14:paraId="719E50D4" w14:textId="4CD2437F" w:rsidR="0067747A" w:rsidRPr="003E5AFB" w:rsidRDefault="003E5AFB">
                      <w:pPr>
                        <w:rPr>
                          <w:rFonts w:ascii="Poppins" w:hAnsi="Poppins" w:cs="Poppins"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3E5AFB">
                        <w:rPr>
                          <w:rFonts w:ascii="Poppins" w:hAnsi="Poppins" w:cs="Poppins"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  <w:t>Let your light shine!</w:t>
                      </w:r>
                    </w:p>
                  </w:txbxContent>
                </v:textbox>
              </v:shape>
            </w:pict>
          </mc:Fallback>
        </mc:AlternateContent>
      </w:r>
      <w:r w:rsidR="007D33B5" w:rsidRPr="0029680E">
        <w:rPr>
          <w:rFonts w:ascii="Century Gothic" w:hAnsi="Century Gothic"/>
          <w:noProof/>
          <w:color w:val="808080" w:themeColor="background1" w:themeShade="80"/>
          <w:sz w:val="28"/>
          <w:szCs w:val="28"/>
          <w:lang w:eastAsia="en-GB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A30976D" wp14:editId="152E0BA3">
                <wp:simplePos x="0" y="0"/>
                <wp:positionH relativeFrom="page">
                  <wp:align>right</wp:align>
                </wp:positionH>
                <wp:positionV relativeFrom="paragraph">
                  <wp:posOffset>466725</wp:posOffset>
                </wp:positionV>
                <wp:extent cx="10648950" cy="9525"/>
                <wp:effectExtent l="0" t="0" r="19050" b="285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48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D44BE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right;mso-position-horizontal-relative:page;mso-position-vertical:absolute;mso-position-vertical-relative:text;mso-width-percent:0;mso-height-percent:0;mso-width-relative:margin;mso-height-relative:margin" from="787.3pt,36.75pt" to="1625.8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" strokecolor="gray [1629]">
                <o:lock v:ext="edit" shapetype="f"/>
                <w10:wrap anchorx="page"/>
              </v:line>
            </w:pict>
          </mc:Fallback>
        </mc:AlternateContent>
      </w:r>
      <w:r w:rsidR="00FB23E8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813A4B" wp14:editId="52A60D10">
                <wp:simplePos x="0" y="0"/>
                <wp:positionH relativeFrom="margin">
                  <wp:align>left</wp:align>
                </wp:positionH>
                <wp:positionV relativeFrom="paragraph">
                  <wp:posOffset>-390525</wp:posOffset>
                </wp:positionV>
                <wp:extent cx="1238250" cy="8477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59928" w14:textId="77777777" w:rsidR="00FB23E8" w:rsidRDefault="00FB23E8">
                            <w:r w:rsidRPr="00FB23E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BD747A3" wp14:editId="5CE40278">
                                  <wp:extent cx="1009650" cy="716526"/>
                                  <wp:effectExtent l="0" t="0" r="0" b="762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3136" cy="719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13A4B" id="Text Box 4" o:spid="_x0000_s1027" type="#_x0000_t202" style="position:absolute;margin-left:0;margin-top:-30.75pt;width:97.5pt;height:66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" fillcolor="white [3201]" stroked="f" strokeweight=".5pt">
                <v:textbox>
                  <w:txbxContent>
                    <w:p w14:paraId="65C59928" w14:textId="77777777" w:rsidR="00FB23E8" w:rsidRDefault="00FB23E8">
                      <w:r w:rsidRPr="00FB23E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BD747A3" wp14:editId="5CE40278">
                            <wp:extent cx="1009650" cy="716526"/>
                            <wp:effectExtent l="0" t="0" r="0" b="762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3136" cy="719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745E82" w14:textId="77777777" w:rsidR="00F1134D" w:rsidRPr="00132033" w:rsidRDefault="00F1134D" w:rsidP="00F1134D">
      <w:pPr>
        <w:rPr>
          <w:rFonts w:ascii="Century Gothic" w:hAnsi="Century Gothic"/>
        </w:rPr>
      </w:pPr>
    </w:p>
    <w:p w14:paraId="71C90700" w14:textId="77777777" w:rsidR="003E5AFB" w:rsidRPr="004118D9" w:rsidRDefault="003E5AFB" w:rsidP="00885D84">
      <w:pPr>
        <w:rPr>
          <w:rFonts w:ascii="Poppins" w:hAnsi="Poppins" w:cs="Poppins"/>
          <w:b/>
          <w:bCs/>
          <w:sz w:val="28"/>
          <w:szCs w:val="28"/>
        </w:rPr>
      </w:pPr>
    </w:p>
    <w:p w14:paraId="32998E84" w14:textId="1C0B1FA0" w:rsidR="00AE14F3" w:rsidRPr="004118D9" w:rsidRDefault="003E5AFB" w:rsidP="00885D84">
      <w:pPr>
        <w:rPr>
          <w:rFonts w:ascii="Poppins" w:hAnsi="Poppins" w:cs="Poppins"/>
          <w:b/>
          <w:bCs/>
          <w:sz w:val="28"/>
          <w:szCs w:val="28"/>
        </w:rPr>
      </w:pPr>
      <w:r w:rsidRPr="004118D9">
        <w:rPr>
          <w:rFonts w:ascii="Poppins" w:hAnsi="Poppins" w:cs="Poppins"/>
          <w:b/>
          <w:bCs/>
          <w:sz w:val="28"/>
          <w:szCs w:val="28"/>
        </w:rPr>
        <w:t>Samlesbury CE Primary School Equalities Action Plan 2025-2027</w:t>
      </w:r>
    </w:p>
    <w:p w14:paraId="16B253A0" w14:textId="77777777" w:rsidR="003E5AFB" w:rsidRPr="00132033" w:rsidRDefault="003E5AFB" w:rsidP="00885D84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1462"/>
        <w:gridCol w:w="3909"/>
        <w:gridCol w:w="2128"/>
        <w:gridCol w:w="3263"/>
        <w:gridCol w:w="1351"/>
        <w:gridCol w:w="2183"/>
      </w:tblGrid>
      <w:tr w:rsidR="00381DDF" w14:paraId="44FD01D1" w14:textId="77777777" w:rsidTr="00381DDF">
        <w:tc>
          <w:tcPr>
            <w:tcW w:w="1257" w:type="dxa"/>
            <w:shd w:val="clear" w:color="auto" w:fill="DBE5F1" w:themeFill="accent1" w:themeFillTint="33"/>
          </w:tcPr>
          <w:p w14:paraId="12A54EC7" w14:textId="0CDB78F1" w:rsidR="003E5AFB" w:rsidRPr="003E5AFB" w:rsidRDefault="003E5AFB" w:rsidP="00381DDF">
            <w:pPr>
              <w:rPr>
                <w:rFonts w:ascii="Poppins" w:hAnsi="Poppins" w:cs="Poppins"/>
                <w:sz w:val="18"/>
                <w:szCs w:val="18"/>
              </w:rPr>
            </w:pPr>
            <w:r w:rsidRPr="003E5AFB">
              <w:rPr>
                <w:rFonts w:ascii="Poppins" w:hAnsi="Poppins" w:cs="Poppins"/>
                <w:sz w:val="18"/>
                <w:szCs w:val="18"/>
              </w:rPr>
              <w:t>Link to Public Sector Equality Duty</w:t>
            </w:r>
          </w:p>
        </w:tc>
        <w:tc>
          <w:tcPr>
            <w:tcW w:w="1462" w:type="dxa"/>
            <w:shd w:val="clear" w:color="auto" w:fill="DBE5F1" w:themeFill="accent1" w:themeFillTint="33"/>
          </w:tcPr>
          <w:p w14:paraId="6ACBEF53" w14:textId="5DAB68D9" w:rsidR="003E5AFB" w:rsidRPr="003E5AFB" w:rsidRDefault="003E5AFB" w:rsidP="00381DDF">
            <w:pPr>
              <w:rPr>
                <w:rFonts w:ascii="Poppins" w:hAnsi="Poppins" w:cs="Poppins"/>
                <w:sz w:val="18"/>
                <w:szCs w:val="18"/>
              </w:rPr>
            </w:pPr>
            <w:r w:rsidRPr="003E5AFB">
              <w:rPr>
                <w:rFonts w:ascii="Poppins" w:hAnsi="Poppins" w:cs="Poppins"/>
                <w:sz w:val="18"/>
                <w:szCs w:val="18"/>
              </w:rPr>
              <w:t>Protected characteristic Aim:</w:t>
            </w:r>
          </w:p>
        </w:tc>
        <w:tc>
          <w:tcPr>
            <w:tcW w:w="3996" w:type="dxa"/>
            <w:shd w:val="clear" w:color="auto" w:fill="DBE5F1" w:themeFill="accent1" w:themeFillTint="33"/>
          </w:tcPr>
          <w:p w14:paraId="2CA9247C" w14:textId="7479EF54" w:rsidR="003E5AFB" w:rsidRPr="003E5AFB" w:rsidRDefault="003E5AFB" w:rsidP="00381DDF">
            <w:pPr>
              <w:rPr>
                <w:rFonts w:ascii="Poppins" w:hAnsi="Poppins" w:cs="Poppins"/>
                <w:sz w:val="18"/>
                <w:szCs w:val="18"/>
              </w:rPr>
            </w:pPr>
            <w:r w:rsidRPr="003E5AFB">
              <w:rPr>
                <w:rFonts w:ascii="Poppins" w:hAnsi="Poppins" w:cs="Poppins"/>
                <w:sz w:val="18"/>
                <w:szCs w:val="18"/>
              </w:rPr>
              <w:t>Objective:</w:t>
            </w:r>
          </w:p>
        </w:tc>
        <w:tc>
          <w:tcPr>
            <w:tcW w:w="2148" w:type="dxa"/>
            <w:shd w:val="clear" w:color="auto" w:fill="DBE5F1" w:themeFill="accent1" w:themeFillTint="33"/>
          </w:tcPr>
          <w:p w14:paraId="6FE98116" w14:textId="09F88109" w:rsidR="003E5AFB" w:rsidRPr="003E5AFB" w:rsidRDefault="003E5AFB" w:rsidP="00381DDF">
            <w:pPr>
              <w:rPr>
                <w:rFonts w:ascii="Poppins" w:hAnsi="Poppins" w:cs="Poppins"/>
                <w:sz w:val="18"/>
                <w:szCs w:val="18"/>
              </w:rPr>
            </w:pPr>
            <w:r w:rsidRPr="003E5AFB">
              <w:rPr>
                <w:rFonts w:ascii="Poppins" w:hAnsi="Poppins" w:cs="Poppins"/>
                <w:sz w:val="18"/>
                <w:szCs w:val="18"/>
              </w:rPr>
              <w:t>Target group(s): e.g. whole school, girls, boys, SEN, staff etc</w:t>
            </w:r>
          </w:p>
        </w:tc>
        <w:tc>
          <w:tcPr>
            <w:tcW w:w="3323" w:type="dxa"/>
            <w:shd w:val="clear" w:color="auto" w:fill="DBE5F1" w:themeFill="accent1" w:themeFillTint="33"/>
          </w:tcPr>
          <w:p w14:paraId="6C0A133D" w14:textId="5AE08AC9" w:rsidR="003E5AFB" w:rsidRPr="003E5AFB" w:rsidRDefault="003E5AFB" w:rsidP="00381DDF">
            <w:pPr>
              <w:rPr>
                <w:rFonts w:ascii="Poppins" w:hAnsi="Poppins" w:cs="Poppins"/>
                <w:sz w:val="18"/>
                <w:szCs w:val="18"/>
              </w:rPr>
            </w:pPr>
            <w:r w:rsidRPr="003E5AFB">
              <w:rPr>
                <w:rFonts w:ascii="Poppins" w:hAnsi="Poppins" w:cs="Poppins"/>
                <w:sz w:val="18"/>
                <w:szCs w:val="18"/>
              </w:rPr>
              <w:t>Action</w:t>
            </w:r>
          </w:p>
        </w:tc>
        <w:tc>
          <w:tcPr>
            <w:tcW w:w="1159" w:type="dxa"/>
            <w:shd w:val="clear" w:color="auto" w:fill="DBE5F1" w:themeFill="accent1" w:themeFillTint="33"/>
          </w:tcPr>
          <w:p w14:paraId="5990FAE1" w14:textId="56F3751B" w:rsidR="003E5AFB" w:rsidRPr="003E5AFB" w:rsidRDefault="003E5AFB" w:rsidP="00381DDF">
            <w:pPr>
              <w:rPr>
                <w:rFonts w:ascii="Poppins" w:hAnsi="Poppins" w:cs="Poppins"/>
                <w:sz w:val="18"/>
                <w:szCs w:val="18"/>
              </w:rPr>
            </w:pPr>
            <w:r w:rsidRPr="003E5AFB">
              <w:rPr>
                <w:rFonts w:ascii="Poppins" w:hAnsi="Poppins" w:cs="Poppins"/>
                <w:sz w:val="18"/>
                <w:szCs w:val="18"/>
              </w:rPr>
              <w:t>Who’s responsible?</w:t>
            </w:r>
          </w:p>
        </w:tc>
        <w:tc>
          <w:tcPr>
            <w:tcW w:w="2198" w:type="dxa"/>
            <w:shd w:val="clear" w:color="auto" w:fill="DBE5F1" w:themeFill="accent1" w:themeFillTint="33"/>
          </w:tcPr>
          <w:p w14:paraId="29F55CFC" w14:textId="5F0DE625" w:rsidR="003E5AFB" w:rsidRPr="003E5AFB" w:rsidRDefault="003E5AFB" w:rsidP="00381DDF">
            <w:pPr>
              <w:rPr>
                <w:rFonts w:ascii="Poppins" w:hAnsi="Poppins" w:cs="Poppins"/>
                <w:sz w:val="18"/>
                <w:szCs w:val="18"/>
              </w:rPr>
            </w:pPr>
            <w:r w:rsidRPr="003E5AFB">
              <w:rPr>
                <w:rFonts w:ascii="Poppins" w:hAnsi="Poppins" w:cs="Poppins"/>
                <w:sz w:val="18"/>
                <w:szCs w:val="18"/>
              </w:rPr>
              <w:t>Progress/impact:</w:t>
            </w:r>
          </w:p>
        </w:tc>
      </w:tr>
      <w:tr w:rsidR="00381DDF" w14:paraId="7B764183" w14:textId="77777777" w:rsidTr="00381DDF">
        <w:tc>
          <w:tcPr>
            <w:tcW w:w="1257" w:type="dxa"/>
          </w:tcPr>
          <w:p w14:paraId="393B99B3" w14:textId="0207752E" w:rsidR="003E5AFB" w:rsidRPr="00381DDF" w:rsidRDefault="00B1786A" w:rsidP="00B1786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81DDF">
              <w:rPr>
                <w:rFonts w:ascii="Poppins" w:hAnsi="Poppins" w:cs="Poppins"/>
                <w:sz w:val="18"/>
                <w:szCs w:val="18"/>
              </w:rPr>
              <w:t>All</w:t>
            </w:r>
          </w:p>
        </w:tc>
        <w:tc>
          <w:tcPr>
            <w:tcW w:w="1462" w:type="dxa"/>
          </w:tcPr>
          <w:p w14:paraId="3E843BA6" w14:textId="126E0803" w:rsidR="003E5AFB" w:rsidRPr="00381DDF" w:rsidRDefault="00B1786A" w:rsidP="00B1786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81DDF">
              <w:rPr>
                <w:rFonts w:ascii="Poppins" w:hAnsi="Poppins" w:cs="Poppins"/>
                <w:sz w:val="18"/>
                <w:szCs w:val="18"/>
              </w:rPr>
              <w:t>All</w:t>
            </w:r>
          </w:p>
        </w:tc>
        <w:tc>
          <w:tcPr>
            <w:tcW w:w="3996" w:type="dxa"/>
          </w:tcPr>
          <w:p w14:paraId="78ED4CF2" w14:textId="79B525D8" w:rsidR="00726A57" w:rsidRPr="00B34556" w:rsidRDefault="00B1786A" w:rsidP="00381DDF">
            <w:pPr>
              <w:spacing w:after="160" w:line="278" w:lineRule="auto"/>
              <w:rPr>
                <w:rFonts w:ascii="Poppins" w:hAnsi="Poppins" w:cs="Poppins"/>
                <w:sz w:val="18"/>
                <w:szCs w:val="18"/>
              </w:rPr>
            </w:pPr>
            <w:r w:rsidRPr="00381DDF">
              <w:rPr>
                <w:rFonts w:ascii="Poppins" w:hAnsi="Poppins" w:cs="Poppins"/>
                <w:sz w:val="18"/>
                <w:szCs w:val="18"/>
              </w:rPr>
              <w:t>To review levels of pupil engagement in school life, across all activities to ensure equity and fairness in access.</w:t>
            </w:r>
          </w:p>
          <w:p w14:paraId="71F11E0D" w14:textId="77777777" w:rsidR="003E5AFB" w:rsidRPr="00381DDF" w:rsidRDefault="003E5AFB" w:rsidP="00381DD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148" w:type="dxa"/>
          </w:tcPr>
          <w:p w14:paraId="4A1AD541" w14:textId="4C9A212F" w:rsidR="003E5AFB" w:rsidRPr="00381DDF" w:rsidRDefault="00B1786A" w:rsidP="00381DDF">
            <w:pPr>
              <w:rPr>
                <w:rFonts w:ascii="Poppins" w:hAnsi="Poppins" w:cs="Poppins"/>
                <w:sz w:val="18"/>
                <w:szCs w:val="18"/>
              </w:rPr>
            </w:pPr>
            <w:r w:rsidRPr="00381DDF">
              <w:rPr>
                <w:rFonts w:ascii="Poppins" w:hAnsi="Poppins" w:cs="Poppins"/>
                <w:sz w:val="18"/>
                <w:szCs w:val="18"/>
              </w:rPr>
              <w:t>Pupils spe</w:t>
            </w:r>
            <w:r w:rsidR="00652FE1">
              <w:rPr>
                <w:rFonts w:ascii="Poppins" w:hAnsi="Poppins" w:cs="Poppins"/>
                <w:sz w:val="18"/>
                <w:szCs w:val="18"/>
              </w:rPr>
              <w:t xml:space="preserve">cifically </w:t>
            </w:r>
            <w:r w:rsidRPr="00381DDF">
              <w:rPr>
                <w:rFonts w:ascii="Poppins" w:hAnsi="Poppins" w:cs="Poppins"/>
                <w:sz w:val="18"/>
                <w:szCs w:val="18"/>
              </w:rPr>
              <w:t xml:space="preserve">from protected </w:t>
            </w:r>
            <w:proofErr w:type="spellStart"/>
            <w:r w:rsidRPr="00381DDF">
              <w:rPr>
                <w:rFonts w:ascii="Poppins" w:hAnsi="Poppins" w:cs="Poppins"/>
                <w:sz w:val="18"/>
                <w:szCs w:val="18"/>
              </w:rPr>
              <w:t>characteristisc</w:t>
            </w:r>
            <w:proofErr w:type="spellEnd"/>
            <w:r w:rsidRPr="00381DDF">
              <w:rPr>
                <w:rFonts w:ascii="Poppins" w:hAnsi="Poppins" w:cs="Poppins"/>
                <w:sz w:val="18"/>
                <w:szCs w:val="18"/>
              </w:rPr>
              <w:t xml:space="preserve"> groups focusing </w:t>
            </w:r>
            <w:r w:rsidR="00DF4E05">
              <w:rPr>
                <w:rFonts w:ascii="Poppins" w:hAnsi="Poppins" w:cs="Poppins"/>
                <w:sz w:val="18"/>
                <w:szCs w:val="18"/>
              </w:rPr>
              <w:t xml:space="preserve">particularly </w:t>
            </w:r>
            <w:r w:rsidRPr="00381DDF">
              <w:rPr>
                <w:rFonts w:ascii="Poppins" w:hAnsi="Poppins" w:cs="Poppins"/>
                <w:sz w:val="18"/>
                <w:szCs w:val="18"/>
              </w:rPr>
              <w:t>on PP, girls and SEND pupils.</w:t>
            </w:r>
          </w:p>
        </w:tc>
        <w:tc>
          <w:tcPr>
            <w:tcW w:w="3323" w:type="dxa"/>
          </w:tcPr>
          <w:p w14:paraId="33852DD4" w14:textId="238714ED" w:rsidR="003E5AFB" w:rsidRPr="00381DDF" w:rsidRDefault="00B1786A" w:rsidP="00381DDF">
            <w:pPr>
              <w:rPr>
                <w:rFonts w:ascii="Poppins" w:hAnsi="Poppins" w:cs="Poppins"/>
                <w:sz w:val="18"/>
                <w:szCs w:val="18"/>
              </w:rPr>
            </w:pPr>
            <w:r w:rsidRPr="00381DDF">
              <w:rPr>
                <w:rFonts w:ascii="Poppins" w:hAnsi="Poppins" w:cs="Poppins"/>
                <w:sz w:val="18"/>
                <w:szCs w:val="18"/>
              </w:rPr>
              <w:t>To ensure that all pupils are being given the opportunity to participate in extracurricular activities and enrichment events.</w:t>
            </w:r>
            <w:r w:rsidRPr="00381DDF">
              <w:rPr>
                <w:rFonts w:ascii="Poppins" w:hAnsi="Poppins" w:cs="Poppins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r w:rsidRPr="00381DDF">
              <w:rPr>
                <w:rFonts w:ascii="Poppins" w:hAnsi="Poppins" w:cs="Poppins"/>
                <w:sz w:val="18"/>
                <w:szCs w:val="18"/>
              </w:rPr>
              <w:t>Analyse the data on the groups of pupils already attending out of hours provision</w:t>
            </w:r>
            <w:r w:rsidR="00652FE1">
              <w:rPr>
                <w:rFonts w:ascii="Poppins" w:hAnsi="Poppins" w:cs="Poppins"/>
                <w:sz w:val="18"/>
                <w:szCs w:val="18"/>
              </w:rPr>
              <w:t xml:space="preserve">. </w:t>
            </w:r>
          </w:p>
          <w:p w14:paraId="739A72FA" w14:textId="77777777" w:rsidR="00B1786A" w:rsidRPr="00381DDF" w:rsidRDefault="00B1786A" w:rsidP="00381DDF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0273F443" w14:textId="06603859" w:rsidR="00B1786A" w:rsidRPr="00381DDF" w:rsidRDefault="00B1786A" w:rsidP="00381DD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159" w:type="dxa"/>
          </w:tcPr>
          <w:p w14:paraId="688DA136" w14:textId="77777777" w:rsidR="003E5AFB" w:rsidRPr="00381DDF" w:rsidRDefault="00B1786A" w:rsidP="00381DDF">
            <w:pPr>
              <w:rPr>
                <w:rFonts w:ascii="Poppins" w:hAnsi="Poppins" w:cs="Poppins"/>
                <w:sz w:val="18"/>
                <w:szCs w:val="18"/>
              </w:rPr>
            </w:pPr>
            <w:r w:rsidRPr="00381DDF">
              <w:rPr>
                <w:rFonts w:ascii="Poppins" w:hAnsi="Poppins" w:cs="Poppins"/>
                <w:sz w:val="18"/>
                <w:szCs w:val="18"/>
              </w:rPr>
              <w:t>LS</w:t>
            </w:r>
          </w:p>
          <w:p w14:paraId="4C1A57F7" w14:textId="77777777" w:rsidR="00B1786A" w:rsidRPr="00381DDF" w:rsidRDefault="00B1786A" w:rsidP="00381DDF">
            <w:pPr>
              <w:rPr>
                <w:rFonts w:ascii="Poppins" w:hAnsi="Poppins" w:cs="Poppins"/>
                <w:sz w:val="18"/>
                <w:szCs w:val="18"/>
              </w:rPr>
            </w:pPr>
            <w:r w:rsidRPr="00381DDF">
              <w:rPr>
                <w:rFonts w:ascii="Poppins" w:hAnsi="Poppins" w:cs="Poppins"/>
                <w:sz w:val="18"/>
                <w:szCs w:val="18"/>
              </w:rPr>
              <w:t xml:space="preserve">PE </w:t>
            </w:r>
            <w:proofErr w:type="gramStart"/>
            <w:r w:rsidRPr="00381DDF">
              <w:rPr>
                <w:rFonts w:ascii="Poppins" w:hAnsi="Poppins" w:cs="Poppins"/>
                <w:sz w:val="18"/>
                <w:szCs w:val="18"/>
              </w:rPr>
              <w:t>lead</w:t>
            </w:r>
            <w:proofErr w:type="gramEnd"/>
          </w:p>
          <w:p w14:paraId="356E530E" w14:textId="3C886B2D" w:rsidR="00B1786A" w:rsidRPr="00381DDF" w:rsidRDefault="00B1786A" w:rsidP="00381DDF">
            <w:pPr>
              <w:rPr>
                <w:rFonts w:ascii="Poppins" w:hAnsi="Poppins" w:cs="Poppins"/>
                <w:sz w:val="18"/>
                <w:szCs w:val="18"/>
              </w:rPr>
            </w:pPr>
            <w:r w:rsidRPr="00381DDF">
              <w:rPr>
                <w:rFonts w:ascii="Poppins" w:hAnsi="Poppins" w:cs="Poppins"/>
                <w:sz w:val="18"/>
                <w:szCs w:val="18"/>
              </w:rPr>
              <w:t xml:space="preserve">All staff </w:t>
            </w:r>
          </w:p>
        </w:tc>
        <w:tc>
          <w:tcPr>
            <w:tcW w:w="2198" w:type="dxa"/>
          </w:tcPr>
          <w:p w14:paraId="3AE3939A" w14:textId="7D8AFDE1" w:rsidR="00B1786A" w:rsidRPr="00381DDF" w:rsidRDefault="00B1786A" w:rsidP="00381DDF">
            <w:pPr>
              <w:rPr>
                <w:rFonts w:ascii="Poppins" w:hAnsi="Poppins" w:cs="Poppins"/>
                <w:sz w:val="18"/>
                <w:szCs w:val="18"/>
              </w:rPr>
            </w:pPr>
            <w:r w:rsidRPr="00381DDF">
              <w:rPr>
                <w:rFonts w:ascii="Poppins" w:hAnsi="Poppins" w:cs="Poppins"/>
                <w:sz w:val="18"/>
                <w:szCs w:val="18"/>
              </w:rPr>
              <w:t>Ensure under-represented groups are identified and encouraged to attend</w:t>
            </w:r>
            <w:r w:rsidR="00DF4E05">
              <w:rPr>
                <w:rFonts w:ascii="Poppins" w:hAnsi="Poppins" w:cs="Poppins"/>
                <w:sz w:val="18"/>
                <w:szCs w:val="18"/>
              </w:rPr>
              <w:t>.</w:t>
            </w:r>
          </w:p>
          <w:p w14:paraId="55B0DFEA" w14:textId="103A8ED5" w:rsidR="003E5AFB" w:rsidRDefault="00B1786A" w:rsidP="00381DDF">
            <w:pPr>
              <w:rPr>
                <w:rFonts w:ascii="Poppins" w:hAnsi="Poppins" w:cs="Poppins"/>
                <w:sz w:val="18"/>
                <w:szCs w:val="18"/>
              </w:rPr>
            </w:pPr>
            <w:r w:rsidRPr="00381DDF">
              <w:rPr>
                <w:rFonts w:ascii="Poppins" w:hAnsi="Poppins" w:cs="Poppins"/>
                <w:sz w:val="18"/>
                <w:szCs w:val="18"/>
              </w:rPr>
              <w:t>Consider reasonable adjustments that could be made to ensure all children can be safe and have the correct provision</w:t>
            </w:r>
            <w:r w:rsidR="00652FE1">
              <w:rPr>
                <w:rFonts w:ascii="Poppins" w:hAnsi="Poppins" w:cs="Poppins"/>
                <w:sz w:val="18"/>
                <w:szCs w:val="18"/>
              </w:rPr>
              <w:t>.</w:t>
            </w:r>
            <w:r w:rsidRPr="00381DDF">
              <w:rPr>
                <w:rFonts w:ascii="Poppins" w:hAnsi="Poppins" w:cs="Poppins"/>
                <w:sz w:val="18"/>
                <w:szCs w:val="18"/>
              </w:rPr>
              <w:t xml:space="preserve"> </w:t>
            </w:r>
          </w:p>
          <w:p w14:paraId="64751A13" w14:textId="37E24D76" w:rsidR="00DF4E05" w:rsidRPr="00381DDF" w:rsidRDefault="00DF4E05" w:rsidP="00381DD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381DDF" w14:paraId="6E6187E9" w14:textId="77777777" w:rsidTr="00381DDF">
        <w:tc>
          <w:tcPr>
            <w:tcW w:w="1257" w:type="dxa"/>
          </w:tcPr>
          <w:p w14:paraId="02BC2D0A" w14:textId="61792C93" w:rsidR="003E5AFB" w:rsidRPr="00381DDF" w:rsidRDefault="00B1786A" w:rsidP="00B1786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81DDF">
              <w:rPr>
                <w:rFonts w:ascii="Poppins" w:hAnsi="Poppins" w:cs="Poppins"/>
                <w:sz w:val="18"/>
                <w:szCs w:val="18"/>
              </w:rPr>
              <w:t>All</w:t>
            </w:r>
          </w:p>
        </w:tc>
        <w:tc>
          <w:tcPr>
            <w:tcW w:w="1462" w:type="dxa"/>
          </w:tcPr>
          <w:p w14:paraId="08188239" w14:textId="7F8809B9" w:rsidR="003E5AFB" w:rsidRPr="00381DDF" w:rsidRDefault="00B1786A" w:rsidP="00B1786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81DDF">
              <w:rPr>
                <w:rFonts w:ascii="Poppins" w:hAnsi="Poppins" w:cs="Poppins"/>
                <w:sz w:val="18"/>
                <w:szCs w:val="18"/>
              </w:rPr>
              <w:t>All</w:t>
            </w:r>
          </w:p>
        </w:tc>
        <w:tc>
          <w:tcPr>
            <w:tcW w:w="3996" w:type="dxa"/>
          </w:tcPr>
          <w:p w14:paraId="2D6CCB4C" w14:textId="77777777" w:rsidR="00726A57" w:rsidRPr="00B34556" w:rsidRDefault="00726A57" w:rsidP="00381DDF">
            <w:pPr>
              <w:spacing w:after="160" w:line="278" w:lineRule="auto"/>
              <w:rPr>
                <w:rFonts w:ascii="Poppins" w:hAnsi="Poppins" w:cs="Poppins"/>
                <w:sz w:val="18"/>
                <w:szCs w:val="18"/>
              </w:rPr>
            </w:pPr>
            <w:r w:rsidRPr="00B34556">
              <w:rPr>
                <w:rFonts w:ascii="Poppins" w:hAnsi="Poppins" w:cs="Poppins"/>
                <w:sz w:val="18"/>
                <w:szCs w:val="18"/>
              </w:rPr>
              <w:t>Continue to develop our positive relationships with families to ensure learning is personalised to support children with SEND.</w:t>
            </w:r>
          </w:p>
          <w:p w14:paraId="2F4870EB" w14:textId="77777777" w:rsidR="003E5AFB" w:rsidRPr="00381DDF" w:rsidRDefault="003E5AFB" w:rsidP="00381DD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148" w:type="dxa"/>
          </w:tcPr>
          <w:p w14:paraId="0920B84A" w14:textId="1E79FBAF" w:rsidR="003E5AFB" w:rsidRPr="00381DDF" w:rsidRDefault="00B1786A" w:rsidP="00381DDF">
            <w:pPr>
              <w:rPr>
                <w:rFonts w:ascii="Poppins" w:hAnsi="Poppins" w:cs="Poppins"/>
                <w:sz w:val="18"/>
                <w:szCs w:val="18"/>
              </w:rPr>
            </w:pPr>
            <w:r w:rsidRPr="00381DDF">
              <w:rPr>
                <w:rFonts w:ascii="Poppins" w:hAnsi="Poppins" w:cs="Poppins"/>
                <w:sz w:val="18"/>
                <w:szCs w:val="18"/>
              </w:rPr>
              <w:t xml:space="preserve">Pupils with SEND </w:t>
            </w:r>
          </w:p>
        </w:tc>
        <w:tc>
          <w:tcPr>
            <w:tcW w:w="3323" w:type="dxa"/>
          </w:tcPr>
          <w:p w14:paraId="3334788D" w14:textId="7CAC35C0" w:rsidR="00B1786A" w:rsidRPr="00381DDF" w:rsidRDefault="00B1786A" w:rsidP="00381DDF">
            <w:pPr>
              <w:spacing w:after="160" w:line="278" w:lineRule="auto"/>
              <w:rPr>
                <w:rFonts w:ascii="Poppins" w:hAnsi="Poppins" w:cs="Poppins"/>
                <w:sz w:val="18"/>
                <w:szCs w:val="18"/>
              </w:rPr>
            </w:pPr>
            <w:r w:rsidRPr="00381DDF">
              <w:rPr>
                <w:rFonts w:ascii="Poppins" w:hAnsi="Poppins" w:cs="Poppins"/>
                <w:sz w:val="18"/>
                <w:szCs w:val="18"/>
              </w:rPr>
              <w:t xml:space="preserve">Staff to </w:t>
            </w:r>
            <w:r w:rsidR="00DF4E05">
              <w:rPr>
                <w:rFonts w:ascii="Poppins" w:hAnsi="Poppins" w:cs="Poppins"/>
                <w:sz w:val="18"/>
                <w:szCs w:val="18"/>
              </w:rPr>
              <w:t xml:space="preserve">continue to be </w:t>
            </w:r>
            <w:r w:rsidRPr="00381DDF">
              <w:rPr>
                <w:rFonts w:ascii="Poppins" w:hAnsi="Poppins" w:cs="Poppins"/>
                <w:sz w:val="18"/>
                <w:szCs w:val="18"/>
              </w:rPr>
              <w:t>aware of how to eff</w:t>
            </w:r>
            <w:r w:rsidR="00652FE1">
              <w:rPr>
                <w:rFonts w:ascii="Poppins" w:hAnsi="Poppins" w:cs="Poppins"/>
                <w:sz w:val="18"/>
                <w:szCs w:val="18"/>
              </w:rPr>
              <w:t>e</w:t>
            </w:r>
            <w:r w:rsidRPr="00381DDF">
              <w:rPr>
                <w:rFonts w:ascii="Poppins" w:hAnsi="Poppins" w:cs="Poppins"/>
                <w:sz w:val="18"/>
                <w:szCs w:val="18"/>
              </w:rPr>
              <w:t>ctiv</w:t>
            </w:r>
            <w:r w:rsidR="00652FE1">
              <w:rPr>
                <w:rFonts w:ascii="Poppins" w:hAnsi="Poppins" w:cs="Poppins"/>
                <w:sz w:val="18"/>
                <w:szCs w:val="18"/>
              </w:rPr>
              <w:t>ely</w:t>
            </w:r>
            <w:r w:rsidRPr="00381DDF">
              <w:rPr>
                <w:rFonts w:ascii="Poppins" w:hAnsi="Poppins" w:cs="Poppins"/>
                <w:sz w:val="18"/>
                <w:szCs w:val="18"/>
              </w:rPr>
              <w:t xml:space="preserve"> provide</w:t>
            </w:r>
            <w:r w:rsidR="00DF4E05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Pr="00381DDF">
              <w:rPr>
                <w:rFonts w:ascii="Poppins" w:hAnsi="Poppins" w:cs="Poppins"/>
                <w:sz w:val="18"/>
                <w:szCs w:val="18"/>
              </w:rPr>
              <w:t xml:space="preserve">adaptive teaching to ensure lessons are fully accessible </w:t>
            </w:r>
            <w:r w:rsidR="00381DDF" w:rsidRPr="00381DDF">
              <w:rPr>
                <w:rFonts w:ascii="Poppins" w:hAnsi="Poppins" w:cs="Poppins"/>
                <w:sz w:val="18"/>
                <w:szCs w:val="18"/>
              </w:rPr>
              <w:t xml:space="preserve">for SEND pupils to prevent under </w:t>
            </w:r>
            <w:proofErr w:type="spellStart"/>
            <w:r w:rsidR="00381DDF" w:rsidRPr="00381DDF">
              <w:rPr>
                <w:rFonts w:ascii="Poppins" w:hAnsi="Poppins" w:cs="Poppins"/>
                <w:sz w:val="18"/>
                <w:szCs w:val="18"/>
              </w:rPr>
              <w:t>acheivem</w:t>
            </w:r>
            <w:r w:rsidR="00652FE1">
              <w:rPr>
                <w:rFonts w:ascii="Poppins" w:hAnsi="Poppins" w:cs="Poppins"/>
                <w:sz w:val="18"/>
                <w:szCs w:val="18"/>
              </w:rPr>
              <w:t>ent</w:t>
            </w:r>
            <w:proofErr w:type="spellEnd"/>
            <w:r w:rsidR="00381DDF" w:rsidRPr="00381DDF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Pr="00381DDF">
              <w:rPr>
                <w:rFonts w:ascii="Poppins" w:hAnsi="Poppins" w:cs="Poppins"/>
                <w:sz w:val="18"/>
                <w:szCs w:val="18"/>
              </w:rPr>
              <w:t>and to reflect this in their planning of TA support</w:t>
            </w:r>
            <w:r w:rsidR="00381DDF" w:rsidRPr="00381DDF">
              <w:rPr>
                <w:rFonts w:ascii="Poppins" w:hAnsi="Poppins" w:cs="Poppins"/>
                <w:sz w:val="18"/>
                <w:szCs w:val="18"/>
              </w:rPr>
              <w:t xml:space="preserve"> as well as </w:t>
            </w:r>
            <w:r w:rsidRPr="00381DDF">
              <w:rPr>
                <w:rFonts w:ascii="Poppins" w:hAnsi="Poppins" w:cs="Poppins"/>
                <w:sz w:val="18"/>
                <w:szCs w:val="18"/>
              </w:rPr>
              <w:t>adapting this to the needs of their class</w:t>
            </w:r>
            <w:r w:rsidR="00381DDF" w:rsidRPr="00381DDF">
              <w:rPr>
                <w:rFonts w:ascii="Poppins" w:hAnsi="Poppins" w:cs="Poppins"/>
                <w:sz w:val="18"/>
                <w:szCs w:val="18"/>
              </w:rPr>
              <w:t>.</w:t>
            </w:r>
          </w:p>
          <w:p w14:paraId="2F3C8BC5" w14:textId="052D365A" w:rsidR="00B1786A" w:rsidRPr="00381DDF" w:rsidRDefault="00B1786A" w:rsidP="00381DDF">
            <w:pPr>
              <w:spacing w:after="160" w:line="278" w:lineRule="auto"/>
              <w:rPr>
                <w:rFonts w:ascii="Poppins" w:hAnsi="Poppins" w:cs="Poppins"/>
                <w:sz w:val="18"/>
                <w:szCs w:val="18"/>
              </w:rPr>
            </w:pPr>
            <w:r w:rsidRPr="00B34556">
              <w:rPr>
                <w:rFonts w:ascii="Poppins" w:hAnsi="Poppins" w:cs="Poppins"/>
                <w:sz w:val="18"/>
                <w:szCs w:val="18"/>
              </w:rPr>
              <w:t xml:space="preserve">Early Help for </w:t>
            </w:r>
            <w:r w:rsidR="00381DDF" w:rsidRPr="00381DDF">
              <w:rPr>
                <w:rFonts w:ascii="Poppins" w:hAnsi="Poppins" w:cs="Poppins"/>
                <w:sz w:val="18"/>
                <w:szCs w:val="18"/>
              </w:rPr>
              <w:t xml:space="preserve">the wider </w:t>
            </w:r>
            <w:r w:rsidRPr="00B34556">
              <w:rPr>
                <w:rFonts w:ascii="Poppins" w:hAnsi="Poppins" w:cs="Poppins"/>
                <w:sz w:val="18"/>
                <w:szCs w:val="18"/>
              </w:rPr>
              <w:t>famil</w:t>
            </w:r>
            <w:r w:rsidR="00381DDF" w:rsidRPr="00381DDF">
              <w:rPr>
                <w:rFonts w:ascii="Poppins" w:hAnsi="Poppins" w:cs="Poppins"/>
                <w:sz w:val="18"/>
                <w:szCs w:val="18"/>
              </w:rPr>
              <w:t>y</w:t>
            </w:r>
            <w:r w:rsidRPr="00B34556">
              <w:rPr>
                <w:rFonts w:ascii="Poppins" w:hAnsi="Poppins" w:cs="Poppins"/>
                <w:sz w:val="18"/>
                <w:szCs w:val="18"/>
              </w:rPr>
              <w:t xml:space="preserve"> where additional support is </w:t>
            </w:r>
            <w:r w:rsidRPr="00B34556">
              <w:rPr>
                <w:rFonts w:ascii="Poppins" w:hAnsi="Poppins" w:cs="Poppins"/>
                <w:sz w:val="18"/>
                <w:szCs w:val="18"/>
              </w:rPr>
              <w:lastRenderedPageBreak/>
              <w:t>needed</w:t>
            </w:r>
            <w:r w:rsidR="00381DDF" w:rsidRPr="00381DDF">
              <w:rPr>
                <w:rFonts w:ascii="Poppins" w:hAnsi="Poppins" w:cs="Poppins"/>
                <w:sz w:val="18"/>
                <w:szCs w:val="18"/>
              </w:rPr>
              <w:t xml:space="preserve"> to help reduce potential challenges which could impact the pupil. </w:t>
            </w:r>
          </w:p>
          <w:p w14:paraId="630D7330" w14:textId="7A01B566" w:rsidR="00381DDF" w:rsidRPr="00381DDF" w:rsidRDefault="00381DDF" w:rsidP="00381DDF">
            <w:pPr>
              <w:shd w:val="clear" w:color="auto" w:fill="FFFFFF"/>
              <w:spacing w:before="100" w:beforeAutospacing="1" w:after="100" w:afterAutospacing="1"/>
              <w:rPr>
                <w:rFonts w:ascii="Poppins" w:eastAsia="Times New Roman" w:hAnsi="Poppins" w:cs="Poppins"/>
                <w:color w:val="444444"/>
                <w:sz w:val="18"/>
                <w:szCs w:val="18"/>
                <w:lang w:eastAsia="en-GB"/>
              </w:rPr>
            </w:pPr>
            <w:r w:rsidRPr="00381DDF">
              <w:rPr>
                <w:rFonts w:ascii="Poppins" w:eastAsia="Times New Roman" w:hAnsi="Poppins" w:cs="Poppins"/>
                <w:color w:val="444444"/>
                <w:sz w:val="18"/>
                <w:szCs w:val="18"/>
                <w:lang w:eastAsia="en-GB"/>
              </w:rPr>
              <w:t xml:space="preserve">Continue to monitor attendance and support families where there are any concerns around attendance or engagement with school. </w:t>
            </w:r>
          </w:p>
          <w:p w14:paraId="1330D2DB" w14:textId="31801B57" w:rsidR="00381DDF" w:rsidRPr="00B34556" w:rsidRDefault="00381DDF" w:rsidP="00381DDF">
            <w:pPr>
              <w:spacing w:after="160" w:line="278" w:lineRule="auto"/>
              <w:rPr>
                <w:rFonts w:ascii="Poppins" w:hAnsi="Poppins" w:cs="Poppins"/>
                <w:sz w:val="18"/>
                <w:szCs w:val="18"/>
              </w:rPr>
            </w:pPr>
            <w:r w:rsidRPr="00381DDF">
              <w:rPr>
                <w:rFonts w:ascii="Poppins" w:hAnsi="Poppins" w:cs="Poppins"/>
                <w:sz w:val="18"/>
                <w:szCs w:val="18"/>
              </w:rPr>
              <w:t xml:space="preserve">Use staff meeting time to enable subject leaders to share best practice and celebrate this. </w:t>
            </w:r>
          </w:p>
          <w:p w14:paraId="474A99B4" w14:textId="77777777" w:rsidR="003E5AFB" w:rsidRPr="00381DDF" w:rsidRDefault="003E5AFB" w:rsidP="00381DD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159" w:type="dxa"/>
          </w:tcPr>
          <w:p w14:paraId="2A82DAB4" w14:textId="77777777" w:rsidR="003E5AFB" w:rsidRPr="00381DDF" w:rsidRDefault="00B1786A" w:rsidP="00381DDF">
            <w:pPr>
              <w:rPr>
                <w:rFonts w:ascii="Poppins" w:hAnsi="Poppins" w:cs="Poppins"/>
                <w:sz w:val="18"/>
                <w:szCs w:val="18"/>
              </w:rPr>
            </w:pPr>
            <w:r w:rsidRPr="00381DDF">
              <w:rPr>
                <w:rFonts w:ascii="Poppins" w:hAnsi="Poppins" w:cs="Poppins"/>
                <w:sz w:val="18"/>
                <w:szCs w:val="18"/>
              </w:rPr>
              <w:lastRenderedPageBreak/>
              <w:t>LQ</w:t>
            </w:r>
          </w:p>
          <w:p w14:paraId="13F77409" w14:textId="7C423837" w:rsidR="00B1786A" w:rsidRPr="00381DDF" w:rsidRDefault="00B1786A" w:rsidP="00381DDF">
            <w:pPr>
              <w:rPr>
                <w:rFonts w:ascii="Poppins" w:hAnsi="Poppins" w:cs="Poppins"/>
                <w:sz w:val="18"/>
                <w:szCs w:val="18"/>
              </w:rPr>
            </w:pPr>
            <w:r w:rsidRPr="00381DDF">
              <w:rPr>
                <w:rFonts w:ascii="Poppins" w:hAnsi="Poppins" w:cs="Poppins"/>
                <w:sz w:val="18"/>
                <w:szCs w:val="18"/>
              </w:rPr>
              <w:t xml:space="preserve">All staff </w:t>
            </w:r>
          </w:p>
        </w:tc>
        <w:tc>
          <w:tcPr>
            <w:tcW w:w="2198" w:type="dxa"/>
          </w:tcPr>
          <w:p w14:paraId="172B2CC7" w14:textId="54EEC6DF" w:rsidR="003E5AFB" w:rsidRPr="00381DDF" w:rsidRDefault="00B1786A" w:rsidP="00381DDF">
            <w:pPr>
              <w:rPr>
                <w:rFonts w:ascii="Poppins" w:hAnsi="Poppins" w:cs="Poppins"/>
                <w:sz w:val="18"/>
                <w:szCs w:val="18"/>
              </w:rPr>
            </w:pPr>
            <w:r w:rsidRPr="00381DDF">
              <w:rPr>
                <w:rFonts w:ascii="Poppins" w:hAnsi="Poppins" w:cs="Poppins"/>
                <w:sz w:val="18"/>
                <w:szCs w:val="18"/>
              </w:rPr>
              <w:t>All groups of children will have made adequate progress (as defined by SEND code of practice) in all subjects, and to reach good attainment in reading, writing and maths</w:t>
            </w:r>
            <w:r w:rsidR="00652FE1"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</w:tr>
      <w:tr w:rsidR="00381DDF" w14:paraId="75A833AE" w14:textId="77777777" w:rsidTr="00381DDF">
        <w:tc>
          <w:tcPr>
            <w:tcW w:w="1257" w:type="dxa"/>
          </w:tcPr>
          <w:p w14:paraId="2EA7E9A3" w14:textId="64B0E897" w:rsidR="003E5AFB" w:rsidRPr="00381DDF" w:rsidRDefault="00B1786A" w:rsidP="00B1786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81DDF">
              <w:rPr>
                <w:rFonts w:ascii="Poppins" w:hAnsi="Poppins" w:cs="Poppins"/>
                <w:sz w:val="18"/>
                <w:szCs w:val="18"/>
              </w:rPr>
              <w:t>All</w:t>
            </w:r>
          </w:p>
        </w:tc>
        <w:tc>
          <w:tcPr>
            <w:tcW w:w="1462" w:type="dxa"/>
          </w:tcPr>
          <w:p w14:paraId="7ABACC95" w14:textId="25F639EB" w:rsidR="003E5AFB" w:rsidRPr="00381DDF" w:rsidRDefault="00B1786A" w:rsidP="00B1786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81DDF">
              <w:rPr>
                <w:rFonts w:ascii="Poppins" w:hAnsi="Poppins" w:cs="Poppins"/>
                <w:sz w:val="18"/>
                <w:szCs w:val="18"/>
              </w:rPr>
              <w:t>All</w:t>
            </w:r>
          </w:p>
        </w:tc>
        <w:tc>
          <w:tcPr>
            <w:tcW w:w="3996" w:type="dxa"/>
          </w:tcPr>
          <w:p w14:paraId="5D66A212" w14:textId="77777777" w:rsidR="00CF71D3" w:rsidRDefault="00726A57" w:rsidP="00381DDF">
            <w:pPr>
              <w:rPr>
                <w:rFonts w:ascii="Poppins" w:hAnsi="Poppins" w:cs="Poppins"/>
                <w:sz w:val="18"/>
                <w:szCs w:val="18"/>
              </w:rPr>
            </w:pPr>
            <w:r w:rsidRPr="00381DDF">
              <w:rPr>
                <w:rFonts w:ascii="Poppins" w:hAnsi="Poppins" w:cs="Poppins"/>
                <w:sz w:val="18"/>
                <w:szCs w:val="18"/>
              </w:rPr>
              <w:t>Improve the diversity of the governing bo</w:t>
            </w:r>
            <w:r w:rsidR="00652FE1">
              <w:rPr>
                <w:rFonts w:ascii="Poppins" w:hAnsi="Poppins" w:cs="Poppins"/>
                <w:sz w:val="18"/>
                <w:szCs w:val="18"/>
              </w:rPr>
              <w:t>ard.</w:t>
            </w:r>
            <w:r w:rsidRPr="00381DDF">
              <w:rPr>
                <w:rFonts w:ascii="Poppins" w:hAnsi="Poppins" w:cs="Poppins"/>
                <w:sz w:val="18"/>
                <w:szCs w:val="18"/>
              </w:rPr>
              <w:t xml:space="preserve"> </w:t>
            </w:r>
          </w:p>
          <w:p w14:paraId="6B475D13" w14:textId="0ABF0670" w:rsidR="003E5AFB" w:rsidRPr="00381DDF" w:rsidRDefault="00726A57" w:rsidP="00381DDF">
            <w:pPr>
              <w:rPr>
                <w:rFonts w:ascii="Poppins" w:hAnsi="Poppins" w:cs="Poppins"/>
                <w:sz w:val="18"/>
                <w:szCs w:val="18"/>
              </w:rPr>
            </w:pPr>
            <w:r w:rsidRPr="00381DDF">
              <w:rPr>
                <w:rFonts w:ascii="Poppins" w:hAnsi="Poppins" w:cs="Poppins"/>
                <w:sz w:val="18"/>
                <w:szCs w:val="18"/>
              </w:rPr>
              <w:t xml:space="preserve"> </w:t>
            </w:r>
          </w:p>
        </w:tc>
        <w:tc>
          <w:tcPr>
            <w:tcW w:w="2148" w:type="dxa"/>
          </w:tcPr>
          <w:p w14:paraId="2BCA7FF0" w14:textId="4BCB3712" w:rsidR="003E5AFB" w:rsidRPr="00381DDF" w:rsidRDefault="00381DDF" w:rsidP="00381DDF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The school parent body and those who may be interested in becoming a governor. </w:t>
            </w:r>
          </w:p>
        </w:tc>
        <w:tc>
          <w:tcPr>
            <w:tcW w:w="3323" w:type="dxa"/>
          </w:tcPr>
          <w:p w14:paraId="41988280" w14:textId="7BBCF053" w:rsidR="003E5AFB" w:rsidRDefault="00381DDF" w:rsidP="00381DDF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Be proactive in identifying potential govern</w:t>
            </w:r>
            <w:r w:rsidR="00652FE1">
              <w:rPr>
                <w:rFonts w:ascii="Poppins" w:hAnsi="Poppins" w:cs="Poppins"/>
                <w:sz w:val="18"/>
                <w:szCs w:val="18"/>
              </w:rPr>
              <w:t>ors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 and sharing what the role involves. </w:t>
            </w:r>
          </w:p>
          <w:p w14:paraId="5028B84F" w14:textId="77777777" w:rsidR="00381DDF" w:rsidRDefault="00381DDF" w:rsidP="00381DDF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316440B2" w14:textId="6B111081" w:rsidR="00381DDF" w:rsidRDefault="00381DDF" w:rsidP="00381DDF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Ask the diocese for support in recruiting a gov</w:t>
            </w:r>
            <w:r w:rsidR="00652FE1">
              <w:rPr>
                <w:rFonts w:ascii="Poppins" w:hAnsi="Poppins" w:cs="Poppins"/>
                <w:sz w:val="18"/>
                <w:szCs w:val="18"/>
              </w:rPr>
              <w:t>ernor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 to fill the role</w:t>
            </w:r>
            <w:r w:rsidR="00652FE1">
              <w:rPr>
                <w:rFonts w:ascii="Poppins" w:hAnsi="Poppins" w:cs="Poppins"/>
                <w:sz w:val="18"/>
                <w:szCs w:val="18"/>
              </w:rPr>
              <w:t>.</w:t>
            </w:r>
          </w:p>
          <w:p w14:paraId="60A3DC8D" w14:textId="77777777" w:rsidR="00381DDF" w:rsidRDefault="00381DDF" w:rsidP="00381DDF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145A7F8D" w14:textId="08B32093" w:rsidR="00DF4E05" w:rsidRPr="00B34556" w:rsidRDefault="00DF4E05" w:rsidP="00DF4E05">
            <w:pPr>
              <w:spacing w:after="160" w:line="278" w:lineRule="auto"/>
            </w:pPr>
            <w:r>
              <w:rPr>
                <w:rFonts w:ascii="Poppins" w:hAnsi="Poppins" w:cs="Poppins"/>
                <w:sz w:val="18"/>
                <w:szCs w:val="18"/>
              </w:rPr>
              <w:t>The co-HTs to w</w:t>
            </w:r>
            <w:r w:rsidR="00381DDF">
              <w:rPr>
                <w:rFonts w:ascii="Poppins" w:hAnsi="Poppins" w:cs="Poppins"/>
                <w:sz w:val="18"/>
                <w:szCs w:val="18"/>
              </w:rPr>
              <w:t xml:space="preserve">ork with the chair of governors and the governing board to ensure they are aware of the </w:t>
            </w:r>
            <w:proofErr w:type="gramStart"/>
            <w:r>
              <w:rPr>
                <w:rFonts w:ascii="Poppins" w:hAnsi="Poppins" w:cs="Poppins"/>
                <w:sz w:val="18"/>
                <w:szCs w:val="18"/>
              </w:rPr>
              <w:t>e</w:t>
            </w:r>
            <w:r w:rsidR="00381DDF">
              <w:rPr>
                <w:rFonts w:ascii="Poppins" w:hAnsi="Poppins" w:cs="Poppins"/>
                <w:sz w:val="18"/>
                <w:szCs w:val="18"/>
              </w:rPr>
              <w:t>qualities</w:t>
            </w:r>
            <w:proofErr w:type="gramEnd"/>
            <w:r w:rsidR="00381DDF">
              <w:rPr>
                <w:rFonts w:ascii="Poppins" w:hAnsi="Poppins" w:cs="Poppins"/>
                <w:sz w:val="18"/>
                <w:szCs w:val="18"/>
              </w:rPr>
              <w:t xml:space="preserve"> requirements in schools </w:t>
            </w:r>
            <w:r>
              <w:rPr>
                <w:rFonts w:ascii="Poppins" w:hAnsi="Poppins" w:cs="Poppins"/>
                <w:sz w:val="18"/>
                <w:szCs w:val="18"/>
              </w:rPr>
              <w:t>and s</w:t>
            </w:r>
            <w:r w:rsidR="00381DDF">
              <w:rPr>
                <w:rFonts w:ascii="Poppins" w:hAnsi="Poppins" w:cs="Poppins"/>
                <w:sz w:val="18"/>
                <w:szCs w:val="18"/>
              </w:rPr>
              <w:t xml:space="preserve">o they are </w:t>
            </w:r>
            <w:r>
              <w:rPr>
                <w:rFonts w:ascii="Poppins" w:hAnsi="Poppins" w:cs="Poppins"/>
                <w:sz w:val="18"/>
                <w:szCs w:val="18"/>
              </w:rPr>
              <w:t>working for the governing board to</w:t>
            </w:r>
            <w:r w:rsidR="00381DDF">
              <w:rPr>
                <w:rFonts w:ascii="Poppins" w:hAnsi="Poppins" w:cs="Poppins"/>
                <w:sz w:val="18"/>
                <w:szCs w:val="18"/>
              </w:rPr>
              <w:t xml:space="preserve"> represent the school body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 as effectively as possible. </w:t>
            </w:r>
          </w:p>
          <w:p w14:paraId="129AF288" w14:textId="6EDBF200" w:rsidR="00381DDF" w:rsidRPr="00381DDF" w:rsidRDefault="00381DDF" w:rsidP="00381DD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159" w:type="dxa"/>
          </w:tcPr>
          <w:p w14:paraId="5D5704CD" w14:textId="1C91798F" w:rsidR="003E5AFB" w:rsidRPr="00381DDF" w:rsidRDefault="00381DDF" w:rsidP="00381DDF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LS / LQ</w:t>
            </w:r>
          </w:p>
        </w:tc>
        <w:tc>
          <w:tcPr>
            <w:tcW w:w="2198" w:type="dxa"/>
          </w:tcPr>
          <w:p w14:paraId="6E600B8E" w14:textId="110B42A8" w:rsidR="003E5AFB" w:rsidRPr="00381DDF" w:rsidRDefault="00381DDF" w:rsidP="00381DDF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To aim to have a more balanced </w:t>
            </w:r>
            <w:proofErr w:type="spellStart"/>
            <w:r>
              <w:rPr>
                <w:rFonts w:ascii="Poppins" w:hAnsi="Poppins" w:cs="Poppins"/>
                <w:sz w:val="18"/>
                <w:szCs w:val="18"/>
              </w:rPr>
              <w:t>make up</w:t>
            </w:r>
            <w:proofErr w:type="spellEnd"/>
            <w:r>
              <w:rPr>
                <w:rFonts w:ascii="Poppins" w:hAnsi="Poppins" w:cs="Poppins"/>
                <w:sz w:val="18"/>
                <w:szCs w:val="18"/>
              </w:rPr>
              <w:t xml:space="preserve"> of the governing board so it includes more th</w:t>
            </w:r>
            <w:r w:rsidR="00652FE1">
              <w:rPr>
                <w:rFonts w:ascii="Poppins" w:hAnsi="Poppins" w:cs="Poppins"/>
                <w:sz w:val="18"/>
                <w:szCs w:val="18"/>
              </w:rPr>
              <w:t>a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n one male and a governor with a background which is different to the current </w:t>
            </w:r>
            <w:proofErr w:type="spellStart"/>
            <w:r>
              <w:rPr>
                <w:rFonts w:ascii="Poppins" w:hAnsi="Poppins" w:cs="Poppins"/>
                <w:sz w:val="18"/>
                <w:szCs w:val="18"/>
              </w:rPr>
              <w:t>make up</w:t>
            </w:r>
            <w:proofErr w:type="spellEnd"/>
            <w:r>
              <w:rPr>
                <w:rFonts w:ascii="Poppins" w:hAnsi="Poppins" w:cs="Poppins"/>
                <w:sz w:val="18"/>
                <w:szCs w:val="18"/>
              </w:rPr>
              <w:t xml:space="preserve"> of the board which reflects sections of the school community. </w:t>
            </w:r>
          </w:p>
        </w:tc>
      </w:tr>
    </w:tbl>
    <w:p w14:paraId="47FD1985" w14:textId="77777777" w:rsidR="00AE14F3" w:rsidRDefault="00C322EA" w:rsidP="00AE14F3">
      <w:pPr>
        <w:jc w:val="right"/>
        <w:rPr>
          <w:rFonts w:ascii="Century Gothic" w:hAnsi="Century Gothic"/>
        </w:rPr>
      </w:pPr>
      <w:r w:rsidRPr="00C322EA">
        <w:rPr>
          <w:rFonts w:ascii="Century Gothic" w:hAnsi="Century Gothic"/>
        </w:rPr>
        <w:t>‘</w:t>
      </w:r>
    </w:p>
    <w:sectPr w:rsidR="00AE14F3" w:rsidSect="00FB23E8">
      <w:pgSz w:w="16840" w:h="11900" w:orient="landscape"/>
      <w:pgMar w:top="720" w:right="567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91B4" w14:textId="77777777" w:rsidR="00D83486" w:rsidRDefault="00D83486" w:rsidP="001121B6">
      <w:r>
        <w:separator/>
      </w:r>
    </w:p>
  </w:endnote>
  <w:endnote w:type="continuationSeparator" w:id="0">
    <w:p w14:paraId="3889491F" w14:textId="77777777" w:rsidR="00D83486" w:rsidRDefault="00D83486" w:rsidP="001121B6">
      <w:r>
        <w:continuationSeparator/>
      </w:r>
    </w:p>
  </w:endnote>
  <w:endnote w:type="continuationNotice" w:id="1">
    <w:p w14:paraId="3FE3C062" w14:textId="77777777" w:rsidR="00D83486" w:rsidRDefault="00D834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 Chancery"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BBAB" w14:textId="77777777" w:rsidR="00D83486" w:rsidRDefault="00D83486" w:rsidP="001121B6">
      <w:r>
        <w:separator/>
      </w:r>
    </w:p>
  </w:footnote>
  <w:footnote w:type="continuationSeparator" w:id="0">
    <w:p w14:paraId="765C2207" w14:textId="77777777" w:rsidR="00D83486" w:rsidRDefault="00D83486" w:rsidP="001121B6">
      <w:r>
        <w:continuationSeparator/>
      </w:r>
    </w:p>
  </w:footnote>
  <w:footnote w:type="continuationNotice" w:id="1">
    <w:p w14:paraId="572BD72B" w14:textId="77777777" w:rsidR="00D83486" w:rsidRDefault="00D834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C67"/>
    <w:multiLevelType w:val="hybridMultilevel"/>
    <w:tmpl w:val="36FCB252"/>
    <w:lvl w:ilvl="0" w:tplc="6366B1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916F8"/>
    <w:multiLevelType w:val="multilevel"/>
    <w:tmpl w:val="B05C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67A9B"/>
    <w:multiLevelType w:val="multilevel"/>
    <w:tmpl w:val="AF3C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D724B"/>
    <w:multiLevelType w:val="multilevel"/>
    <w:tmpl w:val="07D4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3C3CE8"/>
    <w:multiLevelType w:val="multilevel"/>
    <w:tmpl w:val="805A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36D32"/>
    <w:multiLevelType w:val="multilevel"/>
    <w:tmpl w:val="C08C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72381B"/>
    <w:multiLevelType w:val="hybridMultilevel"/>
    <w:tmpl w:val="3E328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60C804">
      <w:start w:val="10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E1189E"/>
    <w:multiLevelType w:val="hybridMultilevel"/>
    <w:tmpl w:val="C6C02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D6770"/>
    <w:multiLevelType w:val="multilevel"/>
    <w:tmpl w:val="09F6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479296">
    <w:abstractNumId w:val="7"/>
  </w:num>
  <w:num w:numId="2" w16cid:durableId="987829120">
    <w:abstractNumId w:val="0"/>
  </w:num>
  <w:num w:numId="3" w16cid:durableId="421951417">
    <w:abstractNumId w:val="6"/>
  </w:num>
  <w:num w:numId="4" w16cid:durableId="616639658">
    <w:abstractNumId w:val="1"/>
  </w:num>
  <w:num w:numId="5" w16cid:durableId="2113353641">
    <w:abstractNumId w:val="3"/>
  </w:num>
  <w:num w:numId="6" w16cid:durableId="1876501544">
    <w:abstractNumId w:val="8"/>
  </w:num>
  <w:num w:numId="7" w16cid:durableId="49697100">
    <w:abstractNumId w:val="4"/>
  </w:num>
  <w:num w:numId="8" w16cid:durableId="1046372294">
    <w:abstractNumId w:val="5"/>
  </w:num>
  <w:num w:numId="9" w16cid:durableId="384567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45"/>
    <w:rsid w:val="0004534F"/>
    <w:rsid w:val="00057133"/>
    <w:rsid w:val="00073661"/>
    <w:rsid w:val="000949D0"/>
    <w:rsid w:val="000B2EC6"/>
    <w:rsid w:val="000C0927"/>
    <w:rsid w:val="001121B6"/>
    <w:rsid w:val="00132033"/>
    <w:rsid w:val="0018016B"/>
    <w:rsid w:val="001C7FC1"/>
    <w:rsid w:val="001D7606"/>
    <w:rsid w:val="0025170A"/>
    <w:rsid w:val="00254284"/>
    <w:rsid w:val="00254BCA"/>
    <w:rsid w:val="00256EE1"/>
    <w:rsid w:val="0029680E"/>
    <w:rsid w:val="003560FA"/>
    <w:rsid w:val="0035641B"/>
    <w:rsid w:val="00381DDF"/>
    <w:rsid w:val="003A5A7C"/>
    <w:rsid w:val="003E5AFB"/>
    <w:rsid w:val="00403E78"/>
    <w:rsid w:val="004118D9"/>
    <w:rsid w:val="00441D74"/>
    <w:rsid w:val="00452217"/>
    <w:rsid w:val="00464793"/>
    <w:rsid w:val="00483099"/>
    <w:rsid w:val="004957D1"/>
    <w:rsid w:val="0052188B"/>
    <w:rsid w:val="00542F32"/>
    <w:rsid w:val="0055698D"/>
    <w:rsid w:val="00562C9E"/>
    <w:rsid w:val="005C5C1D"/>
    <w:rsid w:val="005D6A00"/>
    <w:rsid w:val="00652FE1"/>
    <w:rsid w:val="0067747A"/>
    <w:rsid w:val="006A4AE9"/>
    <w:rsid w:val="006A53BC"/>
    <w:rsid w:val="00726A57"/>
    <w:rsid w:val="00736C5A"/>
    <w:rsid w:val="0075651C"/>
    <w:rsid w:val="0077639C"/>
    <w:rsid w:val="0078406F"/>
    <w:rsid w:val="007C67AA"/>
    <w:rsid w:val="007D33B5"/>
    <w:rsid w:val="007D5545"/>
    <w:rsid w:val="008326E3"/>
    <w:rsid w:val="00885D84"/>
    <w:rsid w:val="008934E3"/>
    <w:rsid w:val="008D5853"/>
    <w:rsid w:val="008F2286"/>
    <w:rsid w:val="008F675A"/>
    <w:rsid w:val="00910FE4"/>
    <w:rsid w:val="0097303C"/>
    <w:rsid w:val="00983ADE"/>
    <w:rsid w:val="009F2D4E"/>
    <w:rsid w:val="00A12B61"/>
    <w:rsid w:val="00A43B1E"/>
    <w:rsid w:val="00A65F87"/>
    <w:rsid w:val="00AE14F3"/>
    <w:rsid w:val="00AE7459"/>
    <w:rsid w:val="00AF2C3E"/>
    <w:rsid w:val="00B13D6F"/>
    <w:rsid w:val="00B1786A"/>
    <w:rsid w:val="00B31B3E"/>
    <w:rsid w:val="00B347D8"/>
    <w:rsid w:val="00B50158"/>
    <w:rsid w:val="00BA3B7D"/>
    <w:rsid w:val="00BD4A77"/>
    <w:rsid w:val="00BF3CCF"/>
    <w:rsid w:val="00C322EA"/>
    <w:rsid w:val="00C47594"/>
    <w:rsid w:val="00C719A3"/>
    <w:rsid w:val="00CD75E6"/>
    <w:rsid w:val="00CF71D3"/>
    <w:rsid w:val="00D57AC6"/>
    <w:rsid w:val="00D83486"/>
    <w:rsid w:val="00DF1217"/>
    <w:rsid w:val="00DF4E05"/>
    <w:rsid w:val="00E85E23"/>
    <w:rsid w:val="00EA4292"/>
    <w:rsid w:val="00EB4169"/>
    <w:rsid w:val="00EC06E9"/>
    <w:rsid w:val="00EE581E"/>
    <w:rsid w:val="00F006B0"/>
    <w:rsid w:val="00F1134D"/>
    <w:rsid w:val="00F50AFF"/>
    <w:rsid w:val="00F65F83"/>
    <w:rsid w:val="00FB23E8"/>
    <w:rsid w:val="00FC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6622B6"/>
  <w15:docId w15:val="{A34D8D19-4B39-414B-B859-7ABA2179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7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7D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57D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57D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21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1B6"/>
  </w:style>
  <w:style w:type="paragraph" w:styleId="Footer">
    <w:name w:val="footer"/>
    <w:basedOn w:val="Normal"/>
    <w:link w:val="FooterChar"/>
    <w:uiPriority w:val="99"/>
    <w:unhideWhenUsed/>
    <w:rsid w:val="001121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1B6"/>
  </w:style>
  <w:style w:type="table" w:styleId="TableGrid">
    <w:name w:val="Table Grid"/>
    <w:basedOn w:val="TableNormal"/>
    <w:uiPriority w:val="59"/>
    <w:rsid w:val="00542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4759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unhideWhenUsed/>
    <w:rsid w:val="00F1134D"/>
    <w:rPr>
      <w:rFonts w:ascii="Arial" w:eastAsiaTheme="minorHAnsi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4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w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\Dropbox\SAMLESBURY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BA5835BADA847AE41FAB41473F73B" ma:contentTypeVersion="1" ma:contentTypeDescription="Create a new document." ma:contentTypeScope="" ma:versionID="53683565cab3c32c82fc19c41b46ec0f">
  <xsd:schema xmlns:xsd="http://www.w3.org/2001/XMLSchema" xmlns:xs="http://www.w3.org/2001/XMLSchema" xmlns:p="http://schemas.microsoft.com/office/2006/metadata/properties" xmlns:ns3="850bcb8e-eeb8-4cd1-bb00-b7192203f81f" targetNamespace="http://schemas.microsoft.com/office/2006/metadata/properties" ma:root="true" ma:fieldsID="f5e3425c8e57ca5db1c282a9f0ffd70a" ns3:_="">
    <xsd:import namespace="850bcb8e-eeb8-4cd1-bb00-b7192203f81f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bcb8e-eeb8-4cd1-bb00-b7192203f8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BA5835BADA847AE41FAB41473F73B" ma:contentTypeVersion="2" ma:contentTypeDescription="Create a new document." ma:contentTypeScope="" ma:versionID="cb75a3849425443c474099ae0738c7a4">
  <xsd:schema xmlns:xsd="http://www.w3.org/2001/XMLSchema" xmlns:xs="http://www.w3.org/2001/XMLSchema" xmlns:p="http://schemas.microsoft.com/office/2006/metadata/properties" xmlns:ns3="850bcb8e-eeb8-4cd1-bb00-b7192203f81f" targetNamespace="http://schemas.microsoft.com/office/2006/metadata/properties" ma:root="true" ma:fieldsID="d490216d17ea5025cb8eb0ae84c29310" ns3:_="">
    <xsd:import namespace="850bcb8e-eeb8-4cd1-bb00-b7192203f8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bcb8e-eeb8-4cd1-bb00-b7192203f8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FCD86-CA9E-4530-9B3B-9E9DBD7AFC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F889F2-FBDA-4ADA-BFAC-C87AE2F15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bcb8e-eeb8-4cd1-bb00-b7192203f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56B5C8-647A-43D6-9573-2FC441E485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E0AF00-5E09-442C-93B0-0807F4A195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56DE98-B1AF-4DFD-BD8F-4F1D162B9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bcb8e-eeb8-4cd1-bb00-b7192203f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SAMLESBURY_letterhead</Template>
  <TotalTime>0</TotalTime>
  <Pages>2</Pages>
  <Words>437</Words>
  <Characters>2228</Characters>
  <Application>Microsoft Office Word</Application>
  <DocSecurity>0</DocSecurity>
  <Lines>148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Blakely</dc:creator>
  <cp:lastModifiedBy>Lucy Sutton</cp:lastModifiedBy>
  <cp:revision>2</cp:revision>
  <cp:lastPrinted>2026-04-22T07:10:00Z</cp:lastPrinted>
  <dcterms:created xsi:type="dcterms:W3CDTF">2026-04-22T10:27:00Z</dcterms:created>
  <dcterms:modified xsi:type="dcterms:W3CDTF">2026-04-22T10:27:00Z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0x0101004C6BA5835BADA847AE41FAB41473F73B</vt:lpwstr>
  </property>
</Properties>
</file>